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0385" w14:textId="77777777" w:rsidR="002A1D7D" w:rsidRPr="00EF7C60" w:rsidRDefault="002A1D7D" w:rsidP="002A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Actuarial (A) Task Force/ Health Actuarial (B) Task Force</w:t>
      </w:r>
    </w:p>
    <w:p w14:paraId="7B6AF8DA" w14:textId="77777777" w:rsidR="002A1D7D" w:rsidRPr="00EF7C60" w:rsidRDefault="002A1D7D" w:rsidP="002A1D7D">
      <w:pPr>
        <w:jc w:val="center"/>
        <w:rPr>
          <w:b/>
        </w:rPr>
      </w:pPr>
      <w:r w:rsidRPr="00EF7C60">
        <w:rPr>
          <w:b/>
        </w:rPr>
        <w:t>Amendment Proposal Form*</w:t>
      </w:r>
    </w:p>
    <w:p w14:paraId="51D9C6D8" w14:textId="77777777" w:rsidR="002A1D7D" w:rsidRPr="002F4168" w:rsidRDefault="002A1D7D" w:rsidP="002A1D7D">
      <w:pPr>
        <w:jc w:val="both"/>
        <w:rPr>
          <w:sz w:val="20"/>
          <w:szCs w:val="20"/>
        </w:rPr>
      </w:pPr>
    </w:p>
    <w:p w14:paraId="2AAE2BDB" w14:textId="4758C020" w:rsidR="002A1D7D" w:rsidRPr="005B233B" w:rsidRDefault="002A1D7D" w:rsidP="00655F51">
      <w:pPr>
        <w:spacing w:line="271" w:lineRule="auto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  <w:t>Identify yourself, your affiliation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and a very brief description (title) of the issue.</w:t>
      </w:r>
    </w:p>
    <w:p w14:paraId="76D52CCC" w14:textId="77777777" w:rsidR="002A1D7D" w:rsidRPr="005B233B" w:rsidRDefault="002A1D7D" w:rsidP="00655F51">
      <w:pPr>
        <w:spacing w:line="271" w:lineRule="auto"/>
        <w:jc w:val="both"/>
        <w:rPr>
          <w:sz w:val="22"/>
          <w:szCs w:val="22"/>
        </w:rPr>
      </w:pPr>
    </w:p>
    <w:p w14:paraId="6B248FCF" w14:textId="77777777" w:rsidR="002A1D7D" w:rsidRPr="005B233B" w:rsidRDefault="002A1D7D" w:rsidP="00655F51">
      <w:pPr>
        <w:spacing w:line="271" w:lineRule="auto"/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Identification:</w:t>
      </w:r>
    </w:p>
    <w:p w14:paraId="74ADE238" w14:textId="554AE96F" w:rsidR="002A1D7D" w:rsidRPr="005B233B" w:rsidRDefault="00AA5E59" w:rsidP="00655F51">
      <w:pPr>
        <w:spacing w:line="271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Seong-min Eom</w:t>
      </w:r>
      <w:r w:rsidR="002A1D7D">
        <w:rPr>
          <w:sz w:val="22"/>
          <w:szCs w:val="22"/>
        </w:rPr>
        <w:t>, FSA, MAAA</w:t>
      </w:r>
      <w:r w:rsidR="00A957E3">
        <w:rPr>
          <w:sz w:val="22"/>
          <w:szCs w:val="22"/>
        </w:rPr>
        <w:t xml:space="preserve">, </w:t>
      </w:r>
      <w:r>
        <w:rPr>
          <w:sz w:val="22"/>
          <w:szCs w:val="22"/>
        </w:rPr>
        <w:t>Fred Andersen</w:t>
      </w:r>
      <w:r w:rsidR="002A1D7D">
        <w:rPr>
          <w:sz w:val="22"/>
          <w:szCs w:val="22"/>
        </w:rPr>
        <w:t>, FSA, MAAA</w:t>
      </w:r>
      <w:r w:rsidR="00A957E3">
        <w:rPr>
          <w:sz w:val="22"/>
          <w:szCs w:val="22"/>
        </w:rPr>
        <w:t>, Ben Slutsker, FSA, MAAA</w:t>
      </w:r>
      <w:r w:rsidR="00D308B3">
        <w:rPr>
          <w:sz w:val="22"/>
          <w:szCs w:val="22"/>
        </w:rPr>
        <w:t>, Rachel Hemphill, FSA, MAAA</w:t>
      </w:r>
    </w:p>
    <w:p w14:paraId="4DCC7F72" w14:textId="77777777" w:rsidR="002A1D7D" w:rsidRPr="005B233B" w:rsidRDefault="002A1D7D" w:rsidP="00655F51">
      <w:pPr>
        <w:spacing w:line="271" w:lineRule="auto"/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3942110E" w14:textId="77777777" w:rsidR="002A1D7D" w:rsidRPr="005B233B" w:rsidRDefault="002A1D7D" w:rsidP="00655F51">
      <w:pPr>
        <w:spacing w:line="271" w:lineRule="auto"/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Title of the Issue:</w:t>
      </w:r>
    </w:p>
    <w:p w14:paraId="36951B5B" w14:textId="7BA4A843" w:rsidR="002A1D7D" w:rsidRPr="005B233B" w:rsidRDefault="00AA5E59" w:rsidP="00655F51">
      <w:pPr>
        <w:spacing w:line="271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Establish asset adequacy analysis requirements for certain reinsurance</w:t>
      </w:r>
      <w:r w:rsidR="002A1D7D">
        <w:rPr>
          <w:sz w:val="22"/>
          <w:szCs w:val="22"/>
        </w:rPr>
        <w:t xml:space="preserve">.  </w:t>
      </w:r>
    </w:p>
    <w:p w14:paraId="114740A9" w14:textId="77777777" w:rsidR="002A1D7D" w:rsidRPr="005B233B" w:rsidRDefault="002A1D7D" w:rsidP="00655F51">
      <w:pPr>
        <w:spacing w:line="271" w:lineRule="auto"/>
        <w:jc w:val="both"/>
        <w:rPr>
          <w:sz w:val="22"/>
          <w:szCs w:val="22"/>
        </w:rPr>
      </w:pPr>
    </w:p>
    <w:p w14:paraId="75885B9F" w14:textId="77777777" w:rsidR="002A1D7D" w:rsidRPr="005B233B" w:rsidRDefault="002A1D7D" w:rsidP="00655F51">
      <w:pPr>
        <w:spacing w:line="271" w:lineRule="auto"/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B2FE6DD" w14:textId="77777777" w:rsidR="002A1D7D" w:rsidRPr="005B233B" w:rsidRDefault="002A1D7D" w:rsidP="00655F51">
      <w:pPr>
        <w:spacing w:line="271" w:lineRule="auto"/>
        <w:ind w:left="720" w:hanging="720"/>
        <w:jc w:val="both"/>
        <w:rPr>
          <w:sz w:val="22"/>
          <w:szCs w:val="22"/>
        </w:rPr>
      </w:pPr>
    </w:p>
    <w:p w14:paraId="503540EC" w14:textId="4F567900" w:rsidR="00CF65BC" w:rsidRDefault="00CF65BC" w:rsidP="00655F51">
      <w:pPr>
        <w:spacing w:line="271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VM-</w:t>
      </w:r>
      <w:r w:rsidR="00AA5E59">
        <w:rPr>
          <w:sz w:val="22"/>
          <w:szCs w:val="22"/>
        </w:rPr>
        <w:t>30</w:t>
      </w:r>
      <w:r w:rsidR="00FB0F31">
        <w:rPr>
          <w:sz w:val="22"/>
          <w:szCs w:val="22"/>
        </w:rPr>
        <w:t xml:space="preserve"> Subsections 2.C.4., </w:t>
      </w:r>
      <w:r w:rsidR="00267932">
        <w:rPr>
          <w:sz w:val="22"/>
          <w:szCs w:val="22"/>
        </w:rPr>
        <w:t>2.C.5., 3.A.5.</w:t>
      </w:r>
      <w:r w:rsidR="0000169C">
        <w:rPr>
          <w:sz w:val="22"/>
          <w:szCs w:val="22"/>
        </w:rPr>
        <w:t>a</w:t>
      </w:r>
      <w:r w:rsidR="00267932">
        <w:rPr>
          <w:sz w:val="22"/>
          <w:szCs w:val="22"/>
        </w:rPr>
        <w:t xml:space="preserve">, </w:t>
      </w:r>
      <w:r w:rsidR="00FB0F31">
        <w:rPr>
          <w:sz w:val="22"/>
          <w:szCs w:val="22"/>
        </w:rPr>
        <w:t>3.B.10.f.</w:t>
      </w:r>
      <w:r w:rsidR="0000169C">
        <w:rPr>
          <w:sz w:val="22"/>
          <w:szCs w:val="22"/>
        </w:rPr>
        <w:t>, 3.B.10.g</w:t>
      </w:r>
      <w:r w:rsidR="00FB0F31">
        <w:rPr>
          <w:sz w:val="22"/>
          <w:szCs w:val="22"/>
        </w:rPr>
        <w:t>, and 3.</w:t>
      </w:r>
      <w:r w:rsidR="0000169C">
        <w:rPr>
          <w:sz w:val="22"/>
          <w:szCs w:val="22"/>
        </w:rPr>
        <w:t>B</w:t>
      </w:r>
      <w:r w:rsidR="00FB0F31">
        <w:rPr>
          <w:sz w:val="22"/>
          <w:szCs w:val="22"/>
        </w:rPr>
        <w:t>.11.f.</w:t>
      </w:r>
    </w:p>
    <w:p w14:paraId="7589E95A" w14:textId="77777777" w:rsidR="00CF65BC" w:rsidRDefault="00CF65BC" w:rsidP="00655F51">
      <w:pPr>
        <w:spacing w:line="271" w:lineRule="auto"/>
        <w:ind w:firstLine="720"/>
        <w:jc w:val="both"/>
        <w:rPr>
          <w:sz w:val="22"/>
          <w:szCs w:val="22"/>
        </w:rPr>
      </w:pPr>
    </w:p>
    <w:p w14:paraId="36C956DC" w14:textId="159BF5DE" w:rsidR="002A1D7D" w:rsidRPr="005B233B" w:rsidRDefault="002A1D7D" w:rsidP="00655F51">
      <w:pPr>
        <w:spacing w:line="271" w:lineRule="auto"/>
        <w:ind w:left="720"/>
        <w:jc w:val="both"/>
        <w:rPr>
          <w:sz w:val="22"/>
          <w:szCs w:val="22"/>
        </w:rPr>
      </w:pPr>
      <w:r w:rsidRPr="1C720C32">
        <w:rPr>
          <w:sz w:val="22"/>
          <w:szCs w:val="22"/>
        </w:rPr>
        <w:t xml:space="preserve">January 1, </w:t>
      </w:r>
      <w:proofErr w:type="gramStart"/>
      <w:r w:rsidRPr="1C720C32">
        <w:rPr>
          <w:sz w:val="22"/>
          <w:szCs w:val="22"/>
        </w:rPr>
        <w:t>202</w:t>
      </w:r>
      <w:r w:rsidR="00AA5E59">
        <w:rPr>
          <w:sz w:val="22"/>
          <w:szCs w:val="22"/>
        </w:rPr>
        <w:t>4</w:t>
      </w:r>
      <w:proofErr w:type="gramEnd"/>
      <w:r w:rsidRPr="1C720C32">
        <w:rPr>
          <w:sz w:val="22"/>
          <w:szCs w:val="22"/>
        </w:rPr>
        <w:t xml:space="preserve"> NAIC Valuation Manual</w:t>
      </w:r>
    </w:p>
    <w:p w14:paraId="65160ABD" w14:textId="77777777" w:rsidR="002A1D7D" w:rsidRPr="005B233B" w:rsidRDefault="002A1D7D" w:rsidP="00655F51">
      <w:pPr>
        <w:spacing w:line="271" w:lineRule="auto"/>
        <w:jc w:val="both"/>
        <w:rPr>
          <w:sz w:val="22"/>
          <w:szCs w:val="22"/>
        </w:rPr>
      </w:pPr>
    </w:p>
    <w:p w14:paraId="19A6E62E" w14:textId="32CF591A" w:rsidR="002A1D7D" w:rsidRPr="005B233B" w:rsidRDefault="002A1D7D" w:rsidP="00655F51">
      <w:pPr>
        <w:spacing w:line="271" w:lineRule="auto"/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  <w:t>Show what changes are needed by providing a red-line version of the original verbiage with deletions and identify the verbiage to be deleted, inserted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or changed by providing a red-line (turn on “track changes” in Word®) version of the verbiage. (You may do this through an attachment.)</w:t>
      </w:r>
    </w:p>
    <w:p w14:paraId="452111A0" w14:textId="77777777" w:rsidR="006058A2" w:rsidRDefault="006058A2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0F4B5D7D" w14:textId="6E929B63" w:rsidR="002447F8" w:rsidRDefault="002447F8" w:rsidP="006058A2">
      <w:pPr>
        <w:widowControl w:val="0"/>
        <w:spacing w:line="271" w:lineRule="auto"/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Add the following subsection 2.C.4.</w:t>
      </w:r>
      <w:r w:rsidR="00FB0F31">
        <w:rPr>
          <w:sz w:val="22"/>
          <w:szCs w:val="22"/>
        </w:rPr>
        <w:t xml:space="preserve"> as “Liabilities To Be Covered”</w:t>
      </w:r>
      <w:r>
        <w:rPr>
          <w:sz w:val="22"/>
          <w:szCs w:val="22"/>
        </w:rPr>
        <w:t>:</w:t>
      </w:r>
    </w:p>
    <w:p w14:paraId="58507A39" w14:textId="77777777" w:rsidR="002447F8" w:rsidRDefault="002447F8" w:rsidP="006058A2">
      <w:pPr>
        <w:widowControl w:val="0"/>
        <w:spacing w:line="271" w:lineRule="auto"/>
        <w:ind w:firstLine="720"/>
        <w:contextualSpacing/>
        <w:jc w:val="both"/>
        <w:rPr>
          <w:sz w:val="22"/>
          <w:szCs w:val="22"/>
        </w:rPr>
      </w:pPr>
    </w:p>
    <w:p w14:paraId="68B2CB7E" w14:textId="7231914F" w:rsidR="002447F8" w:rsidRDefault="002447F8" w:rsidP="00FB0F31">
      <w:pPr>
        <w:widowControl w:val="0"/>
        <w:spacing w:line="271" w:lineRule="auto"/>
        <w:ind w:left="1260" w:hanging="360"/>
        <w:contextualSpacing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>4.</w:t>
      </w:r>
      <w:r>
        <w:rPr>
          <w:rFonts w:eastAsia="Times New Roman"/>
          <w:color w:val="FF0000"/>
          <w:sz w:val="22"/>
          <w:szCs w:val="22"/>
        </w:rPr>
        <w:tab/>
      </w:r>
      <w:r w:rsidRPr="002447F8">
        <w:rPr>
          <w:rFonts w:eastAsia="Times New Roman"/>
          <w:color w:val="FF0000"/>
          <w:sz w:val="22"/>
          <w:szCs w:val="22"/>
        </w:rPr>
        <w:t xml:space="preserve">All business </w:t>
      </w:r>
      <w:r w:rsidR="00FB0F31">
        <w:rPr>
          <w:rFonts w:eastAsia="Times New Roman"/>
          <w:color w:val="FF0000"/>
          <w:sz w:val="22"/>
          <w:szCs w:val="22"/>
        </w:rPr>
        <w:t>written</w:t>
      </w:r>
      <w:r w:rsidR="0079215B">
        <w:rPr>
          <w:rFonts w:eastAsia="Times New Roman"/>
          <w:color w:val="FF0000"/>
          <w:sz w:val="22"/>
          <w:szCs w:val="22"/>
        </w:rPr>
        <w:t xml:space="preserve"> or assumed</w:t>
      </w:r>
      <w:r w:rsidR="00FB0F31">
        <w:rPr>
          <w:rFonts w:eastAsia="Times New Roman"/>
          <w:color w:val="FF0000"/>
          <w:sz w:val="22"/>
          <w:szCs w:val="22"/>
        </w:rPr>
        <w:t xml:space="preserve"> by a United States life insurer </w:t>
      </w:r>
      <w:r w:rsidRPr="002447F8">
        <w:rPr>
          <w:rFonts w:eastAsia="Times New Roman"/>
          <w:color w:val="FF0000"/>
          <w:sz w:val="22"/>
          <w:szCs w:val="22"/>
        </w:rPr>
        <w:t xml:space="preserve">shall be subject to the standards of asset adequacy analysis, as described in Section 2.B. Therefore, in addition to other applicable requirements in VM-30, asset adequacy analysis shall be completed on a gross of reinsurance basis for any business that is </w:t>
      </w:r>
      <w:r w:rsidR="0079215B">
        <w:rPr>
          <w:rFonts w:eastAsia="Times New Roman"/>
          <w:color w:val="FF0000"/>
          <w:sz w:val="22"/>
          <w:szCs w:val="22"/>
        </w:rPr>
        <w:t>reinsured</w:t>
      </w:r>
      <w:r w:rsidRPr="002447F8">
        <w:rPr>
          <w:rFonts w:eastAsia="Times New Roman"/>
          <w:color w:val="FF0000"/>
          <w:sz w:val="22"/>
          <w:szCs w:val="22"/>
        </w:rPr>
        <w:t>, whether through a</w:t>
      </w:r>
      <w:r w:rsidR="00FB0F31">
        <w:rPr>
          <w:rFonts w:eastAsia="Times New Roman"/>
          <w:color w:val="FF0000"/>
          <w:sz w:val="22"/>
          <w:szCs w:val="22"/>
        </w:rPr>
        <w:t>n alien</w:t>
      </w:r>
      <w:r w:rsidRPr="002447F8">
        <w:rPr>
          <w:rFonts w:eastAsia="Times New Roman"/>
          <w:color w:val="FF0000"/>
          <w:sz w:val="22"/>
          <w:szCs w:val="22"/>
        </w:rPr>
        <w:t xml:space="preserve"> reinsurance transaction or a domestic reinsurance transaction</w:t>
      </w:r>
      <w:r>
        <w:rPr>
          <w:rFonts w:eastAsia="Times New Roman"/>
          <w:color w:val="FF0000"/>
          <w:sz w:val="22"/>
          <w:szCs w:val="22"/>
        </w:rPr>
        <w:t>.</w:t>
      </w:r>
      <w:r w:rsidR="00D80578">
        <w:rPr>
          <w:rFonts w:eastAsia="Times New Roman"/>
          <w:color w:val="FF0000"/>
          <w:sz w:val="22"/>
          <w:szCs w:val="22"/>
        </w:rPr>
        <w:t xml:space="preserve"> For any business reinsured by an entity outside of the scope of VM-30, that business shall be tested on a standalone basis.</w:t>
      </w:r>
    </w:p>
    <w:p w14:paraId="1E9DDBF1" w14:textId="77777777" w:rsidR="00A77A08" w:rsidRDefault="00A77A08" w:rsidP="00A957E3">
      <w:pPr>
        <w:widowControl w:val="0"/>
        <w:spacing w:line="271" w:lineRule="auto"/>
        <w:ind w:left="720"/>
        <w:contextualSpacing/>
        <w:jc w:val="both"/>
        <w:rPr>
          <w:rFonts w:eastAsia="Times New Roman"/>
          <w:color w:val="FF0000"/>
          <w:sz w:val="22"/>
          <w:szCs w:val="22"/>
        </w:rPr>
      </w:pPr>
    </w:p>
    <w:p w14:paraId="7FB09426" w14:textId="77777777" w:rsidR="00B523E1" w:rsidRDefault="00B523E1" w:rsidP="00B523E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 the following subsection 2.C.5 as “Liabilities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Be Covered”:</w:t>
      </w:r>
    </w:p>
    <w:p w14:paraId="34308166" w14:textId="77777777" w:rsidR="00B523E1" w:rsidRDefault="00B523E1" w:rsidP="00B523E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43E0E8D1" w14:textId="0C085AD8" w:rsidR="00B523E1" w:rsidRPr="00A7654E" w:rsidRDefault="00B523E1" w:rsidP="00B523E1">
      <w:pPr>
        <w:pStyle w:val="ListParagraph"/>
        <w:widowControl w:val="0"/>
        <w:numPr>
          <w:ilvl w:val="1"/>
          <w:numId w:val="7"/>
        </w:numPr>
        <w:spacing w:line="271" w:lineRule="auto"/>
        <w:ind w:left="1260"/>
        <w:contextualSpacing/>
        <w:jc w:val="both"/>
        <w:rPr>
          <w:color w:val="FF0000"/>
          <w:sz w:val="22"/>
          <w:szCs w:val="22"/>
        </w:rPr>
      </w:pPr>
      <w:r w:rsidRPr="00A7654E">
        <w:rPr>
          <w:rFonts w:ascii="TimesNewRomanPSMT" w:eastAsia="Times New Roman" w:hAnsi="TimesNewRomanPSMT"/>
          <w:color w:val="FF0000"/>
          <w:sz w:val="22"/>
          <w:szCs w:val="22"/>
        </w:rPr>
        <w:t xml:space="preserve">If the appointed actuary determines, as the result of </w:t>
      </w:r>
      <w:r w:rsidR="00647A0B" w:rsidRPr="00A7654E">
        <w:rPr>
          <w:rFonts w:ascii="TimesNewRomanPSMT" w:eastAsia="Times New Roman" w:hAnsi="TimesNewRomanPSMT"/>
          <w:color w:val="FF0000"/>
          <w:sz w:val="22"/>
          <w:szCs w:val="22"/>
        </w:rPr>
        <w:t xml:space="preserve">gross </w:t>
      </w:r>
      <w:r w:rsidRPr="00A7654E">
        <w:rPr>
          <w:rFonts w:ascii="TimesNewRomanPSMT" w:eastAsia="Times New Roman" w:hAnsi="TimesNewRomanPSMT"/>
          <w:color w:val="FF0000"/>
          <w:sz w:val="22"/>
          <w:szCs w:val="22"/>
        </w:rPr>
        <w:t xml:space="preserve">standalone asset adequacy analysis for any business that is reinsured by an entity outside the scope of VM-30, that a reserve should be held in addition to the aggregate reserve held by the company and calculated in accordance with the requirements set forth in the </w:t>
      </w:r>
      <w:r w:rsidRPr="00A7654E">
        <w:rPr>
          <w:rFonts w:ascii="TimesNewRomanPS-ItalicMT" w:eastAsia="Times New Roman" w:hAnsi="TimesNewRomanPS-ItalicMT"/>
          <w:i/>
          <w:iCs/>
          <w:color w:val="FF0000"/>
          <w:sz w:val="22"/>
          <w:szCs w:val="22"/>
        </w:rPr>
        <w:t>Valuation Manual</w:t>
      </w:r>
      <w:r w:rsidRPr="00A7654E">
        <w:rPr>
          <w:rFonts w:ascii="TimesNewRomanPSMT" w:eastAsia="Times New Roman" w:hAnsi="TimesNewRomanPSMT"/>
          <w:color w:val="FF0000"/>
          <w:sz w:val="22"/>
          <w:szCs w:val="22"/>
        </w:rPr>
        <w:t>, the company shall establish the additional reserve.</w:t>
      </w:r>
    </w:p>
    <w:p w14:paraId="26506DB3" w14:textId="77777777" w:rsidR="00B523E1" w:rsidRDefault="00B523E1" w:rsidP="00B523E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br/>
        <w:t>Revise the following within 3.A.5:</w:t>
      </w:r>
    </w:p>
    <w:p w14:paraId="768D2259" w14:textId="77777777" w:rsidR="00B523E1" w:rsidRDefault="00B523E1" w:rsidP="00B523E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1F6BA4A0" w14:textId="77777777" w:rsidR="00B523E1" w:rsidRPr="00A7654E" w:rsidRDefault="00B523E1" w:rsidP="00B523E1">
      <w:pPr>
        <w:pStyle w:val="ListParagraph"/>
        <w:widowControl w:val="0"/>
        <w:numPr>
          <w:ilvl w:val="0"/>
          <w:numId w:val="8"/>
        </w:numPr>
        <w:spacing w:line="271" w:lineRule="auto"/>
        <w:ind w:left="1260"/>
        <w:contextualSpacing/>
        <w:jc w:val="both"/>
        <w:rPr>
          <w:color w:val="FF0000"/>
          <w:sz w:val="22"/>
          <w:szCs w:val="22"/>
        </w:rPr>
      </w:pPr>
      <w:r w:rsidRPr="00A7654E">
        <w:rPr>
          <w:color w:val="FF0000"/>
          <w:sz w:val="22"/>
          <w:szCs w:val="22"/>
        </w:rPr>
        <w:t>The additional reserves are the reserves established under Section 2.C.2 and 2.C.5.</w:t>
      </w:r>
    </w:p>
    <w:p w14:paraId="518B2EA7" w14:textId="77777777" w:rsidR="00B523E1" w:rsidRDefault="00B523E1" w:rsidP="00A957E3">
      <w:pPr>
        <w:widowControl w:val="0"/>
        <w:spacing w:line="271" w:lineRule="auto"/>
        <w:ind w:left="720"/>
        <w:contextualSpacing/>
        <w:jc w:val="both"/>
        <w:rPr>
          <w:rFonts w:eastAsia="Times New Roman"/>
          <w:color w:val="FF0000"/>
          <w:sz w:val="22"/>
          <w:szCs w:val="22"/>
        </w:rPr>
      </w:pPr>
    </w:p>
    <w:p w14:paraId="731D7E62" w14:textId="0FDB8314" w:rsidR="00A957E3" w:rsidRPr="000B768B" w:rsidRDefault="00A957E3" w:rsidP="00A957E3">
      <w:pPr>
        <w:widowControl w:val="0"/>
        <w:spacing w:line="271" w:lineRule="auto"/>
        <w:ind w:left="720"/>
        <w:contextualSpacing/>
        <w:jc w:val="both"/>
        <w:rPr>
          <w:rFonts w:eastAsia="Times New Roman"/>
        </w:rPr>
      </w:pPr>
      <w:r>
        <w:rPr>
          <w:sz w:val="22"/>
          <w:szCs w:val="22"/>
        </w:rPr>
        <w:br/>
        <w:t>Add the following subsection</w:t>
      </w:r>
      <w:r w:rsidR="0000169C">
        <w:rPr>
          <w:sz w:val="22"/>
          <w:szCs w:val="22"/>
        </w:rPr>
        <w:t>s</w:t>
      </w:r>
      <w:r>
        <w:rPr>
          <w:sz w:val="22"/>
          <w:szCs w:val="22"/>
        </w:rPr>
        <w:t xml:space="preserve"> 3.B.10.f</w:t>
      </w:r>
      <w:r w:rsidR="0000169C">
        <w:rPr>
          <w:sz w:val="22"/>
          <w:szCs w:val="22"/>
        </w:rPr>
        <w:t xml:space="preserve"> and 3.B.10.g</w:t>
      </w:r>
      <w:r w:rsidR="00FB0F31">
        <w:rPr>
          <w:sz w:val="22"/>
          <w:szCs w:val="22"/>
        </w:rPr>
        <w:t xml:space="preserve"> under “the memorandum shall specify for assets”</w:t>
      </w:r>
      <w:r>
        <w:rPr>
          <w:sz w:val="22"/>
          <w:szCs w:val="22"/>
        </w:rPr>
        <w:t>:</w:t>
      </w:r>
    </w:p>
    <w:p w14:paraId="2A04C2A7" w14:textId="4D866F22" w:rsidR="002447F8" w:rsidRDefault="002447F8" w:rsidP="006058A2">
      <w:pPr>
        <w:widowControl w:val="0"/>
        <w:spacing w:line="271" w:lineRule="auto"/>
        <w:ind w:firstLine="720"/>
        <w:contextualSpacing/>
        <w:jc w:val="both"/>
        <w:rPr>
          <w:sz w:val="22"/>
          <w:szCs w:val="22"/>
        </w:rPr>
      </w:pPr>
    </w:p>
    <w:p w14:paraId="39859F21" w14:textId="2B67733C" w:rsidR="00A957E3" w:rsidRDefault="00A957E3" w:rsidP="00A957E3">
      <w:pPr>
        <w:pStyle w:val="ListParagraph"/>
        <w:numPr>
          <w:ilvl w:val="1"/>
          <w:numId w:val="1"/>
        </w:numPr>
        <w:spacing w:line="271" w:lineRule="auto"/>
        <w:ind w:left="1800"/>
        <w:jc w:val="both"/>
        <w:rPr>
          <w:rFonts w:eastAsia="Times New Roman"/>
          <w:color w:val="FF0000"/>
          <w:sz w:val="22"/>
          <w:szCs w:val="22"/>
        </w:rPr>
      </w:pPr>
      <w:r w:rsidRPr="006478C0">
        <w:rPr>
          <w:rFonts w:eastAsia="Times New Roman"/>
          <w:color w:val="FF0000"/>
          <w:sz w:val="22"/>
          <w:szCs w:val="22"/>
        </w:rPr>
        <w:t xml:space="preserve">If, under the terms of </w:t>
      </w:r>
      <w:r>
        <w:rPr>
          <w:rFonts w:eastAsia="Times New Roman"/>
          <w:color w:val="FF0000"/>
          <w:sz w:val="22"/>
          <w:szCs w:val="22"/>
        </w:rPr>
        <w:t>a</w:t>
      </w:r>
      <w:r w:rsidRPr="006478C0">
        <w:rPr>
          <w:rFonts w:eastAsia="Times New Roman"/>
          <w:color w:val="FF0000"/>
          <w:sz w:val="22"/>
          <w:szCs w:val="22"/>
        </w:rPr>
        <w:t xml:space="preserve"> reinsurance agreement, some of the assets supporting the reserve are held by the counterparty or by another party,</w:t>
      </w:r>
    </w:p>
    <w:p w14:paraId="36451844" w14:textId="77777777" w:rsidR="00FB0F31" w:rsidRPr="006478C0" w:rsidRDefault="00FB0F31" w:rsidP="00FB0F31">
      <w:pPr>
        <w:pStyle w:val="ListParagraph"/>
        <w:spacing w:line="271" w:lineRule="auto"/>
        <w:ind w:left="1800"/>
        <w:jc w:val="both"/>
        <w:rPr>
          <w:rFonts w:eastAsia="Times New Roman"/>
          <w:color w:val="FF0000"/>
          <w:sz w:val="22"/>
          <w:szCs w:val="22"/>
        </w:rPr>
      </w:pPr>
    </w:p>
    <w:p w14:paraId="7220FCAA" w14:textId="77777777" w:rsidR="00FB0F31" w:rsidRPr="006478C0" w:rsidRDefault="00FB0F31" w:rsidP="00FB0F31">
      <w:pPr>
        <w:pStyle w:val="ListParagraph"/>
        <w:spacing w:line="271" w:lineRule="auto"/>
        <w:ind w:left="2520"/>
        <w:jc w:val="both"/>
        <w:rPr>
          <w:rFonts w:eastAsia="Times New Roman"/>
          <w:color w:val="FF0000"/>
          <w:sz w:val="22"/>
          <w:szCs w:val="22"/>
        </w:rPr>
      </w:pPr>
    </w:p>
    <w:p w14:paraId="0529572B" w14:textId="12552FE4" w:rsidR="00A957E3" w:rsidRPr="000148BE" w:rsidRDefault="00B523E1" w:rsidP="00AC4321">
      <w:pPr>
        <w:spacing w:line="271" w:lineRule="auto"/>
        <w:ind w:left="2160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 xml:space="preserve">i. </w:t>
      </w:r>
      <w:r w:rsidR="00AC4321">
        <w:rPr>
          <w:rFonts w:eastAsia="Times New Roman"/>
          <w:color w:val="FF0000"/>
          <w:sz w:val="22"/>
          <w:szCs w:val="22"/>
        </w:rPr>
        <w:t>A description of t</w:t>
      </w:r>
      <w:r w:rsidR="00A957E3" w:rsidRPr="000148BE">
        <w:rPr>
          <w:rFonts w:eastAsia="Times New Roman"/>
          <w:color w:val="FF0000"/>
          <w:sz w:val="22"/>
          <w:szCs w:val="22"/>
        </w:rPr>
        <w:t>he degree of linkage between the portfolio performance and the calculation of the reinsurance cash flows.</w:t>
      </w:r>
    </w:p>
    <w:p w14:paraId="23F76F73" w14:textId="77777777" w:rsidR="00FB0F31" w:rsidRPr="006478C0" w:rsidRDefault="00FB0F31" w:rsidP="00FB0F31">
      <w:pPr>
        <w:pStyle w:val="ListParagraph"/>
        <w:spacing w:line="271" w:lineRule="auto"/>
        <w:ind w:left="3240"/>
        <w:jc w:val="both"/>
        <w:rPr>
          <w:rFonts w:eastAsia="Times New Roman"/>
          <w:color w:val="FF0000"/>
          <w:sz w:val="22"/>
          <w:szCs w:val="22"/>
        </w:rPr>
      </w:pPr>
    </w:p>
    <w:p w14:paraId="1E01B430" w14:textId="4D844061" w:rsidR="00A957E3" w:rsidRDefault="00AC4321" w:rsidP="00AC4321">
      <w:pPr>
        <w:pStyle w:val="ListParagraph"/>
        <w:spacing w:line="271" w:lineRule="auto"/>
        <w:ind w:left="2160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 xml:space="preserve">ii. </w:t>
      </w:r>
      <w:r w:rsidR="00A957E3" w:rsidRPr="006478C0">
        <w:rPr>
          <w:rFonts w:eastAsia="Times New Roman"/>
          <w:color w:val="FF0000"/>
          <w:sz w:val="22"/>
          <w:szCs w:val="22"/>
        </w:rPr>
        <w:t>The sensitivity of the valuation result to the asset portfolio performance.</w:t>
      </w:r>
    </w:p>
    <w:p w14:paraId="247828F5" w14:textId="77777777" w:rsidR="00FB0F31" w:rsidRPr="00FB0F31" w:rsidRDefault="00FB0F31" w:rsidP="00FB0F31">
      <w:pPr>
        <w:spacing w:line="271" w:lineRule="auto"/>
        <w:jc w:val="both"/>
        <w:rPr>
          <w:rFonts w:eastAsia="Times New Roman"/>
          <w:color w:val="FF0000"/>
          <w:sz w:val="22"/>
          <w:szCs w:val="22"/>
        </w:rPr>
      </w:pPr>
    </w:p>
    <w:p w14:paraId="01F210E4" w14:textId="16792BC5" w:rsidR="00A957E3" w:rsidRDefault="00AC4321" w:rsidP="00AC4321">
      <w:pPr>
        <w:pStyle w:val="ListParagraph"/>
        <w:spacing w:line="271" w:lineRule="auto"/>
        <w:ind w:left="1440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 xml:space="preserve">g. </w:t>
      </w:r>
      <w:r w:rsidR="007646AF">
        <w:rPr>
          <w:rFonts w:eastAsia="Times New Roman"/>
          <w:color w:val="FF0000"/>
          <w:sz w:val="22"/>
          <w:szCs w:val="22"/>
        </w:rPr>
        <w:t xml:space="preserve">To the extent that asset adequacy analysis </w:t>
      </w:r>
      <w:r w:rsidR="00A957E3" w:rsidRPr="006478C0">
        <w:rPr>
          <w:rFonts w:eastAsia="Times New Roman"/>
          <w:color w:val="FF0000"/>
          <w:sz w:val="22"/>
          <w:szCs w:val="22"/>
        </w:rPr>
        <w:t>is necessary</w:t>
      </w:r>
      <w:r w:rsidR="004C607D">
        <w:rPr>
          <w:rFonts w:eastAsia="Times New Roman"/>
          <w:color w:val="FF0000"/>
          <w:sz w:val="22"/>
          <w:szCs w:val="22"/>
        </w:rPr>
        <w:t xml:space="preserve"> pursuant to Section 2.C.4</w:t>
      </w:r>
      <w:r w:rsidR="00A957E3" w:rsidRPr="006478C0">
        <w:rPr>
          <w:rFonts w:eastAsia="Times New Roman"/>
          <w:color w:val="FF0000"/>
          <w:sz w:val="22"/>
          <w:szCs w:val="22"/>
        </w:rPr>
        <w:t xml:space="preserve">, </w:t>
      </w:r>
    </w:p>
    <w:p w14:paraId="0317C783" w14:textId="77777777" w:rsidR="00FB0F31" w:rsidRDefault="00FB0F31" w:rsidP="00600261">
      <w:pPr>
        <w:pStyle w:val="ListParagraph"/>
        <w:spacing w:line="271" w:lineRule="auto"/>
        <w:ind w:left="1890"/>
        <w:jc w:val="both"/>
        <w:rPr>
          <w:rFonts w:eastAsia="Times New Roman"/>
          <w:color w:val="FF0000"/>
          <w:sz w:val="22"/>
          <w:szCs w:val="22"/>
        </w:rPr>
      </w:pPr>
    </w:p>
    <w:p w14:paraId="3B838FF0" w14:textId="4190E6F4" w:rsidR="004C607D" w:rsidRDefault="00AC4321" w:rsidP="00600261">
      <w:pPr>
        <w:pStyle w:val="ListParagraph"/>
        <w:spacing w:line="271" w:lineRule="auto"/>
        <w:ind w:left="1890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 xml:space="preserve">i. </w:t>
      </w:r>
      <w:r w:rsidR="006E1061">
        <w:rPr>
          <w:rFonts w:eastAsia="Times New Roman"/>
          <w:color w:val="FF0000"/>
          <w:sz w:val="22"/>
          <w:szCs w:val="22"/>
        </w:rPr>
        <w:t>A comparison of</w:t>
      </w:r>
      <w:r w:rsidR="004C607D">
        <w:rPr>
          <w:rFonts w:eastAsia="Times New Roman"/>
          <w:color w:val="FF0000"/>
          <w:sz w:val="22"/>
          <w:szCs w:val="22"/>
        </w:rPr>
        <w:t xml:space="preserve"> the amount of assets held by the counterparty or other party</w:t>
      </w:r>
      <w:r w:rsidR="006E1061">
        <w:rPr>
          <w:rFonts w:eastAsia="Times New Roman"/>
          <w:color w:val="FF0000"/>
          <w:sz w:val="22"/>
          <w:szCs w:val="22"/>
        </w:rPr>
        <w:t xml:space="preserve"> to the assets included in asset adequacy analysis (note that these amounts should be the same)</w:t>
      </w:r>
      <w:r w:rsidR="004C607D">
        <w:rPr>
          <w:rFonts w:eastAsia="Times New Roman"/>
          <w:color w:val="FF0000"/>
          <w:sz w:val="22"/>
          <w:szCs w:val="22"/>
        </w:rPr>
        <w:t>.</w:t>
      </w:r>
    </w:p>
    <w:p w14:paraId="4120461D" w14:textId="77777777" w:rsidR="004C607D" w:rsidRDefault="004C607D" w:rsidP="00600261">
      <w:pPr>
        <w:pStyle w:val="ListParagraph"/>
        <w:spacing w:line="271" w:lineRule="auto"/>
        <w:ind w:left="1890"/>
        <w:jc w:val="both"/>
        <w:rPr>
          <w:rFonts w:eastAsia="Times New Roman"/>
          <w:color w:val="FF0000"/>
          <w:sz w:val="22"/>
          <w:szCs w:val="22"/>
        </w:rPr>
      </w:pPr>
    </w:p>
    <w:p w14:paraId="3E7EB3D9" w14:textId="6EF8F5EE" w:rsidR="00A957E3" w:rsidRPr="00600261" w:rsidRDefault="00AC4321" w:rsidP="00600261">
      <w:pPr>
        <w:spacing w:line="271" w:lineRule="auto"/>
        <w:ind w:left="1890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 xml:space="preserve">ii. </w:t>
      </w:r>
      <w:r w:rsidR="00A957E3" w:rsidRPr="00600261">
        <w:rPr>
          <w:rFonts w:eastAsia="Times New Roman"/>
          <w:color w:val="FF0000"/>
          <w:sz w:val="22"/>
          <w:szCs w:val="22"/>
        </w:rPr>
        <w:t xml:space="preserve">The investment strategy of the company holding the assets, as codified in the reinsurance </w:t>
      </w:r>
      <w:proofErr w:type="gramStart"/>
      <w:r w:rsidR="00A957E3" w:rsidRPr="00600261">
        <w:rPr>
          <w:rFonts w:eastAsia="Times New Roman"/>
          <w:color w:val="FF0000"/>
          <w:sz w:val="22"/>
          <w:szCs w:val="22"/>
        </w:rPr>
        <w:t>agreement</w:t>
      </w:r>
      <w:proofErr w:type="gramEnd"/>
      <w:r w:rsidR="00A957E3" w:rsidRPr="00600261">
        <w:rPr>
          <w:rFonts w:eastAsia="Times New Roman"/>
          <w:color w:val="FF0000"/>
          <w:sz w:val="22"/>
          <w:szCs w:val="22"/>
        </w:rPr>
        <w:t xml:space="preserve"> or otherwise based on current documentation provided by that company.</w:t>
      </w:r>
    </w:p>
    <w:p w14:paraId="37335BA7" w14:textId="77777777" w:rsidR="00FB0F31" w:rsidRDefault="00FB0F31" w:rsidP="00600261">
      <w:pPr>
        <w:pStyle w:val="ListParagraph"/>
        <w:spacing w:line="271" w:lineRule="auto"/>
        <w:ind w:left="1890"/>
        <w:jc w:val="both"/>
        <w:rPr>
          <w:rFonts w:eastAsia="Times New Roman"/>
          <w:color w:val="FF0000"/>
          <w:sz w:val="22"/>
          <w:szCs w:val="22"/>
        </w:rPr>
      </w:pPr>
    </w:p>
    <w:p w14:paraId="1DC66E71" w14:textId="5D99A7DC" w:rsidR="00A957E3" w:rsidRPr="006478C0" w:rsidRDefault="00AC4321" w:rsidP="00600261">
      <w:pPr>
        <w:pStyle w:val="ListParagraph"/>
        <w:spacing w:line="271" w:lineRule="auto"/>
        <w:ind w:left="1890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 xml:space="preserve">iii. </w:t>
      </w:r>
      <w:r w:rsidR="00A957E3" w:rsidRPr="006478C0">
        <w:rPr>
          <w:rFonts w:eastAsia="Times New Roman"/>
          <w:color w:val="FF0000"/>
          <w:sz w:val="22"/>
          <w:szCs w:val="22"/>
        </w:rPr>
        <w:t>Actions that may be taken by either party that would affect the net reinsurance cash flows (e.g., a conscious decision to alter the investment strategy within the guidelines).</w:t>
      </w:r>
    </w:p>
    <w:p w14:paraId="28860BF6" w14:textId="77777777" w:rsidR="00A957E3" w:rsidRDefault="00A957E3" w:rsidP="00A957E3">
      <w:pPr>
        <w:widowControl w:val="0"/>
        <w:spacing w:line="271" w:lineRule="auto"/>
        <w:ind w:left="1800" w:firstLine="720"/>
        <w:contextualSpacing/>
        <w:jc w:val="both"/>
        <w:rPr>
          <w:sz w:val="22"/>
          <w:szCs w:val="22"/>
        </w:rPr>
      </w:pPr>
    </w:p>
    <w:p w14:paraId="684D28A7" w14:textId="77777777" w:rsidR="00A957E3" w:rsidRDefault="00A957E3" w:rsidP="006058A2">
      <w:pPr>
        <w:widowControl w:val="0"/>
        <w:spacing w:line="271" w:lineRule="auto"/>
        <w:ind w:firstLine="720"/>
        <w:contextualSpacing/>
        <w:jc w:val="both"/>
        <w:rPr>
          <w:sz w:val="22"/>
          <w:szCs w:val="22"/>
        </w:rPr>
      </w:pPr>
    </w:p>
    <w:p w14:paraId="13B41F03" w14:textId="0F89C854" w:rsidR="002447F8" w:rsidRDefault="002447F8" w:rsidP="002447F8">
      <w:pPr>
        <w:widowControl w:val="0"/>
        <w:spacing w:line="271" w:lineRule="auto"/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Add the following subsection 3.B.11.f</w:t>
      </w:r>
      <w:r w:rsidR="00FB0F31">
        <w:rPr>
          <w:sz w:val="22"/>
          <w:szCs w:val="22"/>
        </w:rPr>
        <w:t xml:space="preserve"> under “the memorandum shall specify for the analysis basis”</w:t>
      </w:r>
      <w:r>
        <w:rPr>
          <w:sz w:val="22"/>
          <w:szCs w:val="22"/>
        </w:rPr>
        <w:t>:</w:t>
      </w:r>
    </w:p>
    <w:p w14:paraId="3CD8E203" w14:textId="77777777" w:rsidR="00FB0F31" w:rsidRPr="000B768B" w:rsidRDefault="00FB0F31" w:rsidP="002447F8">
      <w:pPr>
        <w:widowControl w:val="0"/>
        <w:spacing w:line="271" w:lineRule="auto"/>
        <w:ind w:firstLine="720"/>
        <w:contextualSpacing/>
        <w:jc w:val="both"/>
        <w:rPr>
          <w:rFonts w:eastAsia="Times New Roman"/>
        </w:rPr>
      </w:pPr>
    </w:p>
    <w:p w14:paraId="2D260E24" w14:textId="6C2D642A" w:rsidR="002447F8" w:rsidRDefault="002447F8" w:rsidP="002447F8">
      <w:pPr>
        <w:widowControl w:val="0"/>
        <w:spacing w:line="271" w:lineRule="auto"/>
        <w:ind w:left="1800" w:hanging="360"/>
        <w:contextualSpacing/>
        <w:jc w:val="both"/>
        <w:rPr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>f</w:t>
      </w:r>
      <w:r w:rsidRPr="002447F8">
        <w:rPr>
          <w:rFonts w:eastAsia="Times New Roman"/>
          <w:color w:val="FF0000"/>
          <w:sz w:val="22"/>
          <w:szCs w:val="22"/>
        </w:rPr>
        <w:t>.</w:t>
      </w:r>
      <w:r w:rsidRPr="002447F8">
        <w:rPr>
          <w:rFonts w:eastAsia="Times New Roman"/>
          <w:color w:val="FF0000"/>
          <w:sz w:val="22"/>
          <w:szCs w:val="22"/>
        </w:rPr>
        <w:tab/>
        <w:t xml:space="preserve">Description of how any business transferred through reinsurance was also tested on a gross of reinsurance </w:t>
      </w:r>
      <w:r w:rsidR="00667067">
        <w:rPr>
          <w:rFonts w:eastAsia="Times New Roman"/>
          <w:color w:val="FF0000"/>
          <w:sz w:val="22"/>
          <w:szCs w:val="22"/>
        </w:rPr>
        <w:t>basis</w:t>
      </w:r>
      <w:r w:rsidRPr="002447F8">
        <w:rPr>
          <w:rFonts w:eastAsia="Times New Roman"/>
          <w:color w:val="FF0000"/>
          <w:sz w:val="22"/>
          <w:szCs w:val="22"/>
        </w:rPr>
        <w:t xml:space="preserve">. Note this </w:t>
      </w:r>
      <w:r w:rsidR="00F877D4">
        <w:rPr>
          <w:rFonts w:eastAsia="Times New Roman"/>
          <w:color w:val="FF0000"/>
          <w:sz w:val="22"/>
          <w:szCs w:val="22"/>
        </w:rPr>
        <w:t>should</w:t>
      </w:r>
      <w:r w:rsidR="00F877D4" w:rsidRPr="002447F8">
        <w:rPr>
          <w:rFonts w:eastAsia="Times New Roman"/>
          <w:color w:val="FF0000"/>
          <w:sz w:val="22"/>
          <w:szCs w:val="22"/>
        </w:rPr>
        <w:t xml:space="preserve"> </w:t>
      </w:r>
      <w:r w:rsidRPr="002447F8">
        <w:rPr>
          <w:rFonts w:eastAsia="Times New Roman"/>
          <w:color w:val="FF0000"/>
          <w:sz w:val="22"/>
          <w:szCs w:val="22"/>
        </w:rPr>
        <w:t xml:space="preserve">be provided as a sensitivity, in addition to providing asset adequacy analysis on </w:t>
      </w:r>
      <w:r w:rsidR="00D308B3">
        <w:rPr>
          <w:rFonts w:eastAsia="Times New Roman"/>
          <w:color w:val="FF0000"/>
          <w:sz w:val="22"/>
          <w:szCs w:val="22"/>
        </w:rPr>
        <w:t xml:space="preserve">a </w:t>
      </w:r>
      <w:r w:rsidRPr="002447F8">
        <w:rPr>
          <w:rFonts w:eastAsia="Times New Roman"/>
          <w:color w:val="FF0000"/>
          <w:sz w:val="22"/>
          <w:szCs w:val="22"/>
        </w:rPr>
        <w:t xml:space="preserve">net of reinsurance basis. </w:t>
      </w:r>
      <w:r w:rsidR="00D308B3">
        <w:rPr>
          <w:rFonts w:eastAsia="Times New Roman"/>
          <w:color w:val="FF0000"/>
          <w:sz w:val="22"/>
          <w:szCs w:val="22"/>
        </w:rPr>
        <w:t>F</w:t>
      </w:r>
      <w:r w:rsidR="00D308B3" w:rsidRPr="002447F8">
        <w:rPr>
          <w:rFonts w:eastAsia="Times New Roman"/>
          <w:color w:val="FF0000"/>
          <w:sz w:val="22"/>
          <w:szCs w:val="22"/>
        </w:rPr>
        <w:t xml:space="preserve">or </w:t>
      </w:r>
      <w:r w:rsidRPr="002447F8">
        <w:rPr>
          <w:rFonts w:eastAsia="Times New Roman"/>
          <w:color w:val="FF0000"/>
          <w:sz w:val="22"/>
          <w:szCs w:val="22"/>
        </w:rPr>
        <w:t xml:space="preserve">any business reinsured, the memorandum shall </w:t>
      </w:r>
      <w:r w:rsidR="00667067">
        <w:rPr>
          <w:rFonts w:eastAsia="Times New Roman"/>
          <w:color w:val="FF0000"/>
          <w:sz w:val="22"/>
          <w:szCs w:val="22"/>
        </w:rPr>
        <w:t xml:space="preserve">also </w:t>
      </w:r>
      <w:r w:rsidRPr="002447F8">
        <w:rPr>
          <w:rFonts w:eastAsia="Times New Roman"/>
          <w:color w:val="FF0000"/>
          <w:sz w:val="22"/>
          <w:szCs w:val="22"/>
        </w:rPr>
        <w:t>comply with the requirements of A</w:t>
      </w:r>
      <w:r>
        <w:rPr>
          <w:rFonts w:eastAsia="Times New Roman"/>
          <w:color w:val="FF0000"/>
          <w:sz w:val="22"/>
          <w:szCs w:val="22"/>
        </w:rPr>
        <w:t>SOP</w:t>
      </w:r>
      <w:r w:rsidRPr="002447F8">
        <w:rPr>
          <w:rFonts w:eastAsia="Times New Roman"/>
          <w:color w:val="FF0000"/>
          <w:sz w:val="22"/>
          <w:szCs w:val="22"/>
        </w:rPr>
        <w:t xml:space="preserve"> No. 11 and include disclosures as provided in Section 4 of </w:t>
      </w:r>
      <w:r>
        <w:rPr>
          <w:rFonts w:eastAsia="Times New Roman"/>
          <w:color w:val="FF0000"/>
          <w:sz w:val="22"/>
          <w:szCs w:val="22"/>
        </w:rPr>
        <w:t>ASOP</w:t>
      </w:r>
      <w:r w:rsidRPr="002447F8">
        <w:rPr>
          <w:rFonts w:eastAsia="Times New Roman"/>
          <w:color w:val="FF0000"/>
          <w:sz w:val="22"/>
          <w:szCs w:val="22"/>
        </w:rPr>
        <w:t xml:space="preserve"> No. 11.</w:t>
      </w:r>
    </w:p>
    <w:p w14:paraId="25C1EDDB" w14:textId="77777777" w:rsidR="002447F8" w:rsidRDefault="002447F8" w:rsidP="006058A2">
      <w:pPr>
        <w:widowControl w:val="0"/>
        <w:spacing w:line="271" w:lineRule="auto"/>
        <w:ind w:firstLine="720"/>
        <w:contextualSpacing/>
        <w:jc w:val="both"/>
        <w:rPr>
          <w:sz w:val="22"/>
          <w:szCs w:val="22"/>
        </w:rPr>
      </w:pPr>
    </w:p>
    <w:p w14:paraId="30D7C953" w14:textId="6C9B18E0" w:rsidR="00FD422C" w:rsidRPr="000C737D" w:rsidRDefault="00B94F2E" w:rsidP="000C737D">
      <w:pPr>
        <w:pStyle w:val="ListParagraph"/>
        <w:numPr>
          <w:ilvl w:val="0"/>
          <w:numId w:val="6"/>
        </w:numPr>
        <w:spacing w:line="271" w:lineRule="auto"/>
        <w:ind w:left="2430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>For year-end 202</w:t>
      </w:r>
      <w:r w:rsidR="002B2AE6">
        <w:rPr>
          <w:rFonts w:eastAsia="Times New Roman"/>
          <w:color w:val="FF0000"/>
          <w:sz w:val="22"/>
          <w:szCs w:val="22"/>
        </w:rPr>
        <w:t>6</w:t>
      </w:r>
      <w:r>
        <w:rPr>
          <w:rFonts w:eastAsia="Times New Roman"/>
          <w:color w:val="FF0000"/>
          <w:sz w:val="22"/>
          <w:szCs w:val="22"/>
        </w:rPr>
        <w:t xml:space="preserve"> and later</w:t>
      </w:r>
      <w:r w:rsidR="00FD422C" w:rsidRPr="000C737D">
        <w:rPr>
          <w:rFonts w:eastAsia="Times New Roman"/>
          <w:color w:val="FF0000"/>
          <w:sz w:val="22"/>
          <w:szCs w:val="22"/>
        </w:rPr>
        <w:t xml:space="preserve">, when asset or liability cash flows </w:t>
      </w:r>
      <w:r w:rsidR="00667067">
        <w:rPr>
          <w:rFonts w:eastAsia="Times New Roman"/>
          <w:color w:val="FF0000"/>
          <w:sz w:val="22"/>
          <w:szCs w:val="22"/>
        </w:rPr>
        <w:t xml:space="preserve">materially </w:t>
      </w:r>
      <w:r w:rsidR="00FD422C" w:rsidRPr="000C737D">
        <w:rPr>
          <w:rFonts w:eastAsia="Times New Roman"/>
          <w:color w:val="FF0000"/>
          <w:sz w:val="22"/>
          <w:szCs w:val="22"/>
        </w:rPr>
        <w:t>vary under different economic scenarios, the form of asset adequacy analysis should be cash-flow testing.</w:t>
      </w:r>
    </w:p>
    <w:p w14:paraId="65029420" w14:textId="77777777" w:rsidR="00FD422C" w:rsidRDefault="00FD422C" w:rsidP="00FD422C">
      <w:pPr>
        <w:pStyle w:val="ListParagraph"/>
        <w:spacing w:line="271" w:lineRule="auto"/>
        <w:ind w:left="2520"/>
        <w:jc w:val="both"/>
        <w:rPr>
          <w:rFonts w:eastAsia="Times New Roman"/>
          <w:color w:val="FF0000"/>
          <w:sz w:val="22"/>
          <w:szCs w:val="22"/>
        </w:rPr>
      </w:pPr>
    </w:p>
    <w:p w14:paraId="0065B9B6" w14:textId="0E4EBB5A" w:rsidR="00FD422C" w:rsidRDefault="00FD422C" w:rsidP="000C737D">
      <w:pPr>
        <w:pStyle w:val="ListParagraph"/>
        <w:numPr>
          <w:ilvl w:val="0"/>
          <w:numId w:val="6"/>
        </w:numPr>
        <w:spacing w:line="271" w:lineRule="auto"/>
        <w:ind w:left="2430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>For year-end 202</w:t>
      </w:r>
      <w:r w:rsidR="002B2AE6">
        <w:rPr>
          <w:rFonts w:eastAsia="Times New Roman"/>
          <w:color w:val="FF0000"/>
          <w:sz w:val="22"/>
          <w:szCs w:val="22"/>
        </w:rPr>
        <w:t>5</w:t>
      </w:r>
      <w:r>
        <w:rPr>
          <w:rFonts w:eastAsia="Times New Roman"/>
          <w:color w:val="FF0000"/>
          <w:sz w:val="22"/>
          <w:szCs w:val="22"/>
        </w:rPr>
        <w:t xml:space="preserve"> asset adequacy analysis, d</w:t>
      </w:r>
      <w:r w:rsidR="00AA5E59" w:rsidRPr="00AA5E59">
        <w:rPr>
          <w:rFonts w:eastAsia="Times New Roman"/>
          <w:color w:val="FF0000"/>
          <w:sz w:val="22"/>
          <w:szCs w:val="22"/>
        </w:rPr>
        <w:t xml:space="preserve">epending on the circumstances including risk exposure, simplified asset adequacy </w:t>
      </w:r>
      <w:r>
        <w:rPr>
          <w:rFonts w:eastAsia="Times New Roman"/>
          <w:color w:val="FF0000"/>
          <w:sz w:val="22"/>
          <w:szCs w:val="22"/>
        </w:rPr>
        <w:t>analysis</w:t>
      </w:r>
      <w:r w:rsidR="00AA5E59" w:rsidRPr="00AA5E59">
        <w:rPr>
          <w:rFonts w:eastAsia="Times New Roman"/>
          <w:color w:val="FF0000"/>
          <w:sz w:val="22"/>
          <w:szCs w:val="22"/>
        </w:rPr>
        <w:t xml:space="preserve"> techniques may be appropriate</w:t>
      </w:r>
      <w:r w:rsidR="00667067">
        <w:rPr>
          <w:rFonts w:eastAsia="Times New Roman"/>
          <w:color w:val="FF0000"/>
          <w:sz w:val="22"/>
          <w:szCs w:val="22"/>
        </w:rPr>
        <w:t xml:space="preserve"> for gross of reinsurance asset adequacy analysis</w:t>
      </w:r>
      <w:r w:rsidR="00AA5E59" w:rsidRPr="00AA5E59">
        <w:rPr>
          <w:rFonts w:eastAsia="Times New Roman"/>
          <w:color w:val="FF0000"/>
          <w:sz w:val="22"/>
          <w:szCs w:val="22"/>
        </w:rPr>
        <w:t>, as noted in ASOP No. 22.</w:t>
      </w:r>
      <w:r>
        <w:rPr>
          <w:rFonts w:eastAsia="Times New Roman"/>
          <w:color w:val="FF0000"/>
          <w:sz w:val="22"/>
          <w:szCs w:val="22"/>
        </w:rPr>
        <w:t xml:space="preserve"> If the appointed actuary has any questions on the appropriateness of the use of simplifications, they should inquire with the domiciliary commissioner.</w:t>
      </w:r>
    </w:p>
    <w:p w14:paraId="44CA4AE5" w14:textId="77777777" w:rsidR="00FD422C" w:rsidRPr="00FD422C" w:rsidRDefault="00FD422C" w:rsidP="00FD422C">
      <w:pPr>
        <w:pStyle w:val="ListParagraph"/>
        <w:rPr>
          <w:rFonts w:eastAsia="Times New Roman"/>
          <w:color w:val="FF0000"/>
          <w:sz w:val="22"/>
          <w:szCs w:val="22"/>
        </w:rPr>
      </w:pPr>
    </w:p>
    <w:p w14:paraId="4EDE64B5" w14:textId="1FE38B96" w:rsidR="00FD422C" w:rsidRDefault="00C36C70" w:rsidP="00FD422C">
      <w:pPr>
        <w:pStyle w:val="ListParagraph"/>
        <w:spacing w:line="271" w:lineRule="auto"/>
        <w:ind w:left="2160"/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>[</w:t>
      </w:r>
      <w:r w:rsidR="00FD422C">
        <w:rPr>
          <w:rFonts w:eastAsia="Times New Roman"/>
          <w:color w:val="FF0000"/>
          <w:sz w:val="22"/>
          <w:szCs w:val="22"/>
        </w:rPr>
        <w:t xml:space="preserve">DRAFTING NOTE:  </w:t>
      </w:r>
      <w:r>
        <w:rPr>
          <w:rFonts w:eastAsia="Times New Roman"/>
          <w:color w:val="FF0000"/>
          <w:sz w:val="22"/>
          <w:szCs w:val="22"/>
        </w:rPr>
        <w:t>For year-end 202</w:t>
      </w:r>
      <w:r w:rsidR="002B2AE6">
        <w:rPr>
          <w:rFonts w:eastAsia="Times New Roman"/>
          <w:color w:val="FF0000"/>
          <w:sz w:val="22"/>
          <w:szCs w:val="22"/>
        </w:rPr>
        <w:t>5</w:t>
      </w:r>
      <w:r>
        <w:rPr>
          <w:rFonts w:eastAsia="Times New Roman"/>
          <w:color w:val="FF0000"/>
          <w:sz w:val="22"/>
          <w:szCs w:val="22"/>
        </w:rPr>
        <w:t>, the domiciliary commissioner may be recommended to consult with VAWG if addressing questions on simplification techniques.  For year-end 202</w:t>
      </w:r>
      <w:r w:rsidR="002B2AE6">
        <w:rPr>
          <w:rFonts w:eastAsia="Times New Roman"/>
          <w:color w:val="FF0000"/>
          <w:sz w:val="22"/>
          <w:szCs w:val="22"/>
        </w:rPr>
        <w:t>6</w:t>
      </w:r>
      <w:r>
        <w:rPr>
          <w:rFonts w:eastAsia="Times New Roman"/>
          <w:color w:val="FF0000"/>
          <w:sz w:val="22"/>
          <w:szCs w:val="22"/>
        </w:rPr>
        <w:t xml:space="preserve">, there may be consideration of requiring </w:t>
      </w:r>
      <w:r w:rsidR="00FB0F31">
        <w:rPr>
          <w:rFonts w:eastAsia="Times New Roman"/>
          <w:color w:val="FF0000"/>
          <w:sz w:val="22"/>
          <w:szCs w:val="22"/>
        </w:rPr>
        <w:t>pre-</w:t>
      </w:r>
      <w:r>
        <w:rPr>
          <w:rFonts w:eastAsia="Times New Roman"/>
          <w:color w:val="FF0000"/>
          <w:sz w:val="22"/>
          <w:szCs w:val="22"/>
        </w:rPr>
        <w:t>approval for allowing the use of simplifying techniques.</w:t>
      </w:r>
      <w:r w:rsidR="00FB0F31">
        <w:rPr>
          <w:rFonts w:eastAsia="Times New Roman"/>
          <w:color w:val="FF0000"/>
          <w:sz w:val="22"/>
          <w:szCs w:val="22"/>
        </w:rPr>
        <w:t xml:space="preserve"> This will be determined after observing the effectiveness of </w:t>
      </w:r>
      <w:r w:rsidR="00805E42">
        <w:rPr>
          <w:rFonts w:eastAsia="Times New Roman"/>
          <w:color w:val="FF0000"/>
          <w:sz w:val="22"/>
          <w:szCs w:val="22"/>
        </w:rPr>
        <w:t>company determination of the appropriateness of simplification techniques for year-end 202</w:t>
      </w:r>
      <w:r w:rsidR="002B2AE6">
        <w:rPr>
          <w:rFonts w:eastAsia="Times New Roman"/>
          <w:color w:val="FF0000"/>
          <w:sz w:val="22"/>
          <w:szCs w:val="22"/>
        </w:rPr>
        <w:t>5</w:t>
      </w:r>
      <w:r w:rsidR="00805E42">
        <w:rPr>
          <w:rFonts w:eastAsia="Times New Roman"/>
          <w:color w:val="FF0000"/>
          <w:sz w:val="22"/>
          <w:szCs w:val="22"/>
        </w:rPr>
        <w:t>.</w:t>
      </w:r>
      <w:r>
        <w:rPr>
          <w:rFonts w:eastAsia="Times New Roman"/>
          <w:color w:val="FF0000"/>
          <w:sz w:val="22"/>
          <w:szCs w:val="22"/>
        </w:rPr>
        <w:t>]</w:t>
      </w:r>
    </w:p>
    <w:p w14:paraId="4A6CB496" w14:textId="77777777" w:rsidR="002A1D7D" w:rsidRPr="005B233B" w:rsidRDefault="002A1D7D" w:rsidP="002A1D7D">
      <w:pPr>
        <w:ind w:left="1152" w:hanging="576"/>
        <w:jc w:val="both"/>
        <w:rPr>
          <w:sz w:val="22"/>
          <w:szCs w:val="22"/>
        </w:rPr>
      </w:pPr>
    </w:p>
    <w:p w14:paraId="513F97CA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  <w:t>State the reason for the proposed amendment? (You may do this through an attachment.)</w:t>
      </w:r>
    </w:p>
    <w:p w14:paraId="0FAEF727" w14:textId="2BA3B3D5" w:rsidR="002A1D7D" w:rsidRDefault="00C208A1" w:rsidP="00C208A1">
      <w:pPr>
        <w:tabs>
          <w:tab w:val="left" w:pos="4911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4C53AE" w14:textId="1E0CB3A3" w:rsidR="002A1D7D" w:rsidRDefault="00972BE0" w:rsidP="00655F51">
      <w:pPr>
        <w:spacing w:line="271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For state regulators to perform their core duty of solvency protection, information on reserve adequacy in light of material risks needs to be available, even if business is reinsured.</w:t>
      </w:r>
      <w:r w:rsidR="00655F51">
        <w:rPr>
          <w:sz w:val="22"/>
          <w:szCs w:val="22"/>
        </w:rPr>
        <w:t xml:space="preserve">  The goal is to have asset adequacy analysis according to VM-30 standards available for state regulator review for all business written by U.S. life insurers.</w:t>
      </w:r>
    </w:p>
    <w:p w14:paraId="3B4CBAD1" w14:textId="77777777" w:rsidR="007646AF" w:rsidRPr="00C208A1" w:rsidRDefault="007646AF" w:rsidP="002A1D7D">
      <w:pPr>
        <w:spacing w:line="259" w:lineRule="auto"/>
        <w:ind w:left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DC0E65" w:rsidRPr="003036F1" w14:paraId="2B93D8A4" w14:textId="77777777" w:rsidTr="002325CF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3CEEA43B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  <w:r w:rsidRPr="003036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2A1F5216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0E9CE9FD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34C95A24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DC0E65" w:rsidRPr="003036F1" w14:paraId="238BE4E1" w14:textId="77777777" w:rsidTr="002325CF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61EAE2F1" w14:textId="7D777D7B" w:rsidR="00DC0E65" w:rsidRPr="003036F1" w:rsidRDefault="007646AF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0E65">
              <w:rPr>
                <w:sz w:val="20"/>
                <w:szCs w:val="20"/>
              </w:rPr>
              <w:t>/</w:t>
            </w:r>
            <w:r w:rsidR="00DA66B4">
              <w:rPr>
                <w:sz w:val="20"/>
                <w:szCs w:val="20"/>
              </w:rPr>
              <w:t>12</w:t>
            </w:r>
            <w:r w:rsidR="00DC0E65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CCCCCC"/>
          </w:tcPr>
          <w:p w14:paraId="0B112FD0" w14:textId="692715F4" w:rsidR="00DC0E65" w:rsidRPr="003036F1" w:rsidRDefault="00DA66B4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S.O.</w:t>
            </w:r>
          </w:p>
        </w:tc>
        <w:tc>
          <w:tcPr>
            <w:tcW w:w="1955" w:type="dxa"/>
            <w:shd w:val="clear" w:color="auto" w:fill="CCCCCC"/>
          </w:tcPr>
          <w:p w14:paraId="2D64067F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7159F7FF" w14:textId="77777777" w:rsidR="00DC0E65" w:rsidRPr="003036F1" w:rsidRDefault="00DC0E65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DC0E65" w:rsidRPr="003036F1" w14:paraId="2D1A5A57" w14:textId="77777777" w:rsidTr="002325CF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48D84D4D" w14:textId="479C58DA" w:rsidR="00DC0E65" w:rsidRPr="003036F1" w:rsidRDefault="00DC0E65" w:rsidP="002325CF">
            <w:pPr>
              <w:jc w:val="both"/>
              <w:rPr>
                <w:sz w:val="20"/>
                <w:szCs w:val="20"/>
              </w:rPr>
            </w:pPr>
            <w:r w:rsidRPr="003036F1">
              <w:rPr>
                <w:b/>
                <w:sz w:val="20"/>
                <w:szCs w:val="20"/>
              </w:rPr>
              <w:t>Notes:</w:t>
            </w:r>
            <w:r w:rsidRPr="00303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7646AF">
              <w:rPr>
                <w:sz w:val="20"/>
                <w:szCs w:val="20"/>
              </w:rPr>
              <w:t>4-</w:t>
            </w:r>
            <w:r w:rsidR="00DA66B4">
              <w:rPr>
                <w:sz w:val="20"/>
                <w:szCs w:val="20"/>
              </w:rPr>
              <w:t>03</w:t>
            </w:r>
          </w:p>
        </w:tc>
      </w:tr>
    </w:tbl>
    <w:p w14:paraId="1C928B17" w14:textId="77777777" w:rsidR="00DC0E65" w:rsidRDefault="00DC0E65" w:rsidP="00FB0F31"/>
    <w:sectPr w:rsidR="00DC0E65" w:rsidSect="00D2735C">
      <w:pgSz w:w="12240" w:h="15840"/>
      <w:pgMar w:top="108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CAE"/>
    <w:multiLevelType w:val="hybridMultilevel"/>
    <w:tmpl w:val="941A2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16694C"/>
    <w:multiLevelType w:val="hybridMultilevel"/>
    <w:tmpl w:val="8ACC29A6"/>
    <w:lvl w:ilvl="0" w:tplc="1876C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343DD"/>
    <w:multiLevelType w:val="hybridMultilevel"/>
    <w:tmpl w:val="6540A666"/>
    <w:lvl w:ilvl="0" w:tplc="9E383172">
      <w:start w:val="1"/>
      <w:numFmt w:val="lowerRoman"/>
      <w:lvlText w:val="%1."/>
      <w:lvlJc w:val="right"/>
      <w:pPr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860DFA"/>
    <w:multiLevelType w:val="hybridMultilevel"/>
    <w:tmpl w:val="6E58B5B4"/>
    <w:lvl w:ilvl="0" w:tplc="B868E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1A00"/>
    <w:multiLevelType w:val="hybridMultilevel"/>
    <w:tmpl w:val="649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07D7"/>
    <w:multiLevelType w:val="hybridMultilevel"/>
    <w:tmpl w:val="FB9A0836"/>
    <w:lvl w:ilvl="0" w:tplc="5E101634">
      <w:start w:val="1"/>
      <w:numFmt w:val="lowerRoman"/>
      <w:lvlText w:val="%1."/>
      <w:lvlJc w:val="right"/>
      <w:pPr>
        <w:ind w:left="3960" w:hanging="360"/>
      </w:pPr>
      <w:rPr>
        <w:rFonts w:hint="default"/>
      </w:rPr>
    </w:lvl>
    <w:lvl w:ilvl="1" w:tplc="39968E40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E8515B"/>
    <w:multiLevelType w:val="hybridMultilevel"/>
    <w:tmpl w:val="F7EE10D0"/>
    <w:lvl w:ilvl="0" w:tplc="680E789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EBCBF4E">
      <w:start w:val="6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9E38317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6685643">
    <w:abstractNumId w:val="6"/>
  </w:num>
  <w:num w:numId="2" w16cid:durableId="1521969066">
    <w:abstractNumId w:val="4"/>
  </w:num>
  <w:num w:numId="3" w16cid:durableId="962156063">
    <w:abstractNumId w:val="4"/>
  </w:num>
  <w:num w:numId="4" w16cid:durableId="158204991">
    <w:abstractNumId w:val="0"/>
  </w:num>
  <w:num w:numId="5" w16cid:durableId="1089346034">
    <w:abstractNumId w:val="1"/>
  </w:num>
  <w:num w:numId="6" w16cid:durableId="1528522793">
    <w:abstractNumId w:val="2"/>
  </w:num>
  <w:num w:numId="7" w16cid:durableId="647049446">
    <w:abstractNumId w:val="5"/>
  </w:num>
  <w:num w:numId="8" w16cid:durableId="540289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D"/>
    <w:rsid w:val="0000149F"/>
    <w:rsid w:val="0000169C"/>
    <w:rsid w:val="000148BE"/>
    <w:rsid w:val="000405A0"/>
    <w:rsid w:val="000C737D"/>
    <w:rsid w:val="00174DEC"/>
    <w:rsid w:val="002265BB"/>
    <w:rsid w:val="002447F8"/>
    <w:rsid w:val="00267932"/>
    <w:rsid w:val="002A0852"/>
    <w:rsid w:val="002A1D7D"/>
    <w:rsid w:val="002B2AE6"/>
    <w:rsid w:val="002E5538"/>
    <w:rsid w:val="00397048"/>
    <w:rsid w:val="003D413C"/>
    <w:rsid w:val="00495E75"/>
    <w:rsid w:val="004C607D"/>
    <w:rsid w:val="00600261"/>
    <w:rsid w:val="006058A2"/>
    <w:rsid w:val="006478C0"/>
    <w:rsid w:val="00647A0B"/>
    <w:rsid w:val="00655F51"/>
    <w:rsid w:val="00667067"/>
    <w:rsid w:val="006C2CB5"/>
    <w:rsid w:val="006E1061"/>
    <w:rsid w:val="007646AF"/>
    <w:rsid w:val="0079215B"/>
    <w:rsid w:val="00805E42"/>
    <w:rsid w:val="00850CC4"/>
    <w:rsid w:val="008B7246"/>
    <w:rsid w:val="00972BE0"/>
    <w:rsid w:val="00A128A4"/>
    <w:rsid w:val="00A3447A"/>
    <w:rsid w:val="00A73D50"/>
    <w:rsid w:val="00A7654E"/>
    <w:rsid w:val="00A77A08"/>
    <w:rsid w:val="00A957E3"/>
    <w:rsid w:val="00AA5E59"/>
    <w:rsid w:val="00AC4321"/>
    <w:rsid w:val="00B1399E"/>
    <w:rsid w:val="00B213DF"/>
    <w:rsid w:val="00B523E1"/>
    <w:rsid w:val="00B94F2E"/>
    <w:rsid w:val="00C208A1"/>
    <w:rsid w:val="00C36C70"/>
    <w:rsid w:val="00C52CD9"/>
    <w:rsid w:val="00CF65BC"/>
    <w:rsid w:val="00D106F1"/>
    <w:rsid w:val="00D2735C"/>
    <w:rsid w:val="00D308B3"/>
    <w:rsid w:val="00D336F7"/>
    <w:rsid w:val="00D43E21"/>
    <w:rsid w:val="00D61913"/>
    <w:rsid w:val="00D80578"/>
    <w:rsid w:val="00D829DA"/>
    <w:rsid w:val="00DA66B4"/>
    <w:rsid w:val="00DC0E65"/>
    <w:rsid w:val="00DC6D24"/>
    <w:rsid w:val="00DE1E59"/>
    <w:rsid w:val="00DF0DA9"/>
    <w:rsid w:val="00E06AA4"/>
    <w:rsid w:val="00E14703"/>
    <w:rsid w:val="00F856E3"/>
    <w:rsid w:val="00F877D4"/>
    <w:rsid w:val="00FB0F31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2E00"/>
  <w15:chartTrackingRefBased/>
  <w15:docId w15:val="{BADA6345-4ABD-42AD-8D81-823699F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7D"/>
    <w:pPr>
      <w:ind w:left="720"/>
    </w:pPr>
  </w:style>
  <w:style w:type="paragraph" w:customStyle="1" w:styleId="Default">
    <w:name w:val="Default"/>
    <w:rsid w:val="00605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706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067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67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0" ma:contentTypeDescription="Create a new document." ma:contentTypeScope="" ma:versionID="a35f1f068c86e4c7ca8d418cf71f27e0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814abd61b3e7f51f7c7eff1099cc50c4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C7952-66D0-4D08-841B-691F4C674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20E21-ED79-40A4-8A18-BBEB31A5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O'Neal, Scott</cp:lastModifiedBy>
  <cp:revision>4</cp:revision>
  <dcterms:created xsi:type="dcterms:W3CDTF">2024-02-10T17:57:00Z</dcterms:created>
  <dcterms:modified xsi:type="dcterms:W3CDTF">2024-02-12T17:23:00Z</dcterms:modified>
</cp:coreProperties>
</file>