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7892" w14:textId="5684FACE" w:rsidR="00192BE4" w:rsidRDefault="00192BE4" w:rsidP="00192BE4">
      <w:pPr>
        <w:rPr>
          <w:sz w:val="22"/>
          <w:szCs w:val="22"/>
        </w:rPr>
      </w:pPr>
      <w:r>
        <w:rPr>
          <w:sz w:val="22"/>
          <w:szCs w:val="22"/>
        </w:rPr>
        <w:t>Date: 3/</w:t>
      </w:r>
      <w:r w:rsidR="003E0729">
        <w:rPr>
          <w:sz w:val="22"/>
          <w:szCs w:val="22"/>
        </w:rPr>
        <w:t>1</w:t>
      </w:r>
      <w:r w:rsidR="00DC4CBA">
        <w:rPr>
          <w:sz w:val="22"/>
          <w:szCs w:val="22"/>
        </w:rPr>
        <w:t>5</w:t>
      </w:r>
      <w:r>
        <w:rPr>
          <w:sz w:val="22"/>
          <w:szCs w:val="22"/>
        </w:rPr>
        <w:t>/22</w:t>
      </w:r>
    </w:p>
    <w:p w14:paraId="78DCEC1F" w14:textId="77777777" w:rsidR="00192BE4" w:rsidRDefault="00192BE4" w:rsidP="00192BE4">
      <w:pPr>
        <w:rPr>
          <w:sz w:val="22"/>
          <w:szCs w:val="22"/>
        </w:rPr>
      </w:pPr>
    </w:p>
    <w:p w14:paraId="4E5B4ECE" w14:textId="77777777" w:rsidR="00192BE4" w:rsidRDefault="00192BE4" w:rsidP="00192BE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Virtual Meeting </w:t>
      </w:r>
    </w:p>
    <w:p w14:paraId="1FEB2442" w14:textId="77777777" w:rsidR="00192BE4" w:rsidRDefault="00192BE4" w:rsidP="00192BE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lieu of meeting at the 2022 Spring National Meeting)</w:t>
      </w:r>
    </w:p>
    <w:p w14:paraId="1ADAAF47" w14:textId="77777777" w:rsidR="00192BE4" w:rsidRDefault="00192BE4" w:rsidP="00192BE4">
      <w:pPr>
        <w:rPr>
          <w:b/>
          <w:bCs/>
          <w:sz w:val="22"/>
          <w:szCs w:val="22"/>
        </w:rPr>
      </w:pPr>
    </w:p>
    <w:p w14:paraId="226F1CCE" w14:textId="60A84535" w:rsidR="006F38F1" w:rsidRPr="000E58B0" w:rsidRDefault="003E0729" w:rsidP="006F38F1">
      <w:pPr>
        <w:contextualSpacing/>
        <w:rPr>
          <w:b/>
          <w:bCs/>
          <w:sz w:val="22"/>
          <w:szCs w:val="22"/>
        </w:rPr>
      </w:pPr>
      <w:r w:rsidRPr="000E58B0">
        <w:rPr>
          <w:b/>
          <w:bCs/>
          <w:sz w:val="22"/>
          <w:szCs w:val="22"/>
        </w:rPr>
        <w:t>ERISA</w:t>
      </w:r>
      <w:r w:rsidR="006F38F1" w:rsidRPr="000E58B0">
        <w:rPr>
          <w:b/>
          <w:bCs/>
          <w:sz w:val="22"/>
          <w:szCs w:val="22"/>
        </w:rPr>
        <w:t xml:space="preserve"> (</w:t>
      </w:r>
      <w:r w:rsidRPr="000E58B0">
        <w:rPr>
          <w:b/>
          <w:bCs/>
          <w:sz w:val="22"/>
          <w:szCs w:val="22"/>
        </w:rPr>
        <w:t>B</w:t>
      </w:r>
      <w:r w:rsidR="006F38F1" w:rsidRPr="000E58B0">
        <w:rPr>
          <w:b/>
          <w:bCs/>
          <w:sz w:val="22"/>
          <w:szCs w:val="22"/>
        </w:rPr>
        <w:t xml:space="preserve">) Working Group </w:t>
      </w:r>
    </w:p>
    <w:p w14:paraId="1BB0DE15" w14:textId="5C040E9F" w:rsidR="006F38F1" w:rsidRPr="000E58B0" w:rsidRDefault="00F315E0" w:rsidP="006F38F1">
      <w:pPr>
        <w:contextualSpacing/>
        <w:rPr>
          <w:sz w:val="22"/>
          <w:szCs w:val="22"/>
        </w:rPr>
      </w:pPr>
      <w:r w:rsidRPr="000E58B0">
        <w:rPr>
          <w:sz w:val="22"/>
          <w:szCs w:val="22"/>
        </w:rPr>
        <w:t xml:space="preserve">Tuesday, </w:t>
      </w:r>
      <w:r w:rsidR="006F38F1" w:rsidRPr="000E58B0">
        <w:rPr>
          <w:sz w:val="22"/>
          <w:szCs w:val="22"/>
        </w:rPr>
        <w:t xml:space="preserve">March </w:t>
      </w:r>
      <w:r w:rsidRPr="000E58B0">
        <w:rPr>
          <w:sz w:val="22"/>
          <w:szCs w:val="22"/>
        </w:rPr>
        <w:t>22</w:t>
      </w:r>
      <w:r w:rsidR="006F38F1" w:rsidRPr="000E58B0">
        <w:rPr>
          <w:sz w:val="22"/>
          <w:szCs w:val="22"/>
        </w:rPr>
        <w:t>, 2022</w:t>
      </w:r>
    </w:p>
    <w:p w14:paraId="6B449DE6" w14:textId="38BCCE80" w:rsidR="006F38F1" w:rsidRPr="000E7793" w:rsidRDefault="00F315E0" w:rsidP="006F38F1">
      <w:pPr>
        <w:contextualSpacing/>
        <w:rPr>
          <w:sz w:val="22"/>
          <w:szCs w:val="22"/>
        </w:rPr>
      </w:pPr>
      <w:r w:rsidRPr="000E58B0">
        <w:rPr>
          <w:sz w:val="22"/>
          <w:szCs w:val="22"/>
        </w:rPr>
        <w:t>3</w:t>
      </w:r>
      <w:r w:rsidR="006F38F1" w:rsidRPr="000E58B0">
        <w:rPr>
          <w:sz w:val="22"/>
          <w:szCs w:val="22"/>
        </w:rPr>
        <w:t xml:space="preserve">:00 – </w:t>
      </w:r>
      <w:r w:rsidR="008A0C34" w:rsidRPr="000E58B0">
        <w:rPr>
          <w:sz w:val="22"/>
          <w:szCs w:val="22"/>
        </w:rPr>
        <w:t>3</w:t>
      </w:r>
      <w:r w:rsidR="006F38F1" w:rsidRPr="000E58B0">
        <w:rPr>
          <w:sz w:val="22"/>
          <w:szCs w:val="22"/>
        </w:rPr>
        <w:t>:</w:t>
      </w:r>
      <w:r w:rsidR="008A0C34" w:rsidRPr="000E58B0">
        <w:rPr>
          <w:sz w:val="22"/>
          <w:szCs w:val="22"/>
        </w:rPr>
        <w:t>30</w:t>
      </w:r>
      <w:r w:rsidR="006F38F1" w:rsidRPr="000E58B0">
        <w:rPr>
          <w:sz w:val="22"/>
          <w:szCs w:val="22"/>
        </w:rPr>
        <w:t xml:space="preserve"> p.m. ET / </w:t>
      </w:r>
      <w:r w:rsidR="006E16ED" w:rsidRPr="000E58B0">
        <w:rPr>
          <w:sz w:val="22"/>
          <w:szCs w:val="22"/>
        </w:rPr>
        <w:t>2</w:t>
      </w:r>
      <w:r w:rsidR="006F38F1" w:rsidRPr="000E58B0">
        <w:rPr>
          <w:sz w:val="22"/>
          <w:szCs w:val="22"/>
        </w:rPr>
        <w:t xml:space="preserve">:00 – </w:t>
      </w:r>
      <w:r w:rsidR="006E16ED" w:rsidRPr="000E58B0">
        <w:rPr>
          <w:sz w:val="22"/>
          <w:szCs w:val="22"/>
        </w:rPr>
        <w:t>2</w:t>
      </w:r>
      <w:r w:rsidR="006F38F1" w:rsidRPr="000E58B0">
        <w:rPr>
          <w:sz w:val="22"/>
          <w:szCs w:val="22"/>
        </w:rPr>
        <w:t>:</w:t>
      </w:r>
      <w:r w:rsidR="006E16ED" w:rsidRPr="000E58B0">
        <w:rPr>
          <w:sz w:val="22"/>
          <w:szCs w:val="22"/>
        </w:rPr>
        <w:t>3</w:t>
      </w:r>
      <w:r w:rsidR="006F38F1" w:rsidRPr="000E58B0">
        <w:rPr>
          <w:sz w:val="22"/>
          <w:szCs w:val="22"/>
        </w:rPr>
        <w:t xml:space="preserve">0 </w:t>
      </w:r>
      <w:r w:rsidR="006E16ED" w:rsidRPr="000E58B0">
        <w:rPr>
          <w:sz w:val="22"/>
          <w:szCs w:val="22"/>
        </w:rPr>
        <w:t>p</w:t>
      </w:r>
      <w:r w:rsidR="006F38F1" w:rsidRPr="000E58B0">
        <w:rPr>
          <w:sz w:val="22"/>
          <w:szCs w:val="22"/>
        </w:rPr>
        <w:t xml:space="preserve">.m. CT / </w:t>
      </w:r>
      <w:r w:rsidR="006E16ED" w:rsidRPr="000E58B0">
        <w:rPr>
          <w:sz w:val="22"/>
          <w:szCs w:val="22"/>
        </w:rPr>
        <w:t>1</w:t>
      </w:r>
      <w:r w:rsidR="006F38F1" w:rsidRPr="000E58B0">
        <w:rPr>
          <w:sz w:val="22"/>
          <w:szCs w:val="22"/>
        </w:rPr>
        <w:t xml:space="preserve">:00 – </w:t>
      </w:r>
      <w:r w:rsidR="00B55270" w:rsidRPr="000E58B0">
        <w:rPr>
          <w:sz w:val="22"/>
          <w:szCs w:val="22"/>
        </w:rPr>
        <w:t>1</w:t>
      </w:r>
      <w:r w:rsidR="006F38F1" w:rsidRPr="000E58B0">
        <w:rPr>
          <w:sz w:val="22"/>
          <w:szCs w:val="22"/>
        </w:rPr>
        <w:t>:</w:t>
      </w:r>
      <w:r w:rsidR="006E16ED" w:rsidRPr="000E58B0">
        <w:rPr>
          <w:sz w:val="22"/>
          <w:szCs w:val="22"/>
        </w:rPr>
        <w:t>3</w:t>
      </w:r>
      <w:r w:rsidR="006F38F1" w:rsidRPr="000E58B0">
        <w:rPr>
          <w:sz w:val="22"/>
          <w:szCs w:val="22"/>
        </w:rPr>
        <w:t xml:space="preserve">0 </w:t>
      </w:r>
      <w:r w:rsidR="006E16ED" w:rsidRPr="000E58B0">
        <w:rPr>
          <w:sz w:val="22"/>
          <w:szCs w:val="22"/>
        </w:rPr>
        <w:t>p</w:t>
      </w:r>
      <w:r w:rsidR="006F38F1" w:rsidRPr="000E58B0">
        <w:rPr>
          <w:sz w:val="22"/>
          <w:szCs w:val="22"/>
        </w:rPr>
        <w:t xml:space="preserve">.m. MT / </w:t>
      </w:r>
      <w:r w:rsidR="00874825" w:rsidRPr="000E58B0">
        <w:rPr>
          <w:sz w:val="22"/>
          <w:szCs w:val="22"/>
        </w:rPr>
        <w:t>12</w:t>
      </w:r>
      <w:r w:rsidR="006F38F1" w:rsidRPr="000E58B0">
        <w:rPr>
          <w:sz w:val="22"/>
          <w:szCs w:val="22"/>
        </w:rPr>
        <w:t xml:space="preserve">:00 – </w:t>
      </w:r>
      <w:r w:rsidR="00874825" w:rsidRPr="000E58B0">
        <w:rPr>
          <w:sz w:val="22"/>
          <w:szCs w:val="22"/>
        </w:rPr>
        <w:t>12</w:t>
      </w:r>
      <w:r w:rsidR="006F38F1" w:rsidRPr="000E58B0">
        <w:rPr>
          <w:sz w:val="22"/>
          <w:szCs w:val="22"/>
        </w:rPr>
        <w:t>:</w:t>
      </w:r>
      <w:r w:rsidR="00874825" w:rsidRPr="000E58B0">
        <w:rPr>
          <w:sz w:val="22"/>
          <w:szCs w:val="22"/>
        </w:rPr>
        <w:t>3</w:t>
      </w:r>
      <w:r w:rsidR="006F38F1" w:rsidRPr="000E58B0">
        <w:rPr>
          <w:sz w:val="22"/>
          <w:szCs w:val="22"/>
        </w:rPr>
        <w:t xml:space="preserve">0 </w:t>
      </w:r>
      <w:r w:rsidR="00B55270" w:rsidRPr="000E58B0">
        <w:rPr>
          <w:sz w:val="22"/>
          <w:szCs w:val="22"/>
        </w:rPr>
        <w:t>a</w:t>
      </w:r>
      <w:r w:rsidR="006F38F1" w:rsidRPr="000E58B0">
        <w:rPr>
          <w:sz w:val="22"/>
          <w:szCs w:val="22"/>
        </w:rPr>
        <w:t>.m. PT</w:t>
      </w:r>
    </w:p>
    <w:p w14:paraId="426A6B54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07A44937" w14:textId="77777777" w:rsidR="006F38F1" w:rsidRPr="000E7793" w:rsidRDefault="006F38F1" w:rsidP="006F38F1">
      <w:pPr>
        <w:contextualSpacing/>
        <w:rPr>
          <w:b/>
          <w:bCs/>
          <w:sz w:val="22"/>
          <w:szCs w:val="22"/>
        </w:rPr>
      </w:pPr>
      <w:r w:rsidRPr="000E7793">
        <w:rPr>
          <w:b/>
          <w:bCs/>
          <w:sz w:val="22"/>
          <w:szCs w:val="22"/>
        </w:rPr>
        <w:t>ROLL CALL</w:t>
      </w:r>
    </w:p>
    <w:p w14:paraId="1ECC7333" w14:textId="051A5740" w:rsidR="006F38F1" w:rsidRDefault="006F38F1" w:rsidP="006F38F1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700"/>
        <w:gridCol w:w="1800"/>
      </w:tblGrid>
      <w:tr w:rsidR="000F1D4E" w:rsidRPr="00F57CCA" w14:paraId="0B36E179" w14:textId="4715D271" w:rsidTr="000F1D4E">
        <w:tc>
          <w:tcPr>
            <w:tcW w:w="2340" w:type="dxa"/>
          </w:tcPr>
          <w:p w14:paraId="03E1DF0E" w14:textId="7E6672DF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Robert Wake, Chair </w:t>
            </w:r>
          </w:p>
        </w:tc>
        <w:tc>
          <w:tcPr>
            <w:tcW w:w="2520" w:type="dxa"/>
          </w:tcPr>
          <w:p w14:paraId="331825F4" w14:textId="3B51CFF8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Maine</w:t>
            </w:r>
          </w:p>
        </w:tc>
        <w:tc>
          <w:tcPr>
            <w:tcW w:w="2700" w:type="dxa"/>
          </w:tcPr>
          <w:p w14:paraId="36BAD02A" w14:textId="159AD659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Laura Arp</w:t>
            </w:r>
          </w:p>
        </w:tc>
        <w:tc>
          <w:tcPr>
            <w:tcW w:w="1800" w:type="dxa"/>
          </w:tcPr>
          <w:p w14:paraId="2B372014" w14:textId="600AFD34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Nebraska</w:t>
            </w:r>
          </w:p>
        </w:tc>
      </w:tr>
      <w:tr w:rsidR="000F1D4E" w:rsidRPr="00F57CCA" w14:paraId="3B47B0CE" w14:textId="3B65DDD1" w:rsidTr="000F1D4E">
        <w:tc>
          <w:tcPr>
            <w:tcW w:w="2340" w:type="dxa"/>
          </w:tcPr>
          <w:p w14:paraId="38373CEC" w14:textId="77777777" w:rsidR="000F1D4E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Yada Horace/</w:t>
            </w:r>
          </w:p>
          <w:p w14:paraId="53749A13" w14:textId="7C11214B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William Rodgers </w:t>
            </w:r>
          </w:p>
        </w:tc>
        <w:tc>
          <w:tcPr>
            <w:tcW w:w="2520" w:type="dxa"/>
          </w:tcPr>
          <w:p w14:paraId="13A6CD98" w14:textId="7DBF48D6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Alabama</w:t>
            </w:r>
          </w:p>
        </w:tc>
        <w:tc>
          <w:tcPr>
            <w:tcW w:w="2700" w:type="dxa"/>
          </w:tcPr>
          <w:p w14:paraId="704C8147" w14:textId="77777777" w:rsidR="000F1D4E" w:rsidRDefault="000F1D4E" w:rsidP="000F1D4E">
            <w:pPr>
              <w:contextualSpacing/>
              <w:rPr>
                <w:sz w:val="22"/>
                <w:szCs w:val="22"/>
              </w:rPr>
            </w:pPr>
            <w:r w:rsidRPr="000F1D4E">
              <w:rPr>
                <w:sz w:val="22"/>
                <w:szCs w:val="22"/>
              </w:rPr>
              <w:t>Jeremy Christensen/</w:t>
            </w:r>
          </w:p>
          <w:p w14:paraId="679D7609" w14:textId="420880FF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0F1D4E">
              <w:rPr>
                <w:sz w:val="22"/>
                <w:szCs w:val="22"/>
              </w:rPr>
              <w:t>Stephanie Canter</w:t>
            </w:r>
          </w:p>
        </w:tc>
        <w:tc>
          <w:tcPr>
            <w:tcW w:w="1800" w:type="dxa"/>
          </w:tcPr>
          <w:p w14:paraId="4DFB67A7" w14:textId="57549B71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Nevada</w:t>
            </w:r>
          </w:p>
        </w:tc>
      </w:tr>
      <w:tr w:rsidR="000F1D4E" w:rsidRPr="00F57CCA" w14:paraId="3FBFC473" w14:textId="7BB0CFF1" w:rsidTr="000F1D4E">
        <w:tc>
          <w:tcPr>
            <w:tcW w:w="2340" w:type="dxa"/>
          </w:tcPr>
          <w:p w14:paraId="4856A9E0" w14:textId="34106971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Jim Brader </w:t>
            </w:r>
          </w:p>
        </w:tc>
        <w:tc>
          <w:tcPr>
            <w:tcW w:w="2520" w:type="dxa"/>
          </w:tcPr>
          <w:p w14:paraId="5B19D8CD" w14:textId="74A9E618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Arkansas</w:t>
            </w:r>
          </w:p>
        </w:tc>
        <w:tc>
          <w:tcPr>
            <w:tcW w:w="2700" w:type="dxa"/>
          </w:tcPr>
          <w:p w14:paraId="2D9CF955" w14:textId="2F01F7F6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Ted Hamby</w:t>
            </w:r>
          </w:p>
        </w:tc>
        <w:tc>
          <w:tcPr>
            <w:tcW w:w="1800" w:type="dxa"/>
          </w:tcPr>
          <w:p w14:paraId="49264524" w14:textId="106A5686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0F1D4E">
              <w:rPr>
                <w:sz w:val="22"/>
                <w:szCs w:val="22"/>
              </w:rPr>
              <w:t>North Carolina</w:t>
            </w:r>
          </w:p>
        </w:tc>
      </w:tr>
      <w:tr w:rsidR="000F1D4E" w:rsidRPr="00F57CCA" w14:paraId="4B01B239" w14:textId="4EE207F1" w:rsidTr="000F1D4E">
        <w:tc>
          <w:tcPr>
            <w:tcW w:w="2340" w:type="dxa"/>
          </w:tcPr>
          <w:p w14:paraId="3AE053F5" w14:textId="4B4A2BB5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Kate Harris </w:t>
            </w:r>
          </w:p>
        </w:tc>
        <w:tc>
          <w:tcPr>
            <w:tcW w:w="2520" w:type="dxa"/>
          </w:tcPr>
          <w:p w14:paraId="30D09079" w14:textId="5EEFC017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Colorado</w:t>
            </w:r>
          </w:p>
        </w:tc>
        <w:tc>
          <w:tcPr>
            <w:tcW w:w="2700" w:type="dxa"/>
          </w:tcPr>
          <w:p w14:paraId="6B497111" w14:textId="7FD88815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Laura Miller</w:t>
            </w:r>
          </w:p>
        </w:tc>
        <w:tc>
          <w:tcPr>
            <w:tcW w:w="1800" w:type="dxa"/>
          </w:tcPr>
          <w:p w14:paraId="50577D12" w14:textId="6613B6C2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Ohio</w:t>
            </w:r>
          </w:p>
        </w:tc>
      </w:tr>
      <w:tr w:rsidR="000F1D4E" w:rsidRPr="00F57CCA" w14:paraId="126F57AC" w14:textId="0402A929" w:rsidTr="000F1D4E">
        <w:tc>
          <w:tcPr>
            <w:tcW w:w="2340" w:type="dxa"/>
          </w:tcPr>
          <w:p w14:paraId="1B1F14D8" w14:textId="0998B05B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Howard Liebers </w:t>
            </w:r>
          </w:p>
        </w:tc>
        <w:tc>
          <w:tcPr>
            <w:tcW w:w="2520" w:type="dxa"/>
          </w:tcPr>
          <w:p w14:paraId="43B89422" w14:textId="41B2445D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District of Columbia</w:t>
            </w:r>
          </w:p>
        </w:tc>
        <w:tc>
          <w:tcPr>
            <w:tcW w:w="2700" w:type="dxa"/>
          </w:tcPr>
          <w:p w14:paraId="7B932553" w14:textId="08581422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Andrew Schallhorn</w:t>
            </w:r>
          </w:p>
        </w:tc>
        <w:tc>
          <w:tcPr>
            <w:tcW w:w="1800" w:type="dxa"/>
          </w:tcPr>
          <w:p w14:paraId="75204323" w14:textId="307E283A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Oklahoma</w:t>
            </w:r>
          </w:p>
        </w:tc>
      </w:tr>
      <w:tr w:rsidR="000F1D4E" w:rsidRPr="00F57CCA" w14:paraId="4394355E" w14:textId="5704A603" w:rsidTr="000F1D4E">
        <w:tc>
          <w:tcPr>
            <w:tcW w:w="2340" w:type="dxa"/>
          </w:tcPr>
          <w:p w14:paraId="5483139C" w14:textId="45B0A9B7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Andria Seip </w:t>
            </w:r>
          </w:p>
        </w:tc>
        <w:tc>
          <w:tcPr>
            <w:tcW w:w="2520" w:type="dxa"/>
          </w:tcPr>
          <w:p w14:paraId="4346E14A" w14:textId="256BBA3B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0F1D4E">
              <w:rPr>
                <w:sz w:val="22"/>
                <w:szCs w:val="22"/>
              </w:rPr>
              <w:t>Iowa</w:t>
            </w:r>
          </w:p>
        </w:tc>
        <w:tc>
          <w:tcPr>
            <w:tcW w:w="2700" w:type="dxa"/>
          </w:tcPr>
          <w:p w14:paraId="28F5B926" w14:textId="1538239D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Jill Kruger</w:t>
            </w:r>
          </w:p>
        </w:tc>
        <w:tc>
          <w:tcPr>
            <w:tcW w:w="1800" w:type="dxa"/>
          </w:tcPr>
          <w:p w14:paraId="6861B36E" w14:textId="30FABE80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South Dakota</w:t>
            </w:r>
          </w:p>
        </w:tc>
      </w:tr>
      <w:tr w:rsidR="000F1D4E" w:rsidRPr="00F57CCA" w14:paraId="788130C0" w14:textId="31C3A48E" w:rsidTr="000F1D4E">
        <w:tc>
          <w:tcPr>
            <w:tcW w:w="2340" w:type="dxa"/>
          </w:tcPr>
          <w:p w14:paraId="27D02DFE" w14:textId="5544C1FD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Julie Holmes </w:t>
            </w:r>
          </w:p>
        </w:tc>
        <w:tc>
          <w:tcPr>
            <w:tcW w:w="2520" w:type="dxa"/>
          </w:tcPr>
          <w:p w14:paraId="58BB82E7" w14:textId="49D2F4D4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Kansas</w:t>
            </w:r>
          </w:p>
        </w:tc>
        <w:tc>
          <w:tcPr>
            <w:tcW w:w="2700" w:type="dxa"/>
          </w:tcPr>
          <w:p w14:paraId="4F2879BC" w14:textId="0F76E446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Tanji J. Northrup</w:t>
            </w:r>
          </w:p>
        </w:tc>
        <w:tc>
          <w:tcPr>
            <w:tcW w:w="1800" w:type="dxa"/>
          </w:tcPr>
          <w:p w14:paraId="398CA6BD" w14:textId="0C84EC1C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Utah</w:t>
            </w:r>
          </w:p>
        </w:tc>
      </w:tr>
      <w:tr w:rsidR="000F1D4E" w:rsidRPr="00F57CCA" w14:paraId="7C1E5081" w14:textId="021386FE" w:rsidTr="000F1D4E">
        <w:tc>
          <w:tcPr>
            <w:tcW w:w="2340" w:type="dxa"/>
          </w:tcPr>
          <w:p w14:paraId="0F3840E5" w14:textId="390595B1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Frank Opelka </w:t>
            </w:r>
          </w:p>
        </w:tc>
        <w:tc>
          <w:tcPr>
            <w:tcW w:w="2520" w:type="dxa"/>
          </w:tcPr>
          <w:p w14:paraId="56D73ABB" w14:textId="55802464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Louisiana</w:t>
            </w:r>
          </w:p>
        </w:tc>
        <w:tc>
          <w:tcPr>
            <w:tcW w:w="2700" w:type="dxa"/>
          </w:tcPr>
          <w:p w14:paraId="21004AB2" w14:textId="6C3D94DF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Charles Malone</w:t>
            </w:r>
          </w:p>
        </w:tc>
        <w:tc>
          <w:tcPr>
            <w:tcW w:w="1800" w:type="dxa"/>
          </w:tcPr>
          <w:p w14:paraId="422E635D" w14:textId="7B1A0368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Washington</w:t>
            </w:r>
          </w:p>
        </w:tc>
      </w:tr>
      <w:tr w:rsidR="000F1D4E" w:rsidRPr="00F57CCA" w14:paraId="445510DC" w14:textId="3569C5B8" w:rsidTr="000F1D4E">
        <w:tc>
          <w:tcPr>
            <w:tcW w:w="2340" w:type="dxa"/>
          </w:tcPr>
          <w:p w14:paraId="3203515C" w14:textId="0B38E73C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Grace Arnold </w:t>
            </w:r>
          </w:p>
        </w:tc>
        <w:tc>
          <w:tcPr>
            <w:tcW w:w="2520" w:type="dxa"/>
          </w:tcPr>
          <w:p w14:paraId="77CFA7B5" w14:textId="210BB035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Minnesota</w:t>
            </w:r>
          </w:p>
        </w:tc>
        <w:tc>
          <w:tcPr>
            <w:tcW w:w="2700" w:type="dxa"/>
          </w:tcPr>
          <w:p w14:paraId="31E5EA6F" w14:textId="11851B36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Richard Wicka</w:t>
            </w:r>
          </w:p>
        </w:tc>
        <w:tc>
          <w:tcPr>
            <w:tcW w:w="1800" w:type="dxa"/>
          </w:tcPr>
          <w:p w14:paraId="35D2E21C" w14:textId="3001AB7C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Wisconsin</w:t>
            </w:r>
          </w:p>
        </w:tc>
      </w:tr>
      <w:tr w:rsidR="000F1D4E" w:rsidRPr="00F57CCA" w14:paraId="2CD0179B" w14:textId="47069D7A" w:rsidTr="000F1D4E">
        <w:tc>
          <w:tcPr>
            <w:tcW w:w="2340" w:type="dxa"/>
          </w:tcPr>
          <w:p w14:paraId="0E74AAFB" w14:textId="107B4EE8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 xml:space="preserve">Carrie Couch </w:t>
            </w:r>
          </w:p>
        </w:tc>
        <w:tc>
          <w:tcPr>
            <w:tcW w:w="2520" w:type="dxa"/>
          </w:tcPr>
          <w:p w14:paraId="49E8352E" w14:textId="30DBD42B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  <w:r w:rsidRPr="00F57CCA">
              <w:rPr>
                <w:sz w:val="22"/>
                <w:szCs w:val="22"/>
              </w:rPr>
              <w:t>Missouri</w:t>
            </w:r>
          </w:p>
        </w:tc>
        <w:tc>
          <w:tcPr>
            <w:tcW w:w="2700" w:type="dxa"/>
          </w:tcPr>
          <w:p w14:paraId="4F07AC85" w14:textId="77777777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3D41BA6" w14:textId="77777777" w:rsidR="000F1D4E" w:rsidRPr="00F57CCA" w:rsidRDefault="000F1D4E" w:rsidP="000F1D4E">
            <w:pPr>
              <w:contextualSpacing/>
              <w:rPr>
                <w:sz w:val="22"/>
                <w:szCs w:val="22"/>
              </w:rPr>
            </w:pPr>
          </w:p>
        </w:tc>
      </w:tr>
    </w:tbl>
    <w:p w14:paraId="5EE043C4" w14:textId="77777777" w:rsidR="0076199A" w:rsidRPr="000E7793" w:rsidRDefault="0076199A" w:rsidP="006F38F1">
      <w:pPr>
        <w:contextualSpacing/>
        <w:rPr>
          <w:sz w:val="22"/>
          <w:szCs w:val="22"/>
        </w:rPr>
      </w:pPr>
    </w:p>
    <w:p w14:paraId="246C2E97" w14:textId="77777777" w:rsidR="006F38F1" w:rsidRPr="000E7793" w:rsidRDefault="006F38F1" w:rsidP="006F38F1">
      <w:pPr>
        <w:contextualSpacing/>
        <w:rPr>
          <w:sz w:val="22"/>
          <w:szCs w:val="22"/>
        </w:rPr>
      </w:pPr>
      <w:r w:rsidRPr="000E7793">
        <w:rPr>
          <w:sz w:val="22"/>
          <w:szCs w:val="22"/>
        </w:rPr>
        <w:t>NAIC Support Staff: Jennifer R. Cook</w:t>
      </w:r>
    </w:p>
    <w:p w14:paraId="65442022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0191AAEC" w14:textId="77777777" w:rsidR="006F38F1" w:rsidRPr="000E7793" w:rsidRDefault="006F38F1" w:rsidP="006F38F1">
      <w:pPr>
        <w:contextualSpacing/>
        <w:rPr>
          <w:b/>
          <w:sz w:val="22"/>
          <w:szCs w:val="22"/>
        </w:rPr>
      </w:pPr>
      <w:r w:rsidRPr="000E7793">
        <w:rPr>
          <w:b/>
          <w:sz w:val="22"/>
          <w:szCs w:val="22"/>
        </w:rPr>
        <w:t>AGENDA</w:t>
      </w:r>
    </w:p>
    <w:p w14:paraId="4C56C8CB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194D1552" w14:textId="169DD6B1" w:rsidR="00AE6549" w:rsidRDefault="001908EB" w:rsidP="00AE6549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contextualSpacing/>
        <w:rPr>
          <w:sz w:val="22"/>
          <w:szCs w:val="22"/>
        </w:rPr>
      </w:pPr>
      <w:bookmarkStart w:id="0" w:name="OLE_LINK1"/>
      <w:bookmarkStart w:id="1" w:name="OLE_LINK2"/>
      <w:r>
        <w:t>Discuss</w:t>
      </w:r>
      <w:r w:rsidR="008A0C34">
        <w:t xml:space="preserve"> exposing for comment a</w:t>
      </w:r>
      <w:r>
        <w:t xml:space="preserve"> </w:t>
      </w:r>
      <w:r w:rsidR="000D79F9">
        <w:t>r</w:t>
      </w:r>
      <w:r>
        <w:t xml:space="preserve">evised </w:t>
      </w:r>
      <w:r w:rsidR="00AE6549">
        <w:t>D</w:t>
      </w:r>
      <w:r>
        <w:t xml:space="preserve">raft </w:t>
      </w:r>
      <w:r w:rsidR="000D79F9">
        <w:t>case summary o</w:t>
      </w:r>
      <w:r>
        <w:t xml:space="preserve">f the </w:t>
      </w:r>
      <w:r w:rsidRPr="00A947FB">
        <w:rPr>
          <w:i/>
          <w:iCs/>
        </w:rPr>
        <w:t>Rutledge v. Pharmaceutical Care Management Association</w:t>
      </w:r>
      <w:r>
        <w:rPr>
          <w:i/>
          <w:iCs/>
        </w:rPr>
        <w:t xml:space="preserve"> </w:t>
      </w:r>
      <w:r w:rsidR="000D79F9">
        <w:t>d</w:t>
      </w:r>
      <w:r>
        <w:t>ecision</w:t>
      </w:r>
      <w:r w:rsidR="00AE6549">
        <w:t xml:space="preserve"> for inclusion in the </w:t>
      </w:r>
      <w:r w:rsidR="00AE6549" w:rsidRPr="00313108">
        <w:rPr>
          <w:i/>
          <w:iCs/>
          <w:sz w:val="22"/>
          <w:szCs w:val="22"/>
        </w:rPr>
        <w:t>Health and Welfare Plans Under the Employee Retirement Income Security Act: Guidelines for State and Federal Regulation</w:t>
      </w:r>
      <w:r w:rsidR="00AE6549" w:rsidRPr="00313108">
        <w:rPr>
          <w:sz w:val="22"/>
          <w:szCs w:val="22"/>
        </w:rPr>
        <w:t xml:space="preserve"> (ERISA Handbook)</w:t>
      </w:r>
      <w:r w:rsidR="00B17106" w:rsidRPr="00B17106">
        <w:rPr>
          <w:sz w:val="22"/>
          <w:szCs w:val="22"/>
        </w:rPr>
        <w:t xml:space="preserve"> – Robert Wake (ME)</w:t>
      </w:r>
    </w:p>
    <w:p w14:paraId="38620244" w14:textId="01C250AE" w:rsidR="006F38F1" w:rsidRPr="000E7793" w:rsidRDefault="006F38F1" w:rsidP="00AE6549">
      <w:pPr>
        <w:ind w:left="360"/>
        <w:contextualSpacing/>
        <w:rPr>
          <w:sz w:val="22"/>
          <w:szCs w:val="22"/>
        </w:rPr>
      </w:pPr>
    </w:p>
    <w:p w14:paraId="7DABCBAE" w14:textId="77777777" w:rsidR="006F38F1" w:rsidRDefault="006F38F1" w:rsidP="006F38F1">
      <w:pPr>
        <w:contextualSpacing/>
        <w:rPr>
          <w:sz w:val="22"/>
          <w:szCs w:val="22"/>
        </w:rPr>
      </w:pPr>
    </w:p>
    <w:p w14:paraId="42B1D0C4" w14:textId="3C922411" w:rsidR="006F38F1" w:rsidRDefault="006F38F1" w:rsidP="00313108">
      <w:pPr>
        <w:tabs>
          <w:tab w:val="left" w:pos="360"/>
        </w:tabs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E6549">
        <w:rPr>
          <w:sz w:val="22"/>
          <w:szCs w:val="22"/>
        </w:rPr>
        <w:t xml:space="preserve">Discuss </w:t>
      </w:r>
      <w:r w:rsidR="00E935C8">
        <w:rPr>
          <w:sz w:val="22"/>
          <w:szCs w:val="22"/>
        </w:rPr>
        <w:t xml:space="preserve">additional </w:t>
      </w:r>
      <w:r w:rsidR="00313108" w:rsidRPr="00313108">
        <w:rPr>
          <w:sz w:val="22"/>
          <w:szCs w:val="22"/>
        </w:rPr>
        <w:t xml:space="preserve">updates to the </w:t>
      </w:r>
      <w:r w:rsidR="00E935C8">
        <w:rPr>
          <w:sz w:val="22"/>
          <w:szCs w:val="22"/>
        </w:rPr>
        <w:t>ERISA Handbook</w:t>
      </w:r>
      <w:r w:rsidR="00B17106" w:rsidRPr="00B17106">
        <w:rPr>
          <w:sz w:val="22"/>
          <w:szCs w:val="22"/>
        </w:rPr>
        <w:t xml:space="preserve"> – Robert Wake (ME)</w:t>
      </w:r>
    </w:p>
    <w:p w14:paraId="10D6CA61" w14:textId="77777777" w:rsidR="006F38F1" w:rsidRPr="000E7793" w:rsidRDefault="006F38F1" w:rsidP="006F38F1">
      <w:pPr>
        <w:tabs>
          <w:tab w:val="left" w:pos="360"/>
        </w:tabs>
        <w:contextualSpacing/>
        <w:rPr>
          <w:sz w:val="22"/>
          <w:szCs w:val="22"/>
        </w:rPr>
      </w:pPr>
    </w:p>
    <w:p w14:paraId="1B1EAD1A" w14:textId="77777777" w:rsidR="006F38F1" w:rsidRPr="000E7793" w:rsidRDefault="006F38F1" w:rsidP="006F38F1">
      <w:pPr>
        <w:tabs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Any Other Matters</w:t>
      </w:r>
    </w:p>
    <w:p w14:paraId="02E38B53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67B6AA1A" w14:textId="54760E05" w:rsidR="00E66160" w:rsidRDefault="006F38F1" w:rsidP="00E66160">
      <w:pPr>
        <w:tabs>
          <w:tab w:val="left" w:pos="360"/>
        </w:tabs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Adjournment</w:t>
      </w:r>
      <w:bookmarkEnd w:id="0"/>
      <w:bookmarkEnd w:id="1"/>
      <w:r w:rsidR="00E66160">
        <w:rPr>
          <w:i/>
          <w:iCs/>
          <w:sz w:val="22"/>
          <w:szCs w:val="22"/>
        </w:rPr>
        <w:t xml:space="preserve"> </w:t>
      </w:r>
    </w:p>
    <w:p w14:paraId="5004B559" w14:textId="77777777" w:rsidR="009B0FAA" w:rsidRDefault="009B0FAA" w:rsidP="00E66160">
      <w:pPr>
        <w:tabs>
          <w:tab w:val="left" w:pos="360"/>
        </w:tabs>
        <w:contextualSpacing/>
        <w:rPr>
          <w:i/>
          <w:iCs/>
          <w:sz w:val="22"/>
          <w:szCs w:val="22"/>
        </w:rPr>
      </w:pPr>
    </w:p>
    <w:p w14:paraId="108FB1E2" w14:textId="0906AD13" w:rsidR="00A35A1A" w:rsidRPr="00BF44BE" w:rsidRDefault="00E66160" w:rsidP="00BF44BE">
      <w:pPr>
        <w:tabs>
          <w:tab w:val="left" w:pos="360"/>
        </w:tabs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Working Group will </w:t>
      </w:r>
      <w:r w:rsidR="00261100">
        <w:rPr>
          <w:i/>
          <w:iCs/>
          <w:sz w:val="22"/>
          <w:szCs w:val="22"/>
        </w:rPr>
        <w:t xml:space="preserve">adjourn </w:t>
      </w:r>
      <w:r w:rsidR="009B0FAA" w:rsidRPr="009B0FAA">
        <w:rPr>
          <w:i/>
          <w:iCs/>
          <w:sz w:val="22"/>
          <w:szCs w:val="22"/>
        </w:rPr>
        <w:t xml:space="preserve">under separate </w:t>
      </w:r>
      <w:proofErr w:type="spellStart"/>
      <w:r w:rsidR="009B0FAA" w:rsidRPr="009B0FAA">
        <w:rPr>
          <w:i/>
          <w:iCs/>
          <w:sz w:val="22"/>
          <w:szCs w:val="22"/>
        </w:rPr>
        <w:t>Webex</w:t>
      </w:r>
      <w:proofErr w:type="spellEnd"/>
      <w:r w:rsidR="009B0FAA" w:rsidRPr="009B0FAA">
        <w:rPr>
          <w:i/>
          <w:iCs/>
          <w:sz w:val="22"/>
          <w:szCs w:val="22"/>
        </w:rPr>
        <w:t xml:space="preserve"> link </w:t>
      </w:r>
      <w:r w:rsidR="00261100">
        <w:rPr>
          <w:i/>
          <w:iCs/>
          <w:sz w:val="22"/>
          <w:szCs w:val="22"/>
        </w:rPr>
        <w:t xml:space="preserve">to </w:t>
      </w:r>
      <w:r w:rsidR="000E58B0" w:rsidRPr="000E58B0">
        <w:rPr>
          <w:i/>
          <w:iCs/>
          <w:sz w:val="22"/>
          <w:szCs w:val="22"/>
        </w:rPr>
        <w:t>regulator-to-regulator session pursuant to paragraph</w:t>
      </w:r>
      <w:r w:rsidR="000A18E8">
        <w:rPr>
          <w:i/>
          <w:iCs/>
          <w:sz w:val="22"/>
          <w:szCs w:val="22"/>
        </w:rPr>
        <w:t>s</w:t>
      </w:r>
      <w:r w:rsidR="000E58B0" w:rsidRPr="000E58B0">
        <w:rPr>
          <w:i/>
          <w:iCs/>
          <w:sz w:val="22"/>
          <w:szCs w:val="22"/>
        </w:rPr>
        <w:t xml:space="preserve"> </w:t>
      </w:r>
      <w:r w:rsidR="000A18E8">
        <w:rPr>
          <w:i/>
          <w:iCs/>
          <w:sz w:val="22"/>
          <w:szCs w:val="22"/>
        </w:rPr>
        <w:t>1</w:t>
      </w:r>
      <w:r w:rsidR="00EE53EF">
        <w:rPr>
          <w:i/>
          <w:iCs/>
          <w:sz w:val="22"/>
          <w:szCs w:val="22"/>
        </w:rPr>
        <w:t xml:space="preserve"> (</w:t>
      </w:r>
      <w:r w:rsidR="00886E02" w:rsidRPr="00886E02">
        <w:rPr>
          <w:i/>
          <w:iCs/>
          <w:sz w:val="22"/>
          <w:szCs w:val="22"/>
        </w:rPr>
        <w:t>Potential or pending litigation or administrative proceedings</w:t>
      </w:r>
      <w:r w:rsidR="00886E02">
        <w:rPr>
          <w:i/>
          <w:iCs/>
          <w:sz w:val="22"/>
          <w:szCs w:val="22"/>
        </w:rPr>
        <w:t>)</w:t>
      </w:r>
      <w:r w:rsidR="000A18E8">
        <w:rPr>
          <w:i/>
          <w:iCs/>
          <w:sz w:val="22"/>
          <w:szCs w:val="22"/>
        </w:rPr>
        <w:t>, 2</w:t>
      </w:r>
      <w:r w:rsidR="00886E02">
        <w:rPr>
          <w:i/>
          <w:iCs/>
          <w:sz w:val="22"/>
          <w:szCs w:val="22"/>
        </w:rPr>
        <w:t xml:space="preserve"> (</w:t>
      </w:r>
      <w:r w:rsidR="00EB1A43" w:rsidRPr="00EB1A43">
        <w:rPr>
          <w:i/>
          <w:iCs/>
          <w:sz w:val="22"/>
          <w:szCs w:val="22"/>
        </w:rPr>
        <w:t>Pending investigations</w:t>
      </w:r>
      <w:r w:rsidR="00EB1A43">
        <w:rPr>
          <w:i/>
          <w:iCs/>
          <w:sz w:val="22"/>
          <w:szCs w:val="22"/>
        </w:rPr>
        <w:t>)</w:t>
      </w:r>
      <w:r w:rsidR="00EE53E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EE53EF">
        <w:rPr>
          <w:i/>
          <w:iCs/>
          <w:sz w:val="22"/>
          <w:szCs w:val="22"/>
        </w:rPr>
        <w:t>3</w:t>
      </w:r>
      <w:r w:rsidR="007F5D45" w:rsidRPr="007F5D45">
        <w:t xml:space="preserve"> </w:t>
      </w:r>
      <w:r w:rsidR="007F5D45">
        <w:t>(</w:t>
      </w:r>
      <w:r w:rsidR="007F5D45" w:rsidRPr="007F5D45">
        <w:rPr>
          <w:i/>
          <w:iCs/>
          <w:sz w:val="22"/>
          <w:szCs w:val="22"/>
        </w:rPr>
        <w:t>Specific companies, entities or individuals</w:t>
      </w:r>
      <w:r w:rsidR="007F5D45">
        <w:rPr>
          <w:i/>
          <w:iCs/>
          <w:sz w:val="22"/>
          <w:szCs w:val="22"/>
        </w:rPr>
        <w:t>)</w:t>
      </w:r>
      <w:r w:rsidR="007F5D45" w:rsidRPr="007F5D45">
        <w:rPr>
          <w:i/>
          <w:iCs/>
          <w:sz w:val="22"/>
          <w:szCs w:val="22"/>
        </w:rPr>
        <w:t>,</w:t>
      </w:r>
      <w:r w:rsidR="00EE53EF">
        <w:rPr>
          <w:i/>
          <w:iCs/>
          <w:sz w:val="22"/>
          <w:szCs w:val="22"/>
        </w:rPr>
        <w:t xml:space="preserve"> 8</w:t>
      </w:r>
      <w:r w:rsidR="007F5D45">
        <w:rPr>
          <w:i/>
          <w:iCs/>
          <w:sz w:val="22"/>
          <w:szCs w:val="22"/>
        </w:rPr>
        <w:t xml:space="preserve"> </w:t>
      </w:r>
      <w:r w:rsidR="004B7BD2">
        <w:rPr>
          <w:i/>
          <w:iCs/>
          <w:sz w:val="22"/>
          <w:szCs w:val="22"/>
        </w:rPr>
        <w:t>(</w:t>
      </w:r>
      <w:r w:rsidR="004B7BD2" w:rsidRPr="004B7BD2">
        <w:rPr>
          <w:i/>
          <w:iCs/>
          <w:sz w:val="22"/>
          <w:szCs w:val="22"/>
        </w:rPr>
        <w:t>Consideration of strategic planning issues relating to federal legislative and regulatory matters</w:t>
      </w:r>
      <w:r w:rsidR="004B7BD2">
        <w:rPr>
          <w:i/>
          <w:iCs/>
          <w:sz w:val="22"/>
          <w:szCs w:val="22"/>
        </w:rPr>
        <w:t>)</w:t>
      </w:r>
      <w:r w:rsidR="00EE53EF">
        <w:rPr>
          <w:i/>
          <w:iCs/>
          <w:sz w:val="22"/>
          <w:szCs w:val="22"/>
        </w:rPr>
        <w:t xml:space="preserve"> and 9</w:t>
      </w:r>
      <w:r w:rsidR="000E58B0" w:rsidRPr="000E58B0">
        <w:rPr>
          <w:i/>
          <w:iCs/>
          <w:sz w:val="22"/>
          <w:szCs w:val="22"/>
        </w:rPr>
        <w:t xml:space="preserve"> (</w:t>
      </w:r>
      <w:r w:rsidRPr="00E66160">
        <w:rPr>
          <w:i/>
          <w:iCs/>
          <w:sz w:val="22"/>
          <w:szCs w:val="22"/>
        </w:rPr>
        <w:t>Any other subject required to be kept confidential under any Memorandum of Understanding or other agreement, state or federal law or under any judicial or administrative order</w:t>
      </w:r>
      <w:r>
        <w:rPr>
          <w:i/>
          <w:iCs/>
          <w:sz w:val="22"/>
          <w:szCs w:val="22"/>
        </w:rPr>
        <w:t xml:space="preserve">) </w:t>
      </w:r>
      <w:r w:rsidR="000E58B0" w:rsidRPr="000E58B0">
        <w:rPr>
          <w:i/>
          <w:iCs/>
          <w:sz w:val="22"/>
          <w:szCs w:val="22"/>
        </w:rPr>
        <w:t>of the NAIC Policy Statement on Open Meetings</w:t>
      </w:r>
      <w:r>
        <w:rPr>
          <w:i/>
          <w:iCs/>
          <w:sz w:val="22"/>
          <w:szCs w:val="22"/>
        </w:rPr>
        <w:t xml:space="preserve">. </w:t>
      </w:r>
    </w:p>
    <w:sectPr w:rsidR="00A35A1A" w:rsidRPr="00BF44BE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8326" w14:textId="77777777" w:rsidR="00A36FD6" w:rsidRDefault="00A36FD6" w:rsidP="00C66EDC">
      <w:r>
        <w:separator/>
      </w:r>
    </w:p>
  </w:endnote>
  <w:endnote w:type="continuationSeparator" w:id="0">
    <w:p w14:paraId="0CD9641F" w14:textId="77777777" w:rsidR="00A36FD6" w:rsidRDefault="00A36FD6" w:rsidP="00C66EDC">
      <w:r>
        <w:continuationSeparator/>
      </w:r>
    </w:p>
  </w:endnote>
  <w:endnote w:type="continuationNotice" w:id="1">
    <w:p w14:paraId="35FDF557" w14:textId="77777777" w:rsidR="00A36FD6" w:rsidRDefault="00A3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92B0" w14:textId="77777777" w:rsidR="009972C5" w:rsidRPr="00511F4E" w:rsidRDefault="009972C5" w:rsidP="009972C5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0290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B073" w14:textId="77777777" w:rsidR="00A36FD6" w:rsidRDefault="00A36FD6" w:rsidP="00C66EDC">
      <w:r>
        <w:separator/>
      </w:r>
    </w:p>
  </w:footnote>
  <w:footnote w:type="continuationSeparator" w:id="0">
    <w:p w14:paraId="73455C7C" w14:textId="77777777" w:rsidR="00A36FD6" w:rsidRDefault="00A36FD6" w:rsidP="00C66EDC">
      <w:r>
        <w:continuationSeparator/>
      </w:r>
    </w:p>
  </w:footnote>
  <w:footnote w:type="continuationNotice" w:id="1">
    <w:p w14:paraId="7C09B44B" w14:textId="77777777" w:rsidR="00A36FD6" w:rsidRDefault="00A36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5E875186" w:rsidR="009972C5" w:rsidRDefault="009972C5">
    <w:pPr>
      <w:pStyle w:val="Header"/>
    </w:pPr>
    <w:r>
      <w:rPr>
        <w:noProof/>
      </w:rPr>
      <w:drawing>
        <wp:anchor distT="0" distB="45720" distL="114300" distR="114300" simplePos="0" relativeHeight="251662338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5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94FF4"/>
    <w:rsid w:val="00096737"/>
    <w:rsid w:val="000A18E8"/>
    <w:rsid w:val="000B5135"/>
    <w:rsid w:val="000D1D4B"/>
    <w:rsid w:val="000D2EE3"/>
    <w:rsid w:val="000D4163"/>
    <w:rsid w:val="000D79F9"/>
    <w:rsid w:val="000E58B0"/>
    <w:rsid w:val="000F1D4E"/>
    <w:rsid w:val="000F727A"/>
    <w:rsid w:val="00121A50"/>
    <w:rsid w:val="00123C05"/>
    <w:rsid w:val="00123DF3"/>
    <w:rsid w:val="00130295"/>
    <w:rsid w:val="00135A8F"/>
    <w:rsid w:val="00136C34"/>
    <w:rsid w:val="001423C0"/>
    <w:rsid w:val="0015390E"/>
    <w:rsid w:val="001568A3"/>
    <w:rsid w:val="0016109D"/>
    <w:rsid w:val="001908EB"/>
    <w:rsid w:val="00192BE4"/>
    <w:rsid w:val="00196E87"/>
    <w:rsid w:val="001B1102"/>
    <w:rsid w:val="001B1986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1100"/>
    <w:rsid w:val="00264BCC"/>
    <w:rsid w:val="00267535"/>
    <w:rsid w:val="002808B1"/>
    <w:rsid w:val="0028799C"/>
    <w:rsid w:val="002A5310"/>
    <w:rsid w:val="002C7D24"/>
    <w:rsid w:val="002D69A9"/>
    <w:rsid w:val="002D6E30"/>
    <w:rsid w:val="002F53B6"/>
    <w:rsid w:val="002F6413"/>
    <w:rsid w:val="00306349"/>
    <w:rsid w:val="00313108"/>
    <w:rsid w:val="00324121"/>
    <w:rsid w:val="00332B4F"/>
    <w:rsid w:val="00335DC7"/>
    <w:rsid w:val="00363AE4"/>
    <w:rsid w:val="00363BD9"/>
    <w:rsid w:val="003809F1"/>
    <w:rsid w:val="00384BF8"/>
    <w:rsid w:val="003A1A70"/>
    <w:rsid w:val="003A5541"/>
    <w:rsid w:val="003E0729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75834"/>
    <w:rsid w:val="0047799C"/>
    <w:rsid w:val="00493CFB"/>
    <w:rsid w:val="004958D6"/>
    <w:rsid w:val="004B094A"/>
    <w:rsid w:val="004B097A"/>
    <w:rsid w:val="004B0B7B"/>
    <w:rsid w:val="004B7BD2"/>
    <w:rsid w:val="004C3BE9"/>
    <w:rsid w:val="004C3CC9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4FB"/>
    <w:rsid w:val="00600D08"/>
    <w:rsid w:val="006045B2"/>
    <w:rsid w:val="006220B4"/>
    <w:rsid w:val="00637CFD"/>
    <w:rsid w:val="00640FF3"/>
    <w:rsid w:val="00641569"/>
    <w:rsid w:val="00650EC1"/>
    <w:rsid w:val="00652C69"/>
    <w:rsid w:val="00653238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D6261"/>
    <w:rsid w:val="006E16ED"/>
    <w:rsid w:val="006F3808"/>
    <w:rsid w:val="006F38F1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6199A"/>
    <w:rsid w:val="00766299"/>
    <w:rsid w:val="0079526E"/>
    <w:rsid w:val="007A7738"/>
    <w:rsid w:val="007B3CC1"/>
    <w:rsid w:val="007C40DC"/>
    <w:rsid w:val="007C78E5"/>
    <w:rsid w:val="007D4BB4"/>
    <w:rsid w:val="007F2528"/>
    <w:rsid w:val="007F4D07"/>
    <w:rsid w:val="007F5D45"/>
    <w:rsid w:val="00813ABF"/>
    <w:rsid w:val="00814416"/>
    <w:rsid w:val="008152A5"/>
    <w:rsid w:val="0084281A"/>
    <w:rsid w:val="00846403"/>
    <w:rsid w:val="008467E6"/>
    <w:rsid w:val="00863D34"/>
    <w:rsid w:val="00874825"/>
    <w:rsid w:val="00875DE2"/>
    <w:rsid w:val="00886E02"/>
    <w:rsid w:val="008879F9"/>
    <w:rsid w:val="00893382"/>
    <w:rsid w:val="008941B8"/>
    <w:rsid w:val="00894E90"/>
    <w:rsid w:val="00895596"/>
    <w:rsid w:val="008979D0"/>
    <w:rsid w:val="008A0C34"/>
    <w:rsid w:val="008A5BCA"/>
    <w:rsid w:val="008B06CF"/>
    <w:rsid w:val="008B69E8"/>
    <w:rsid w:val="008D0F9D"/>
    <w:rsid w:val="008F4B6B"/>
    <w:rsid w:val="00902015"/>
    <w:rsid w:val="009101D8"/>
    <w:rsid w:val="00917514"/>
    <w:rsid w:val="009210CE"/>
    <w:rsid w:val="009510CB"/>
    <w:rsid w:val="00963579"/>
    <w:rsid w:val="00973475"/>
    <w:rsid w:val="00982F01"/>
    <w:rsid w:val="009972C5"/>
    <w:rsid w:val="009A11EB"/>
    <w:rsid w:val="009A3F06"/>
    <w:rsid w:val="009A5345"/>
    <w:rsid w:val="009B0FAA"/>
    <w:rsid w:val="009B21AD"/>
    <w:rsid w:val="009D7AB6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36FD6"/>
    <w:rsid w:val="00A777E8"/>
    <w:rsid w:val="00A87CF1"/>
    <w:rsid w:val="00AA2382"/>
    <w:rsid w:val="00AA5D9A"/>
    <w:rsid w:val="00AC6448"/>
    <w:rsid w:val="00AD139E"/>
    <w:rsid w:val="00AD53C3"/>
    <w:rsid w:val="00AE6549"/>
    <w:rsid w:val="00B0008C"/>
    <w:rsid w:val="00B06A94"/>
    <w:rsid w:val="00B10F78"/>
    <w:rsid w:val="00B17106"/>
    <w:rsid w:val="00B24072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55270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BD49B6"/>
    <w:rsid w:val="00BF44BE"/>
    <w:rsid w:val="00C05737"/>
    <w:rsid w:val="00C06394"/>
    <w:rsid w:val="00C07F2D"/>
    <w:rsid w:val="00C16AD6"/>
    <w:rsid w:val="00C223E2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6078"/>
    <w:rsid w:val="00CE7CB7"/>
    <w:rsid w:val="00CF6EF4"/>
    <w:rsid w:val="00D05D11"/>
    <w:rsid w:val="00D170B7"/>
    <w:rsid w:val="00D42C2E"/>
    <w:rsid w:val="00D430D2"/>
    <w:rsid w:val="00D522D3"/>
    <w:rsid w:val="00D96538"/>
    <w:rsid w:val="00DA24D0"/>
    <w:rsid w:val="00DB73F0"/>
    <w:rsid w:val="00DC4CBA"/>
    <w:rsid w:val="00DD3E91"/>
    <w:rsid w:val="00DE2014"/>
    <w:rsid w:val="00DE2D7E"/>
    <w:rsid w:val="00DE37F5"/>
    <w:rsid w:val="00DE4E3D"/>
    <w:rsid w:val="00DF51D5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66160"/>
    <w:rsid w:val="00E71DC9"/>
    <w:rsid w:val="00E84384"/>
    <w:rsid w:val="00E87036"/>
    <w:rsid w:val="00E87F56"/>
    <w:rsid w:val="00E935C8"/>
    <w:rsid w:val="00EA17A3"/>
    <w:rsid w:val="00EA2A6B"/>
    <w:rsid w:val="00EB1A43"/>
    <w:rsid w:val="00EB40FD"/>
    <w:rsid w:val="00EC0A63"/>
    <w:rsid w:val="00ED05CD"/>
    <w:rsid w:val="00ED6417"/>
    <w:rsid w:val="00EE53EF"/>
    <w:rsid w:val="00EF123F"/>
    <w:rsid w:val="00EF190A"/>
    <w:rsid w:val="00EF2754"/>
    <w:rsid w:val="00F04F13"/>
    <w:rsid w:val="00F10F9A"/>
    <w:rsid w:val="00F222C9"/>
    <w:rsid w:val="00F23C38"/>
    <w:rsid w:val="00F315E0"/>
    <w:rsid w:val="00F33D46"/>
    <w:rsid w:val="00F37932"/>
    <w:rsid w:val="00F37F36"/>
    <w:rsid w:val="00F412A0"/>
    <w:rsid w:val="00F43036"/>
    <w:rsid w:val="00F57CCA"/>
    <w:rsid w:val="00F64009"/>
    <w:rsid w:val="00F7404D"/>
    <w:rsid w:val="00F949F2"/>
    <w:rsid w:val="00FA247B"/>
    <w:rsid w:val="00FB4DEC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Cook, Jennifer R.</cp:lastModifiedBy>
  <cp:revision>33</cp:revision>
  <cp:lastPrinted>2022-02-18T19:56:00Z</cp:lastPrinted>
  <dcterms:created xsi:type="dcterms:W3CDTF">2022-03-10T14:44:00Z</dcterms:created>
  <dcterms:modified xsi:type="dcterms:W3CDTF">2022-03-15T18:02:00Z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