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BE252"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77653F5" w14:textId="77777777" w:rsidR="002A1316" w:rsidRPr="00016321" w:rsidRDefault="002A1316">
      <w:pPr>
        <w:jc w:val="center"/>
        <w:rPr>
          <w:b/>
          <w:sz w:val="22"/>
          <w:szCs w:val="22"/>
        </w:rPr>
      </w:pPr>
      <w:r w:rsidRPr="00016321">
        <w:rPr>
          <w:b/>
          <w:sz w:val="22"/>
          <w:szCs w:val="22"/>
        </w:rPr>
        <w:t>Maintenance Agenda Submission Form</w:t>
      </w:r>
    </w:p>
    <w:p w14:paraId="717FB4B1" w14:textId="77777777" w:rsidR="002A1316" w:rsidRPr="00016321" w:rsidRDefault="002A1316">
      <w:pPr>
        <w:jc w:val="center"/>
        <w:rPr>
          <w:b/>
          <w:sz w:val="22"/>
          <w:szCs w:val="22"/>
        </w:rPr>
      </w:pPr>
      <w:r w:rsidRPr="00016321">
        <w:rPr>
          <w:b/>
          <w:sz w:val="22"/>
          <w:szCs w:val="22"/>
        </w:rPr>
        <w:t>Form A</w:t>
      </w:r>
    </w:p>
    <w:p w14:paraId="4B43F092" w14:textId="77777777" w:rsidR="002A1316" w:rsidRPr="00016321" w:rsidRDefault="002A1316">
      <w:pPr>
        <w:pStyle w:val="Heading2"/>
        <w:jc w:val="center"/>
        <w:rPr>
          <w:sz w:val="22"/>
          <w:szCs w:val="22"/>
        </w:rPr>
      </w:pPr>
    </w:p>
    <w:p w14:paraId="0870FE10" w14:textId="42FB6520" w:rsidR="002A1316" w:rsidRPr="00067D84" w:rsidRDefault="002A1316" w:rsidP="00B30CA0">
      <w:pPr>
        <w:pStyle w:val="Heading2"/>
        <w:rPr>
          <w:i/>
          <w:sz w:val="22"/>
          <w:szCs w:val="22"/>
        </w:rPr>
      </w:pPr>
      <w:r w:rsidRPr="00016321">
        <w:rPr>
          <w:b/>
          <w:sz w:val="22"/>
          <w:szCs w:val="22"/>
        </w:rPr>
        <w:t>Issue:</w:t>
      </w:r>
      <w:r w:rsidR="00EC61F1" w:rsidRPr="00016321">
        <w:rPr>
          <w:b/>
          <w:sz w:val="22"/>
          <w:szCs w:val="22"/>
        </w:rPr>
        <w:t xml:space="preserve"> </w:t>
      </w:r>
      <w:r w:rsidR="00067D84">
        <w:rPr>
          <w:b/>
          <w:i/>
          <w:sz w:val="22"/>
          <w:szCs w:val="22"/>
        </w:rPr>
        <w:t xml:space="preserve">ASU 2018-08, </w:t>
      </w:r>
      <w:r w:rsidR="00084AED">
        <w:rPr>
          <w:b/>
          <w:i/>
          <w:sz w:val="22"/>
          <w:szCs w:val="22"/>
        </w:rPr>
        <w:t>Clarifying the Scope and the Accounting Guidance for Contributions Received and Contributions Made</w:t>
      </w:r>
    </w:p>
    <w:p w14:paraId="71CF6A4D" w14:textId="77777777" w:rsidR="00B30CA0" w:rsidRPr="00016321" w:rsidRDefault="00B30CA0" w:rsidP="00B30CA0">
      <w:pPr>
        <w:rPr>
          <w:sz w:val="22"/>
          <w:szCs w:val="22"/>
        </w:rPr>
      </w:pPr>
    </w:p>
    <w:p w14:paraId="3D2DF88B" w14:textId="77777777" w:rsidR="002A1316" w:rsidRPr="00016321" w:rsidRDefault="002A1316" w:rsidP="00B30CA0">
      <w:pPr>
        <w:jc w:val="both"/>
        <w:rPr>
          <w:b/>
          <w:sz w:val="22"/>
          <w:szCs w:val="22"/>
        </w:rPr>
      </w:pPr>
      <w:r w:rsidRPr="00016321">
        <w:rPr>
          <w:b/>
          <w:sz w:val="22"/>
          <w:szCs w:val="22"/>
        </w:rPr>
        <w:t>Check (applicable entity):</w:t>
      </w:r>
    </w:p>
    <w:p w14:paraId="27A4CDFB"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787ED5B8"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D55215">
        <w:rPr>
          <w:sz w:val="22"/>
          <w:szCs w:val="22"/>
        </w:rPr>
      </w:r>
      <w:r w:rsidR="00D55215">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D55215">
        <w:rPr>
          <w:sz w:val="22"/>
          <w:szCs w:val="22"/>
        </w:rPr>
      </w:r>
      <w:r w:rsidR="00D5521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D55215">
        <w:rPr>
          <w:sz w:val="22"/>
          <w:szCs w:val="22"/>
        </w:rPr>
      </w:r>
      <w:r w:rsidR="00D55215">
        <w:rPr>
          <w:sz w:val="22"/>
          <w:szCs w:val="22"/>
        </w:rPr>
        <w:fldChar w:fldCharType="separate"/>
      </w:r>
      <w:r w:rsidRPr="00016321">
        <w:rPr>
          <w:sz w:val="22"/>
          <w:szCs w:val="22"/>
        </w:rPr>
        <w:fldChar w:fldCharType="end"/>
      </w:r>
    </w:p>
    <w:p w14:paraId="34D9F53F"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55215">
        <w:rPr>
          <w:sz w:val="22"/>
          <w:szCs w:val="22"/>
        </w:rPr>
      </w:r>
      <w:r w:rsidR="00D5521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55215">
        <w:rPr>
          <w:sz w:val="22"/>
          <w:szCs w:val="22"/>
        </w:rPr>
      </w:r>
      <w:r w:rsidR="00D5521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55215">
        <w:rPr>
          <w:sz w:val="22"/>
          <w:szCs w:val="22"/>
        </w:rPr>
      </w:r>
      <w:r w:rsidR="00D55215">
        <w:rPr>
          <w:sz w:val="22"/>
          <w:szCs w:val="22"/>
        </w:rPr>
        <w:fldChar w:fldCharType="separate"/>
      </w:r>
      <w:r w:rsidRPr="00016321">
        <w:rPr>
          <w:sz w:val="22"/>
          <w:szCs w:val="22"/>
        </w:rPr>
        <w:fldChar w:fldCharType="end"/>
      </w:r>
    </w:p>
    <w:p w14:paraId="28A2400A"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55215">
        <w:rPr>
          <w:sz w:val="22"/>
          <w:szCs w:val="22"/>
        </w:rPr>
      </w:r>
      <w:r w:rsidR="00D5521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55215">
        <w:rPr>
          <w:sz w:val="22"/>
          <w:szCs w:val="22"/>
        </w:rPr>
      </w:r>
      <w:r w:rsidR="00D5521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55215">
        <w:rPr>
          <w:sz w:val="22"/>
          <w:szCs w:val="22"/>
        </w:rPr>
      </w:r>
      <w:r w:rsidR="00D55215">
        <w:rPr>
          <w:sz w:val="22"/>
          <w:szCs w:val="22"/>
        </w:rPr>
        <w:fldChar w:fldCharType="separate"/>
      </w:r>
      <w:r w:rsidRPr="00016321">
        <w:rPr>
          <w:sz w:val="22"/>
          <w:szCs w:val="22"/>
        </w:rPr>
        <w:fldChar w:fldCharType="end"/>
      </w:r>
    </w:p>
    <w:p w14:paraId="737F846A" w14:textId="77777777" w:rsidR="002A1316" w:rsidRPr="00016321" w:rsidRDefault="002A1316" w:rsidP="00B30CA0">
      <w:pPr>
        <w:jc w:val="both"/>
        <w:rPr>
          <w:sz w:val="22"/>
          <w:szCs w:val="22"/>
        </w:rPr>
      </w:pPr>
    </w:p>
    <w:p w14:paraId="7E07CCF7" w14:textId="60DA0793" w:rsidR="002A1316" w:rsidRPr="00016321" w:rsidRDefault="002A1316" w:rsidP="00B30CA0">
      <w:pPr>
        <w:pStyle w:val="BodyText2"/>
        <w:rPr>
          <w:b w:val="0"/>
          <w:bCs w:val="0"/>
          <w:szCs w:val="22"/>
        </w:rPr>
      </w:pPr>
      <w:r w:rsidRPr="00016321">
        <w:rPr>
          <w:bCs w:val="0"/>
          <w:szCs w:val="22"/>
        </w:rPr>
        <w:t>Description of Issue:</w:t>
      </w:r>
      <w:r w:rsidR="00FC148C">
        <w:rPr>
          <w:bCs w:val="0"/>
          <w:szCs w:val="22"/>
        </w:rPr>
        <w:t xml:space="preserve"> </w:t>
      </w:r>
    </w:p>
    <w:p w14:paraId="36967CB9" w14:textId="5F316EF7" w:rsidR="00CC0F7F" w:rsidRDefault="00084AED" w:rsidP="00A92C59">
      <w:pPr>
        <w:pStyle w:val="BodyText2"/>
        <w:rPr>
          <w:b w:val="0"/>
          <w:szCs w:val="22"/>
        </w:rPr>
      </w:pPr>
      <w:r>
        <w:rPr>
          <w:b w:val="0"/>
          <w:szCs w:val="22"/>
        </w:rPr>
        <w:t xml:space="preserve">The FASB issued </w:t>
      </w:r>
      <w:r>
        <w:rPr>
          <w:b w:val="0"/>
          <w:i/>
          <w:szCs w:val="22"/>
        </w:rPr>
        <w:t xml:space="preserve">ASU 2018-08, </w:t>
      </w:r>
      <w:r w:rsidR="0060490B">
        <w:rPr>
          <w:b w:val="0"/>
          <w:i/>
          <w:szCs w:val="22"/>
        </w:rPr>
        <w:t xml:space="preserve">Not-for-Profit Entities - </w:t>
      </w:r>
      <w:r>
        <w:rPr>
          <w:b w:val="0"/>
          <w:i/>
          <w:szCs w:val="22"/>
        </w:rPr>
        <w:t xml:space="preserve">Clarifying the Scope and the Accounting Guidance for Contributions Received and Contributions </w:t>
      </w:r>
      <w:r w:rsidRPr="00084AED">
        <w:rPr>
          <w:b w:val="0"/>
          <w:i/>
          <w:szCs w:val="22"/>
        </w:rPr>
        <w:t xml:space="preserve">Made </w:t>
      </w:r>
      <w:r w:rsidR="002214B3">
        <w:rPr>
          <w:b w:val="0"/>
          <w:szCs w:val="22"/>
        </w:rPr>
        <w:t xml:space="preserve">(ASU 2018-08) </w:t>
      </w:r>
      <w:r>
        <w:rPr>
          <w:b w:val="0"/>
          <w:szCs w:val="22"/>
        </w:rPr>
        <w:t xml:space="preserve">in </w:t>
      </w:r>
      <w:r w:rsidR="00B53AFE">
        <w:rPr>
          <w:b w:val="0"/>
          <w:szCs w:val="22"/>
        </w:rPr>
        <w:t>June</w:t>
      </w:r>
      <w:r>
        <w:rPr>
          <w:b w:val="0"/>
          <w:szCs w:val="22"/>
        </w:rPr>
        <w:t xml:space="preserve"> 2018.</w:t>
      </w:r>
      <w:r w:rsidR="000C24A0">
        <w:rPr>
          <w:b w:val="0"/>
          <w:szCs w:val="22"/>
        </w:rPr>
        <w:t xml:space="preserve"> </w:t>
      </w:r>
      <w:r w:rsidR="00B23B1D">
        <w:rPr>
          <w:b w:val="0"/>
          <w:szCs w:val="22"/>
        </w:rPr>
        <w:t xml:space="preserve">Its intent </w:t>
      </w:r>
      <w:r w:rsidR="004C4F68">
        <w:rPr>
          <w:b w:val="0"/>
          <w:szCs w:val="22"/>
        </w:rPr>
        <w:t>i</w:t>
      </w:r>
      <w:r w:rsidR="00B23B1D">
        <w:rPr>
          <w:b w:val="0"/>
          <w:szCs w:val="22"/>
        </w:rPr>
        <w:t xml:space="preserve">s to </w:t>
      </w:r>
      <w:r w:rsidR="000C24A0">
        <w:rPr>
          <w:b w:val="0"/>
          <w:szCs w:val="22"/>
        </w:rPr>
        <w:t xml:space="preserve">clarify and improve the scope and accounting guidance for contributions received and contributions made. </w:t>
      </w:r>
      <w:r w:rsidR="002214B3">
        <w:rPr>
          <w:b w:val="0"/>
          <w:szCs w:val="22"/>
        </w:rPr>
        <w:t>ASU 2018-08 should assist entities in evaluating whether transactions should be accounted for as contributions</w:t>
      </w:r>
      <w:r w:rsidR="001D1C0B">
        <w:rPr>
          <w:b w:val="0"/>
          <w:szCs w:val="22"/>
        </w:rPr>
        <w:t xml:space="preserve"> (nonreciprocal transactions)</w:t>
      </w:r>
      <w:r w:rsidR="002214B3">
        <w:rPr>
          <w:b w:val="0"/>
          <w:szCs w:val="22"/>
        </w:rPr>
        <w:t xml:space="preserve"> or </w:t>
      </w:r>
      <w:r w:rsidR="009E4BBB">
        <w:rPr>
          <w:b w:val="0"/>
          <w:szCs w:val="22"/>
        </w:rPr>
        <w:t xml:space="preserve">exchange </w:t>
      </w:r>
      <w:r w:rsidR="001D1C0B">
        <w:rPr>
          <w:b w:val="0"/>
          <w:szCs w:val="22"/>
        </w:rPr>
        <w:t xml:space="preserve">(reciprocal) </w:t>
      </w:r>
      <w:r w:rsidR="009E4BBB">
        <w:rPr>
          <w:b w:val="0"/>
          <w:szCs w:val="22"/>
        </w:rPr>
        <w:t xml:space="preserve">transactions and in determining whether the contribution is conditional. </w:t>
      </w:r>
      <w:r w:rsidR="00882131">
        <w:rPr>
          <w:b w:val="0"/>
          <w:szCs w:val="22"/>
        </w:rPr>
        <w:t>Distinguishing between contributions and exchange transactions is important as it determines which guidance to apply.</w:t>
      </w:r>
    </w:p>
    <w:p w14:paraId="61553204" w14:textId="1C6CA5FC" w:rsidR="00882131" w:rsidRDefault="00882131" w:rsidP="00A92C59">
      <w:pPr>
        <w:pStyle w:val="BodyText2"/>
        <w:rPr>
          <w:b w:val="0"/>
          <w:szCs w:val="22"/>
        </w:rPr>
      </w:pPr>
    </w:p>
    <w:p w14:paraId="0F2888EB" w14:textId="0CD287DD" w:rsidR="00882131" w:rsidRDefault="00882131" w:rsidP="00A92C59">
      <w:pPr>
        <w:pStyle w:val="BodyText2"/>
        <w:rPr>
          <w:b w:val="0"/>
          <w:szCs w:val="22"/>
        </w:rPr>
      </w:pPr>
      <w:r>
        <w:rPr>
          <w:b w:val="0"/>
          <w:szCs w:val="22"/>
        </w:rPr>
        <w:t>Diversity in application exists for grants and other similar contracts but is most prevalent for government grants and contracts. It has also been noted that it can be difficult to determine when</w:t>
      </w:r>
      <w:r w:rsidR="00F76845">
        <w:rPr>
          <w:b w:val="0"/>
          <w:szCs w:val="22"/>
        </w:rPr>
        <w:t xml:space="preserve"> a</w:t>
      </w:r>
      <w:r>
        <w:rPr>
          <w:b w:val="0"/>
          <w:szCs w:val="22"/>
        </w:rPr>
        <w:t xml:space="preserve"> contribution is conditional, especially when an entity receives assets accompanied by certain stipulations but with no specified return requirement for when the stipulations are not met.</w:t>
      </w:r>
      <w:r w:rsidR="00F76845">
        <w:rPr>
          <w:b w:val="0"/>
          <w:szCs w:val="22"/>
        </w:rPr>
        <w:t xml:space="preserve"> There also isn’t uniformity in assessments of whether the likelihood of failing to meet a condition is remote and in evaluating whether and how remote provisions affect the timing of when a contribution is recognized. </w:t>
      </w:r>
    </w:p>
    <w:p w14:paraId="7D43E47B" w14:textId="15C7B627" w:rsidR="00F76845" w:rsidRDefault="00F76845" w:rsidP="00A92C59">
      <w:pPr>
        <w:pStyle w:val="BodyText2"/>
        <w:rPr>
          <w:b w:val="0"/>
          <w:szCs w:val="22"/>
        </w:rPr>
      </w:pPr>
      <w:r>
        <w:rPr>
          <w:b w:val="0"/>
          <w:szCs w:val="22"/>
        </w:rPr>
        <w:t xml:space="preserve"> </w:t>
      </w:r>
    </w:p>
    <w:p w14:paraId="36088AC8" w14:textId="0E5AA755" w:rsidR="00F76845" w:rsidRDefault="001D1C0B" w:rsidP="00A92C59">
      <w:pPr>
        <w:pStyle w:val="BodyText2"/>
        <w:rPr>
          <w:b w:val="0"/>
          <w:szCs w:val="22"/>
        </w:rPr>
      </w:pPr>
      <w:r>
        <w:rPr>
          <w:b w:val="0"/>
          <w:szCs w:val="22"/>
        </w:rPr>
        <w:t xml:space="preserve">Although accounting for contributions is primarily an issue for not-for-profit entities, </w:t>
      </w:r>
      <w:r w:rsidR="00F76845">
        <w:rPr>
          <w:b w:val="0"/>
          <w:szCs w:val="22"/>
        </w:rPr>
        <w:t xml:space="preserve">the amendments in ASU 2018-08 are applicable to all entities, including business entities, that receive or make contributions of cash and other assets, including promises to give and contributions made. </w:t>
      </w:r>
      <w:r w:rsidR="00B73BB6">
        <w:rPr>
          <w:b w:val="0"/>
          <w:szCs w:val="22"/>
        </w:rPr>
        <w:t>However</w:t>
      </w:r>
      <w:r w:rsidR="007507F2">
        <w:rPr>
          <w:b w:val="0"/>
          <w:szCs w:val="22"/>
        </w:rPr>
        <w:t>,</w:t>
      </w:r>
      <w:r w:rsidR="00B73BB6">
        <w:rPr>
          <w:b w:val="0"/>
          <w:szCs w:val="22"/>
        </w:rPr>
        <w:t xml:space="preserve"> t</w:t>
      </w:r>
      <w:r w:rsidR="00F76845">
        <w:rPr>
          <w:b w:val="0"/>
          <w:szCs w:val="22"/>
        </w:rPr>
        <w:t>he amendments</w:t>
      </w:r>
      <w:r w:rsidR="00B73BB6">
        <w:rPr>
          <w:b w:val="0"/>
          <w:szCs w:val="22"/>
        </w:rPr>
        <w:t xml:space="preserve"> herein</w:t>
      </w:r>
      <w:r w:rsidR="00F76845">
        <w:rPr>
          <w:b w:val="0"/>
          <w:szCs w:val="22"/>
        </w:rPr>
        <w:t xml:space="preserve"> do not  apply to transfers of assets from government entities to business entities</w:t>
      </w:r>
      <w:r w:rsidR="00B73BB6">
        <w:rPr>
          <w:b w:val="0"/>
          <w:szCs w:val="22"/>
        </w:rPr>
        <w:t>.</w:t>
      </w:r>
      <w:r>
        <w:rPr>
          <w:b w:val="0"/>
          <w:szCs w:val="22"/>
        </w:rPr>
        <w:t xml:space="preserve"> Contribution revenue may be presented in the financial statements of an entity using different terms (i.e. gift, grant, donation, etc.)</w:t>
      </w:r>
      <w:r w:rsidR="00B73BB6">
        <w:rPr>
          <w:b w:val="0"/>
          <w:szCs w:val="22"/>
        </w:rPr>
        <w:t>,</w:t>
      </w:r>
      <w:r>
        <w:rPr>
          <w:b w:val="0"/>
          <w:szCs w:val="22"/>
        </w:rPr>
        <w:t xml:space="preserve"> but this should not be a factor for determining whether an agreement is within the scope of this guidance.</w:t>
      </w:r>
    </w:p>
    <w:p w14:paraId="3C3D9F36" w14:textId="7EEE41B3" w:rsidR="004D0030" w:rsidRDefault="004D0030" w:rsidP="00A92C59">
      <w:pPr>
        <w:pStyle w:val="BodyText2"/>
        <w:rPr>
          <w:b w:val="0"/>
          <w:szCs w:val="22"/>
        </w:rPr>
      </w:pPr>
    </w:p>
    <w:p w14:paraId="155B7687" w14:textId="13C640AA" w:rsidR="0052203D" w:rsidRDefault="0095371A" w:rsidP="00A92C59">
      <w:pPr>
        <w:pStyle w:val="BodyText2"/>
        <w:rPr>
          <w:b w:val="0"/>
          <w:szCs w:val="22"/>
        </w:rPr>
      </w:pPr>
      <w:r>
        <w:rPr>
          <w:b w:val="0"/>
          <w:szCs w:val="22"/>
        </w:rPr>
        <w:t xml:space="preserve">The amendments in this ASU clarify and improve the current guidance regarding whether a transfer of assets (or the reduction, settlement, or cancellation of liabilities) is a contribution or an exchange transaction. </w:t>
      </w:r>
      <w:r w:rsidR="005006C6">
        <w:rPr>
          <w:b w:val="0"/>
          <w:szCs w:val="22"/>
        </w:rPr>
        <w:t>The amendments clarify how an entity determines whether a resource provider is participating in an exchange transaction by evaluating whether the resource provider is receiving commensurate value in return for the resources transferred based on the following:</w:t>
      </w:r>
    </w:p>
    <w:p w14:paraId="37AB722E" w14:textId="77777777" w:rsidR="00F2390F" w:rsidRDefault="00F2390F" w:rsidP="00A92C59">
      <w:pPr>
        <w:pStyle w:val="BodyText2"/>
        <w:rPr>
          <w:b w:val="0"/>
          <w:szCs w:val="22"/>
        </w:rPr>
      </w:pPr>
    </w:p>
    <w:p w14:paraId="52A0CC8D" w14:textId="47481FEF" w:rsidR="005006C6" w:rsidRDefault="005006C6" w:rsidP="005006C6">
      <w:pPr>
        <w:pStyle w:val="BodyText2"/>
        <w:numPr>
          <w:ilvl w:val="0"/>
          <w:numId w:val="33"/>
        </w:numPr>
        <w:rPr>
          <w:b w:val="0"/>
          <w:szCs w:val="22"/>
        </w:rPr>
      </w:pPr>
      <w:r>
        <w:rPr>
          <w:b w:val="0"/>
          <w:szCs w:val="22"/>
        </w:rPr>
        <w:t>A resource provider is not synonymous with the general public. A benefit received by the public as a result of the assets transferred is not equivalent to commensurate value received by the resource provider.</w:t>
      </w:r>
    </w:p>
    <w:p w14:paraId="34FDE9C5" w14:textId="77777777" w:rsidR="00F2390F" w:rsidRDefault="00F2390F" w:rsidP="00D22418">
      <w:pPr>
        <w:pStyle w:val="BodyText2"/>
        <w:ind w:left="720"/>
        <w:rPr>
          <w:b w:val="0"/>
          <w:szCs w:val="22"/>
        </w:rPr>
      </w:pPr>
    </w:p>
    <w:p w14:paraId="3EA8775E" w14:textId="15ADF471" w:rsidR="005006C6" w:rsidRDefault="005006C6" w:rsidP="005006C6">
      <w:pPr>
        <w:pStyle w:val="BodyText2"/>
        <w:numPr>
          <w:ilvl w:val="0"/>
          <w:numId w:val="33"/>
        </w:numPr>
        <w:rPr>
          <w:b w:val="0"/>
          <w:szCs w:val="22"/>
        </w:rPr>
      </w:pPr>
      <w:r>
        <w:rPr>
          <w:b w:val="0"/>
          <w:szCs w:val="22"/>
        </w:rPr>
        <w:t>Execution of a resource provider’s mission or the positive sentiment from acting as a donor does not constitute commensurate value received by a resource provider for purposes of determining whether a transfer of assets is a contribution or an exchange.</w:t>
      </w:r>
    </w:p>
    <w:p w14:paraId="116B9E0A" w14:textId="77777777" w:rsidR="0095371A" w:rsidRDefault="0095371A" w:rsidP="00A92C59">
      <w:pPr>
        <w:pStyle w:val="BodyText2"/>
        <w:rPr>
          <w:b w:val="0"/>
          <w:szCs w:val="22"/>
        </w:rPr>
      </w:pPr>
    </w:p>
    <w:p w14:paraId="538B99EE" w14:textId="77777777" w:rsidR="002A1316" w:rsidRPr="00016321" w:rsidRDefault="002A1316" w:rsidP="00B30CA0">
      <w:pPr>
        <w:pStyle w:val="BodyText2"/>
        <w:rPr>
          <w:bCs w:val="0"/>
          <w:szCs w:val="22"/>
        </w:rPr>
      </w:pPr>
      <w:r w:rsidRPr="00016321">
        <w:rPr>
          <w:bCs w:val="0"/>
          <w:szCs w:val="22"/>
        </w:rPr>
        <w:t>Existing Authoritative Literature:</w:t>
      </w:r>
    </w:p>
    <w:p w14:paraId="2D9D2C8F" w14:textId="55FB1AEC" w:rsidR="004E2BB9" w:rsidRDefault="004E2BB9" w:rsidP="00B30CA0">
      <w:pPr>
        <w:pStyle w:val="BodyText2"/>
        <w:rPr>
          <w:b w:val="0"/>
          <w:bCs w:val="0"/>
          <w:szCs w:val="22"/>
        </w:rPr>
      </w:pPr>
    </w:p>
    <w:p w14:paraId="1D44BA36" w14:textId="5E658F30" w:rsidR="0022153C" w:rsidRPr="00334D04" w:rsidRDefault="0022153C" w:rsidP="00B30CA0">
      <w:pPr>
        <w:pStyle w:val="BodyText2"/>
        <w:rPr>
          <w:rFonts w:ascii="Arial" w:hAnsi="Arial" w:cs="Arial"/>
          <w:bCs w:val="0"/>
          <w:sz w:val="20"/>
        </w:rPr>
      </w:pPr>
      <w:r w:rsidRPr="00334D04">
        <w:rPr>
          <w:rFonts w:ascii="Arial" w:hAnsi="Arial" w:cs="Arial"/>
          <w:bCs w:val="0"/>
          <w:sz w:val="20"/>
        </w:rPr>
        <w:t>SSAP No. 67—Other Liabilities</w:t>
      </w:r>
    </w:p>
    <w:p w14:paraId="45038EC3" w14:textId="77777777" w:rsidR="003C50F5" w:rsidRPr="00334D04" w:rsidRDefault="003C50F5" w:rsidP="003C50F5">
      <w:pPr>
        <w:pStyle w:val="Heading3"/>
        <w:rPr>
          <w:sz w:val="20"/>
          <w:szCs w:val="20"/>
        </w:rPr>
      </w:pPr>
      <w:bookmarkStart w:id="1" w:name="_Toc398188113"/>
      <w:bookmarkStart w:id="2" w:name="_Toc534282242"/>
      <w:r w:rsidRPr="00334D04">
        <w:rPr>
          <w:sz w:val="20"/>
          <w:szCs w:val="20"/>
        </w:rPr>
        <w:lastRenderedPageBreak/>
        <w:t>Amounts Withheld or Retained by Company as Agent or Trustee</w:t>
      </w:r>
      <w:bookmarkEnd w:id="1"/>
      <w:bookmarkEnd w:id="2"/>
    </w:p>
    <w:p w14:paraId="3488A562" w14:textId="28C528FB" w:rsidR="003C50F5" w:rsidRPr="00334D04" w:rsidRDefault="0022153C" w:rsidP="003C50F5">
      <w:pPr>
        <w:pStyle w:val="ListContinue"/>
        <w:tabs>
          <w:tab w:val="num" w:pos="720"/>
        </w:tabs>
        <w:rPr>
          <w:rFonts w:ascii="Arial" w:hAnsi="Arial" w:cs="Arial"/>
          <w:sz w:val="20"/>
        </w:rPr>
      </w:pPr>
      <w:r w:rsidRPr="00334D04">
        <w:rPr>
          <w:rFonts w:ascii="Arial" w:hAnsi="Arial" w:cs="Arial"/>
          <w:sz w:val="20"/>
        </w:rPr>
        <w:t>7.</w:t>
      </w:r>
      <w:r w:rsidRPr="00334D04">
        <w:rPr>
          <w:rFonts w:ascii="Arial" w:hAnsi="Arial" w:cs="Arial"/>
          <w:sz w:val="20"/>
        </w:rPr>
        <w:tab/>
      </w:r>
      <w:r w:rsidR="003C50F5" w:rsidRPr="00334D04">
        <w:rPr>
          <w:rFonts w:ascii="Arial" w:hAnsi="Arial" w:cs="Arial"/>
          <w:sz w:val="20"/>
        </w:rPr>
        <w:t>A reporting entity may, in the normal course of its business, withhold funds as an agent or trustee which will ultimately be paid to others.</w:t>
      </w:r>
    </w:p>
    <w:p w14:paraId="793D7292" w14:textId="0222B6AC" w:rsidR="003C50F5" w:rsidRPr="00334D04" w:rsidRDefault="0022153C" w:rsidP="003C50F5">
      <w:pPr>
        <w:pStyle w:val="ListContinue"/>
        <w:tabs>
          <w:tab w:val="num" w:pos="720"/>
        </w:tabs>
        <w:rPr>
          <w:rFonts w:ascii="Arial" w:hAnsi="Arial" w:cs="Arial"/>
          <w:sz w:val="20"/>
        </w:rPr>
      </w:pPr>
      <w:r w:rsidRPr="00334D04">
        <w:rPr>
          <w:rFonts w:ascii="Arial" w:hAnsi="Arial" w:cs="Arial"/>
          <w:sz w:val="20"/>
        </w:rPr>
        <w:t>8.</w:t>
      </w:r>
      <w:r w:rsidRPr="00334D04">
        <w:rPr>
          <w:rFonts w:ascii="Arial" w:hAnsi="Arial" w:cs="Arial"/>
          <w:sz w:val="20"/>
        </w:rPr>
        <w:tab/>
      </w:r>
      <w:r w:rsidR="003C50F5" w:rsidRPr="00334D04">
        <w:rPr>
          <w:rFonts w:ascii="Arial" w:hAnsi="Arial" w:cs="Arial"/>
          <w:sz w:val="20"/>
        </w:rPr>
        <w:t>Amounts withheld or retained by an entity as trustee or agent shall be recorded as a liability when the salaries or other compensation are expensed (paragraphs 8.a. and 8.b.) or the funds are received (paragraphs 8.c. through 8.e.). Examples of such occurrences are:</w:t>
      </w:r>
    </w:p>
    <w:p w14:paraId="4561404D" w14:textId="0E686DA9" w:rsidR="003C50F5" w:rsidRPr="00334D04" w:rsidRDefault="003C50F5" w:rsidP="003C50F5">
      <w:pPr>
        <w:pStyle w:val="ListNumber2"/>
        <w:numPr>
          <w:ilvl w:val="0"/>
          <w:numId w:val="29"/>
        </w:numPr>
        <w:spacing w:after="220"/>
        <w:jc w:val="both"/>
        <w:rPr>
          <w:rFonts w:ascii="Arial" w:hAnsi="Arial" w:cs="Arial"/>
        </w:rPr>
      </w:pPr>
      <w:r w:rsidRPr="00334D04">
        <w:rPr>
          <w:rFonts w:ascii="Arial" w:hAnsi="Arial" w:cs="Arial"/>
        </w:rPr>
        <w:t>As an employer, the reporting entity deducts and withholds federal and state income taxes, social security taxes, charitable contributions, savings plan deductions, garnishments, employee contributions to pension plans, employee share of group life and health insurance premiums, and other employee salary withholdings or deductions;</w:t>
      </w:r>
    </w:p>
    <w:p w14:paraId="579E2817" w14:textId="77777777" w:rsidR="00334D04" w:rsidRPr="00334D04" w:rsidRDefault="00334D04" w:rsidP="00334D04">
      <w:pPr>
        <w:pStyle w:val="ListNumber2"/>
        <w:numPr>
          <w:ilvl w:val="0"/>
          <w:numId w:val="29"/>
        </w:numPr>
        <w:spacing w:after="220"/>
        <w:jc w:val="both"/>
        <w:rPr>
          <w:rFonts w:ascii="Arial" w:hAnsi="Arial" w:cs="Arial"/>
        </w:rPr>
      </w:pPr>
      <w:r w:rsidRPr="00334D04">
        <w:rPr>
          <w:rFonts w:ascii="Arial" w:hAnsi="Arial" w:cs="Arial"/>
        </w:rPr>
        <w:t xml:space="preserve">Amounts due under deferred compensation arrangements shall be accrued in accordance with the provisions of </w:t>
      </w:r>
      <w:r w:rsidRPr="00334D04">
        <w:rPr>
          <w:rFonts w:ascii="Arial" w:hAnsi="Arial" w:cs="Arial"/>
          <w:i/>
        </w:rPr>
        <w:t xml:space="preserve">SSAP No. 92—Postretirement Benefits Other Than Pensions </w:t>
      </w:r>
      <w:r w:rsidRPr="00334D04">
        <w:rPr>
          <w:rFonts w:ascii="Arial" w:hAnsi="Arial" w:cs="Arial"/>
        </w:rPr>
        <w:t xml:space="preserve">(SSAP No. 92). Segregated funds (i.e., Rabbi trusts and similar arrangements) shall not be netted against the accrued liability unless the requirements of </w:t>
      </w:r>
      <w:r w:rsidRPr="00334D04">
        <w:rPr>
          <w:rFonts w:ascii="Arial" w:hAnsi="Arial" w:cs="Arial"/>
          <w:i/>
        </w:rPr>
        <w:t>SSAP No. 64—Offsetting and Netting of Assets and Liabilities</w:t>
      </w:r>
      <w:r w:rsidRPr="00334D04">
        <w:rPr>
          <w:rFonts w:ascii="Arial" w:hAnsi="Arial" w:cs="Arial"/>
        </w:rPr>
        <w:t xml:space="preserve"> (SSAP No. 64) are met.</w:t>
      </w:r>
    </w:p>
    <w:p w14:paraId="6974D312" w14:textId="77777777" w:rsidR="00334D04" w:rsidRPr="00334D04" w:rsidRDefault="00334D04" w:rsidP="00334D04">
      <w:pPr>
        <w:pStyle w:val="ListNumber2"/>
        <w:numPr>
          <w:ilvl w:val="0"/>
          <w:numId w:val="29"/>
        </w:numPr>
        <w:spacing w:after="220"/>
        <w:jc w:val="both"/>
        <w:rPr>
          <w:rFonts w:ascii="Arial" w:hAnsi="Arial" w:cs="Arial"/>
        </w:rPr>
      </w:pPr>
      <w:r w:rsidRPr="00334D04">
        <w:rPr>
          <w:rFonts w:ascii="Arial" w:hAnsi="Arial" w:cs="Arial"/>
        </w:rPr>
        <w:t>For a reporting entity that invests in commercial and residential mortgages, the entity may require the mortgagor to prepay real estate taxes and property insurance premiums which the entity will hold in escrow and pay when due;</w:t>
      </w:r>
    </w:p>
    <w:p w14:paraId="41D235C7" w14:textId="77777777" w:rsidR="00334D04" w:rsidRPr="00334D04" w:rsidRDefault="00334D04" w:rsidP="00334D04">
      <w:pPr>
        <w:pStyle w:val="ListNumber2"/>
        <w:numPr>
          <w:ilvl w:val="0"/>
          <w:numId w:val="29"/>
        </w:numPr>
        <w:spacing w:after="220"/>
        <w:jc w:val="both"/>
        <w:rPr>
          <w:rFonts w:ascii="Arial" w:hAnsi="Arial" w:cs="Arial"/>
        </w:rPr>
      </w:pPr>
      <w:r w:rsidRPr="00334D04">
        <w:rPr>
          <w:rFonts w:ascii="Arial" w:hAnsi="Arial" w:cs="Arial"/>
        </w:rPr>
        <w:t>The reporting entity holds deposits in connection with leases of investment property; and</w:t>
      </w:r>
    </w:p>
    <w:p w14:paraId="3865DDC6" w14:textId="77777777" w:rsidR="00334D04" w:rsidRPr="00334D04" w:rsidRDefault="00334D04" w:rsidP="00334D04">
      <w:pPr>
        <w:pStyle w:val="ListNumber2"/>
        <w:numPr>
          <w:ilvl w:val="0"/>
          <w:numId w:val="29"/>
        </w:numPr>
        <w:spacing w:after="220"/>
        <w:jc w:val="both"/>
        <w:rPr>
          <w:rFonts w:ascii="Arial" w:hAnsi="Arial" w:cs="Arial"/>
        </w:rPr>
      </w:pPr>
      <w:r w:rsidRPr="00334D04">
        <w:rPr>
          <w:rFonts w:ascii="Arial" w:hAnsi="Arial" w:cs="Arial"/>
        </w:rPr>
        <w:t>The reporting entity may receive and hold other funds in a fiduciary capacity.</w:t>
      </w:r>
    </w:p>
    <w:p w14:paraId="36F9BD89" w14:textId="77777777" w:rsidR="00334D04" w:rsidRPr="00334D04" w:rsidRDefault="00334D04" w:rsidP="00334D04">
      <w:pPr>
        <w:pStyle w:val="Heading3"/>
        <w:rPr>
          <w:sz w:val="20"/>
          <w:szCs w:val="20"/>
        </w:rPr>
      </w:pPr>
      <w:bookmarkStart w:id="3" w:name="_Toc398188114"/>
      <w:bookmarkStart w:id="4" w:name="_Toc534282243"/>
      <w:r w:rsidRPr="00334D04">
        <w:rPr>
          <w:sz w:val="20"/>
          <w:szCs w:val="20"/>
        </w:rPr>
        <w:t>Remittances and Items Not Allocated</w:t>
      </w:r>
      <w:bookmarkEnd w:id="3"/>
      <w:bookmarkEnd w:id="4"/>
    </w:p>
    <w:p w14:paraId="25E90AFC" w14:textId="78CEBE70" w:rsidR="00334D04" w:rsidRPr="00334D04" w:rsidRDefault="00334D04" w:rsidP="00334D04">
      <w:pPr>
        <w:pStyle w:val="ListContinue"/>
        <w:tabs>
          <w:tab w:val="num" w:pos="720"/>
        </w:tabs>
        <w:rPr>
          <w:rFonts w:ascii="Arial" w:hAnsi="Arial" w:cs="Arial"/>
          <w:sz w:val="20"/>
        </w:rPr>
      </w:pPr>
      <w:r w:rsidRPr="00334D04">
        <w:rPr>
          <w:rFonts w:ascii="Arial" w:hAnsi="Arial" w:cs="Arial"/>
          <w:sz w:val="20"/>
        </w:rPr>
        <w:t>9.</w:t>
      </w:r>
      <w:r w:rsidRPr="00334D04">
        <w:rPr>
          <w:rFonts w:ascii="Arial" w:hAnsi="Arial" w:cs="Arial"/>
          <w:sz w:val="20"/>
        </w:rPr>
        <w:tab/>
        <w:t>Cash receipts cannot always be identified for a specific purpose or, for other reasons, applied to a specific account when received. The reporting entity shall record a liability for these cash receipts when the funds are received. These liability accounts are generally referred to as suspense accounts. Examples include:</w:t>
      </w:r>
    </w:p>
    <w:p w14:paraId="785733B2" w14:textId="77777777" w:rsidR="00334D04" w:rsidRPr="00334D04" w:rsidRDefault="00334D04" w:rsidP="00334D04">
      <w:pPr>
        <w:pStyle w:val="ListNumber2"/>
        <w:numPr>
          <w:ilvl w:val="0"/>
          <w:numId w:val="30"/>
        </w:numPr>
        <w:spacing w:after="220"/>
        <w:jc w:val="both"/>
        <w:rPr>
          <w:rFonts w:ascii="Arial" w:hAnsi="Arial" w:cs="Arial"/>
        </w:rPr>
      </w:pPr>
      <w:r w:rsidRPr="00334D04">
        <w:rPr>
          <w:rFonts w:ascii="Arial" w:hAnsi="Arial" w:cs="Arial"/>
        </w:rPr>
        <w:t>Premium payments received with the application for policies which have not yet been issued;</w:t>
      </w:r>
    </w:p>
    <w:p w14:paraId="44671ED0" w14:textId="77777777" w:rsidR="00334D04" w:rsidRPr="00334D04" w:rsidRDefault="00334D04" w:rsidP="00334D04">
      <w:pPr>
        <w:pStyle w:val="ListNumber2"/>
        <w:numPr>
          <w:ilvl w:val="0"/>
          <w:numId w:val="30"/>
        </w:numPr>
        <w:spacing w:after="220"/>
        <w:jc w:val="both"/>
        <w:rPr>
          <w:rFonts w:ascii="Arial" w:hAnsi="Arial" w:cs="Arial"/>
        </w:rPr>
      </w:pPr>
      <w:r w:rsidRPr="00334D04">
        <w:rPr>
          <w:rFonts w:ascii="Arial" w:hAnsi="Arial" w:cs="Arial"/>
        </w:rPr>
        <w:t>Premium payments in an amount different than the amount billed by the reporting entity; and</w:t>
      </w:r>
    </w:p>
    <w:p w14:paraId="4315E1D0" w14:textId="77777777" w:rsidR="00334D04" w:rsidRPr="00334D04" w:rsidRDefault="00334D04" w:rsidP="00334D04">
      <w:pPr>
        <w:pStyle w:val="ListNumber2"/>
        <w:numPr>
          <w:ilvl w:val="0"/>
          <w:numId w:val="30"/>
        </w:numPr>
        <w:spacing w:after="220"/>
        <w:jc w:val="both"/>
        <w:rPr>
          <w:rFonts w:ascii="Arial" w:hAnsi="Arial" w:cs="Arial"/>
        </w:rPr>
      </w:pPr>
      <w:r w:rsidRPr="00334D04">
        <w:rPr>
          <w:rFonts w:ascii="Arial" w:hAnsi="Arial" w:cs="Arial"/>
        </w:rPr>
        <w:t>Unidentified cash receipts.</w:t>
      </w:r>
    </w:p>
    <w:p w14:paraId="3984B0A5" w14:textId="77777777" w:rsidR="00334D04" w:rsidRPr="00334D04" w:rsidRDefault="00334D04" w:rsidP="00334D04">
      <w:pPr>
        <w:pStyle w:val="Heading3"/>
        <w:rPr>
          <w:sz w:val="20"/>
          <w:szCs w:val="20"/>
        </w:rPr>
      </w:pPr>
      <w:bookmarkStart w:id="5" w:name="_Toc398188115"/>
      <w:bookmarkStart w:id="6" w:name="_Toc534282244"/>
      <w:r w:rsidRPr="00334D04">
        <w:rPr>
          <w:sz w:val="20"/>
          <w:szCs w:val="20"/>
        </w:rPr>
        <w:t>Interest Payable</w:t>
      </w:r>
      <w:bookmarkEnd w:id="5"/>
      <w:bookmarkEnd w:id="6"/>
    </w:p>
    <w:p w14:paraId="57439B00" w14:textId="7B2C557D" w:rsidR="00334D04" w:rsidRPr="00334D04" w:rsidRDefault="00334D04" w:rsidP="00334D04">
      <w:pPr>
        <w:pStyle w:val="ListContinue"/>
        <w:tabs>
          <w:tab w:val="num" w:pos="720"/>
        </w:tabs>
        <w:rPr>
          <w:rFonts w:ascii="Arial" w:hAnsi="Arial" w:cs="Arial"/>
          <w:sz w:val="20"/>
        </w:rPr>
      </w:pPr>
      <w:r w:rsidRPr="00334D04">
        <w:rPr>
          <w:rFonts w:ascii="Arial" w:hAnsi="Arial" w:cs="Arial"/>
          <w:sz w:val="20"/>
        </w:rPr>
        <w:t>10.</w:t>
      </w:r>
      <w:r w:rsidRPr="00334D04">
        <w:rPr>
          <w:rFonts w:ascii="Arial" w:hAnsi="Arial" w:cs="Arial"/>
          <w:sz w:val="20"/>
        </w:rPr>
        <w:tab/>
        <w:t>Interest payable includes interest on debt, interest on real estate obligations, and approved interest on surplus notes. It also includes interest on funds held as a deposit or security, such as those held by a ceding company against a reinsurer. The amount to be reported is the amount which has accrued and is unpaid at the balance sheet date.</w:t>
      </w:r>
    </w:p>
    <w:p w14:paraId="267F4D6E" w14:textId="77777777" w:rsidR="0022153C" w:rsidRPr="00334D04" w:rsidRDefault="0022153C" w:rsidP="0022153C">
      <w:pPr>
        <w:pStyle w:val="Heading3"/>
        <w:rPr>
          <w:sz w:val="20"/>
          <w:szCs w:val="20"/>
        </w:rPr>
      </w:pPr>
      <w:bookmarkStart w:id="7" w:name="_Toc398188116"/>
      <w:bookmarkStart w:id="8" w:name="_Toc534282245"/>
      <w:r w:rsidRPr="00334D04">
        <w:rPr>
          <w:sz w:val="20"/>
          <w:szCs w:val="20"/>
        </w:rPr>
        <w:t>Payable to Parent, Subsidiaries and Affiliates</w:t>
      </w:r>
      <w:bookmarkEnd w:id="7"/>
      <w:bookmarkEnd w:id="8"/>
    </w:p>
    <w:p w14:paraId="7CCA3924" w14:textId="0DE2EF18" w:rsidR="0022153C" w:rsidRPr="00334D04" w:rsidRDefault="0022153C" w:rsidP="0022153C">
      <w:pPr>
        <w:pStyle w:val="ListContinue"/>
        <w:rPr>
          <w:rFonts w:ascii="Arial" w:hAnsi="Arial" w:cs="Arial"/>
          <w:sz w:val="20"/>
        </w:rPr>
      </w:pPr>
      <w:r w:rsidRPr="00334D04">
        <w:rPr>
          <w:rFonts w:ascii="Arial" w:hAnsi="Arial" w:cs="Arial"/>
          <w:sz w:val="20"/>
        </w:rPr>
        <w:t>11.</w:t>
      </w:r>
      <w:r w:rsidRPr="00334D04">
        <w:rPr>
          <w:rFonts w:ascii="Arial" w:hAnsi="Arial" w:cs="Arial"/>
          <w:sz w:val="20"/>
        </w:rPr>
        <w:tab/>
        <w:t>A liability shall be recognized and identified as due to affiliates for expenditures incurred on behalf of the reporting entity by a parent, affiliates, or subsidiaries or for amounts owed through other intercompany transactions. Amounts due to or from affiliates shall be offset and reported net only when the provisions of SSAP No. 64 are met. Examples of these expenses are executive salaries, workers’ compensation insurance premiums, and pension contributions.</w:t>
      </w:r>
    </w:p>
    <w:p w14:paraId="01C32F69" w14:textId="75DDF42C" w:rsidR="002A1316" w:rsidRPr="000104D4"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22153C">
        <w:rPr>
          <w:szCs w:val="22"/>
        </w:rPr>
        <w:t>None</w:t>
      </w:r>
    </w:p>
    <w:p w14:paraId="37FE913B" w14:textId="77777777" w:rsidR="00A202AF" w:rsidRPr="00016321" w:rsidRDefault="00A202AF" w:rsidP="00706B68">
      <w:pPr>
        <w:pStyle w:val="BodyText2"/>
        <w:rPr>
          <w:rFonts w:eastAsia="MS Mincho"/>
          <w:b w:val="0"/>
          <w:szCs w:val="22"/>
          <w:lang w:eastAsia="ja-JP"/>
        </w:rPr>
      </w:pPr>
    </w:p>
    <w:p w14:paraId="425C3E65" w14:textId="580F9635" w:rsidR="002A1316" w:rsidRPr="00016321"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CC402D">
        <w:rPr>
          <w:b/>
          <w:sz w:val="22"/>
          <w:szCs w:val="22"/>
        </w:rPr>
        <w:t xml:space="preserve"> </w:t>
      </w:r>
      <w:r w:rsidR="00FE7FAA" w:rsidRPr="00016321">
        <w:rPr>
          <w:bCs/>
          <w:sz w:val="22"/>
          <w:szCs w:val="22"/>
        </w:rPr>
        <w:t>None</w:t>
      </w:r>
    </w:p>
    <w:p w14:paraId="67D2908A" w14:textId="77777777" w:rsidR="006B37DD" w:rsidRPr="00016321" w:rsidRDefault="006B37DD" w:rsidP="00B30CA0">
      <w:pPr>
        <w:pStyle w:val="BodyText2"/>
        <w:rPr>
          <w:b w:val="0"/>
          <w:bCs w:val="0"/>
          <w:szCs w:val="22"/>
        </w:rPr>
      </w:pPr>
    </w:p>
    <w:p w14:paraId="13FFF4E6" w14:textId="77777777" w:rsidR="00490996" w:rsidRPr="00016321" w:rsidRDefault="00490996" w:rsidP="00490996">
      <w:pPr>
        <w:pStyle w:val="Default"/>
        <w:rPr>
          <w:b/>
          <w:sz w:val="22"/>
          <w:szCs w:val="22"/>
        </w:rPr>
      </w:pPr>
      <w:r w:rsidRPr="00016321">
        <w:rPr>
          <w:b/>
          <w:sz w:val="22"/>
          <w:szCs w:val="22"/>
        </w:rPr>
        <w:lastRenderedPageBreak/>
        <w:t>Convergence with International Financial Reporting Standards (IFRS):</w:t>
      </w:r>
    </w:p>
    <w:p w14:paraId="5D62CB35" w14:textId="77777777" w:rsidR="006B37DD" w:rsidRPr="00016321" w:rsidRDefault="006B37DD" w:rsidP="00490996">
      <w:pPr>
        <w:pStyle w:val="BodyText2"/>
        <w:rPr>
          <w:b w:val="0"/>
          <w:bCs w:val="0"/>
          <w:szCs w:val="22"/>
        </w:rPr>
      </w:pPr>
    </w:p>
    <w:p w14:paraId="321A9E2D" w14:textId="77777777" w:rsidR="002A1316" w:rsidRPr="005A1DAC" w:rsidRDefault="002A1316" w:rsidP="00B30CA0">
      <w:pPr>
        <w:pStyle w:val="BodyText2"/>
        <w:rPr>
          <w:szCs w:val="22"/>
        </w:rPr>
      </w:pPr>
      <w:r w:rsidRPr="005A1DAC">
        <w:rPr>
          <w:szCs w:val="22"/>
        </w:rPr>
        <w:t>Staff Recommendation:</w:t>
      </w:r>
    </w:p>
    <w:p w14:paraId="363D8C6B" w14:textId="1D1234C7" w:rsidR="000E16CA" w:rsidRPr="005A1DAC" w:rsidRDefault="00761440" w:rsidP="00777404">
      <w:pPr>
        <w:pStyle w:val="Heading2"/>
        <w:rPr>
          <w:b/>
          <w:i/>
          <w:sz w:val="22"/>
          <w:szCs w:val="22"/>
        </w:rPr>
      </w:pPr>
      <w:r w:rsidRPr="005A1DAC">
        <w:rPr>
          <w:b/>
          <w:sz w:val="22"/>
          <w:szCs w:val="22"/>
        </w:rPr>
        <w:t>Staff recommends</w:t>
      </w:r>
      <w:r w:rsidR="00D924B0" w:rsidRPr="005A1DAC">
        <w:rPr>
          <w:b/>
          <w:sz w:val="22"/>
          <w:szCs w:val="22"/>
        </w:rPr>
        <w:t xml:space="preserve"> that the Working Group move this item to the active listing</w:t>
      </w:r>
      <w:r w:rsidRPr="005A1DAC">
        <w:rPr>
          <w:b/>
          <w:sz w:val="22"/>
          <w:szCs w:val="22"/>
        </w:rPr>
        <w:t>, categorized as nonsubstantive</w:t>
      </w:r>
      <w:r w:rsidR="00D924B0" w:rsidRPr="005A1DAC">
        <w:rPr>
          <w:b/>
          <w:sz w:val="22"/>
          <w:szCs w:val="22"/>
        </w:rPr>
        <w:t xml:space="preserve"> and </w:t>
      </w:r>
      <w:r w:rsidR="0076769D" w:rsidRPr="005A1DAC">
        <w:rPr>
          <w:b/>
          <w:sz w:val="22"/>
          <w:szCs w:val="22"/>
        </w:rPr>
        <w:t xml:space="preserve">expose revisions </w:t>
      </w:r>
      <w:r w:rsidR="00777404" w:rsidRPr="005A1DAC">
        <w:rPr>
          <w:b/>
          <w:sz w:val="22"/>
          <w:szCs w:val="22"/>
        </w:rPr>
        <w:t xml:space="preserve">to </w:t>
      </w:r>
      <w:r w:rsidR="00D22418">
        <w:rPr>
          <w:b/>
          <w:i/>
          <w:iCs/>
          <w:sz w:val="22"/>
          <w:szCs w:val="22"/>
        </w:rPr>
        <w:t>Appendix D—Nonapplicable</w:t>
      </w:r>
      <w:r w:rsidR="00D22418" w:rsidRPr="00D22418">
        <w:rPr>
          <w:b/>
          <w:i/>
          <w:iCs/>
          <w:sz w:val="22"/>
          <w:szCs w:val="22"/>
        </w:rPr>
        <w:t xml:space="preserve"> GAAP Pronouncements</w:t>
      </w:r>
      <w:r w:rsidR="00D22418">
        <w:rPr>
          <w:b/>
          <w:sz w:val="22"/>
          <w:szCs w:val="22"/>
        </w:rPr>
        <w:t xml:space="preserve"> to reject</w:t>
      </w:r>
      <w:r w:rsidR="00777404" w:rsidRPr="005A1DAC">
        <w:rPr>
          <w:b/>
          <w:sz w:val="22"/>
          <w:szCs w:val="22"/>
        </w:rPr>
        <w:t xml:space="preserve"> </w:t>
      </w:r>
      <w:r w:rsidR="00777404" w:rsidRPr="005A1DAC">
        <w:rPr>
          <w:b/>
          <w:i/>
          <w:sz w:val="22"/>
          <w:szCs w:val="22"/>
        </w:rPr>
        <w:t xml:space="preserve">ASU 2018-08, Clarifying the Scope and the Accounting Guidance for Contributions Received and Contributions Made </w:t>
      </w:r>
      <w:r w:rsidR="00D22418">
        <w:rPr>
          <w:b/>
          <w:iCs/>
          <w:sz w:val="22"/>
          <w:szCs w:val="22"/>
        </w:rPr>
        <w:t xml:space="preserve">as not applicable to statutory accounting. </w:t>
      </w:r>
    </w:p>
    <w:p w14:paraId="3398B3B0" w14:textId="77777777" w:rsidR="006561A9" w:rsidRPr="005A1DAC" w:rsidRDefault="006561A9" w:rsidP="00B30CA0">
      <w:pPr>
        <w:pStyle w:val="BodyText2"/>
        <w:rPr>
          <w:b w:val="0"/>
          <w:bCs w:val="0"/>
          <w:szCs w:val="22"/>
        </w:rPr>
      </w:pPr>
    </w:p>
    <w:p w14:paraId="34F02B2F" w14:textId="77777777" w:rsidR="002A1316" w:rsidRPr="005A1DAC" w:rsidRDefault="002A1316" w:rsidP="00B30CA0">
      <w:pPr>
        <w:pStyle w:val="BodyText2"/>
        <w:rPr>
          <w:szCs w:val="22"/>
        </w:rPr>
      </w:pPr>
      <w:r w:rsidRPr="005A1DAC">
        <w:rPr>
          <w:szCs w:val="22"/>
        </w:rPr>
        <w:t>Staff Review Completed by:</w:t>
      </w:r>
    </w:p>
    <w:p w14:paraId="1C6DE823" w14:textId="77777777" w:rsidR="00DF1440" w:rsidRDefault="00840CD0" w:rsidP="00B30CA0">
      <w:pPr>
        <w:rPr>
          <w:b/>
          <w:sz w:val="22"/>
          <w:szCs w:val="22"/>
        </w:rPr>
      </w:pPr>
      <w:r w:rsidRPr="005A1DAC">
        <w:rPr>
          <w:b/>
          <w:sz w:val="22"/>
          <w:szCs w:val="22"/>
        </w:rPr>
        <w:t xml:space="preserve">Fatima Sediqzad – </w:t>
      </w:r>
      <w:r w:rsidR="005A1DAC">
        <w:rPr>
          <w:b/>
          <w:sz w:val="22"/>
          <w:szCs w:val="22"/>
        </w:rPr>
        <w:t>June</w:t>
      </w:r>
      <w:r w:rsidR="00F76845" w:rsidRPr="005A1DAC">
        <w:rPr>
          <w:b/>
          <w:sz w:val="22"/>
          <w:szCs w:val="22"/>
        </w:rPr>
        <w:t xml:space="preserve"> 2019</w:t>
      </w:r>
      <w:r w:rsidR="00DF1440">
        <w:rPr>
          <w:b/>
          <w:sz w:val="22"/>
          <w:szCs w:val="22"/>
        </w:rPr>
        <w:t xml:space="preserve"> </w:t>
      </w:r>
    </w:p>
    <w:p w14:paraId="299995A8" w14:textId="77777777" w:rsidR="00DF1440" w:rsidRDefault="00DF1440" w:rsidP="00B30CA0">
      <w:pPr>
        <w:rPr>
          <w:b/>
          <w:sz w:val="22"/>
          <w:szCs w:val="22"/>
        </w:rPr>
      </w:pPr>
    </w:p>
    <w:p w14:paraId="4C52DBBE" w14:textId="77777777" w:rsidR="00DF1440" w:rsidRDefault="00DF1440" w:rsidP="00B30CA0">
      <w:pPr>
        <w:rPr>
          <w:b/>
          <w:sz w:val="22"/>
          <w:szCs w:val="22"/>
        </w:rPr>
      </w:pPr>
      <w:r>
        <w:rPr>
          <w:b/>
          <w:sz w:val="22"/>
          <w:szCs w:val="22"/>
        </w:rPr>
        <w:t xml:space="preserve">Status: </w:t>
      </w:r>
    </w:p>
    <w:p w14:paraId="0BBDF449" w14:textId="3BF269DE" w:rsidR="00110009" w:rsidRDefault="00DF1440" w:rsidP="00842DF5">
      <w:pPr>
        <w:jc w:val="both"/>
        <w:rPr>
          <w:bCs/>
          <w:iCs/>
          <w:sz w:val="22"/>
          <w:szCs w:val="22"/>
        </w:rPr>
      </w:pPr>
      <w:r>
        <w:rPr>
          <w:bCs/>
          <w:sz w:val="22"/>
          <w:szCs w:val="22"/>
        </w:rPr>
        <w:t xml:space="preserve">On August 3, 2019, the Statutory Accounting Principles (E) Working Group moved this agenda item to the active listing, categorized as nonsubstantive, and exposed revisions to </w:t>
      </w:r>
      <w:r w:rsidRPr="00DF1440">
        <w:rPr>
          <w:bCs/>
          <w:i/>
          <w:iCs/>
          <w:sz w:val="22"/>
          <w:szCs w:val="22"/>
        </w:rPr>
        <w:t>Appendix D—Nonapplicable GAAP Pronouncements</w:t>
      </w:r>
      <w:r w:rsidRPr="00DF1440">
        <w:rPr>
          <w:bCs/>
          <w:sz w:val="22"/>
          <w:szCs w:val="22"/>
        </w:rPr>
        <w:t xml:space="preserve"> to reject </w:t>
      </w:r>
      <w:r w:rsidRPr="00DF1440">
        <w:rPr>
          <w:bCs/>
          <w:i/>
          <w:sz w:val="22"/>
          <w:szCs w:val="22"/>
        </w:rPr>
        <w:t xml:space="preserve">ASU 2018-08, Clarifying the Scope and the Accounting Guidance for Contributions Received and Contributions Made </w:t>
      </w:r>
      <w:r w:rsidRPr="00DF1440">
        <w:rPr>
          <w:bCs/>
          <w:iCs/>
          <w:sz w:val="22"/>
          <w:szCs w:val="22"/>
        </w:rPr>
        <w:t>as not applicable to statutory accounting.</w:t>
      </w:r>
    </w:p>
    <w:p w14:paraId="5DD44C7A" w14:textId="77777777" w:rsidR="00DF1440" w:rsidRPr="00DF1440" w:rsidRDefault="00DF1440" w:rsidP="00B30CA0">
      <w:pPr>
        <w:rPr>
          <w:bCs/>
          <w:sz w:val="22"/>
          <w:szCs w:val="22"/>
        </w:rPr>
      </w:pPr>
    </w:p>
    <w:p w14:paraId="63A6E322" w14:textId="77777777" w:rsidR="00E60A30" w:rsidRPr="00D22418" w:rsidRDefault="00E60A30" w:rsidP="00B30CA0">
      <w:pPr>
        <w:rPr>
          <w:rFonts w:ascii="Arial" w:hAnsi="Arial" w:cs="Arial"/>
          <w:sz w:val="20"/>
          <w:szCs w:val="20"/>
        </w:rPr>
      </w:pPr>
    </w:p>
    <w:p w14:paraId="199AC7A4" w14:textId="70091CC5"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D55215">
        <w:rPr>
          <w:noProof/>
          <w:sz w:val="16"/>
          <w:szCs w:val="16"/>
        </w:rPr>
        <w:t>G:\FRS\DATA\Stat Acctg\3. National Meetings\A. National Meeting Materials\2019\Summer\NM Exposures\19-31 - ASU 2018-08 - Contributions.docx</w:t>
      </w:r>
      <w:r w:rsidRPr="000579B6">
        <w:rPr>
          <w:sz w:val="16"/>
          <w:szCs w:val="16"/>
        </w:rPr>
        <w:fldChar w:fldCharType="end"/>
      </w:r>
    </w:p>
    <w:p w14:paraId="61E9A0BD" w14:textId="77777777" w:rsidR="00AA1DC0" w:rsidRDefault="00AA1DC0" w:rsidP="000579B6">
      <w:pPr>
        <w:rPr>
          <w:sz w:val="16"/>
          <w:szCs w:val="16"/>
        </w:rPr>
      </w:pPr>
    </w:p>
    <w:p w14:paraId="5AC85B69" w14:textId="77777777" w:rsidR="00AA1DC0" w:rsidRDefault="00AA1DC0" w:rsidP="000579B6">
      <w:pPr>
        <w:rPr>
          <w:sz w:val="16"/>
          <w:szCs w:val="16"/>
        </w:rPr>
      </w:pPr>
    </w:p>
    <w:p w14:paraId="5367A26F" w14:textId="77777777" w:rsidR="00AA1DC0" w:rsidRDefault="00AA1DC0" w:rsidP="000579B6">
      <w:pPr>
        <w:rPr>
          <w:sz w:val="16"/>
          <w:szCs w:val="16"/>
        </w:rPr>
      </w:pPr>
    </w:p>
    <w:p w14:paraId="49CF6D9E" w14:textId="77777777" w:rsidR="00AA1DC0" w:rsidRDefault="00AA1DC0" w:rsidP="000579B6">
      <w:pPr>
        <w:rPr>
          <w:sz w:val="16"/>
          <w:szCs w:val="16"/>
        </w:rPr>
      </w:pPr>
    </w:p>
    <w:p w14:paraId="35AD1274" w14:textId="77777777" w:rsidR="00AA1DC0" w:rsidRDefault="00AA1DC0" w:rsidP="000579B6">
      <w:pPr>
        <w:rPr>
          <w:sz w:val="16"/>
          <w:szCs w:val="16"/>
        </w:rPr>
      </w:pPr>
    </w:p>
    <w:p w14:paraId="4BA9ADA1" w14:textId="77777777" w:rsidR="00AA1DC0" w:rsidRDefault="00AA1DC0" w:rsidP="000579B6">
      <w:pPr>
        <w:rPr>
          <w:sz w:val="16"/>
          <w:szCs w:val="16"/>
        </w:rPr>
      </w:pPr>
    </w:p>
    <w:p w14:paraId="4776C9E3" w14:textId="77777777" w:rsidR="00AA1DC0" w:rsidRDefault="00AA1DC0" w:rsidP="000579B6">
      <w:pPr>
        <w:rPr>
          <w:sz w:val="16"/>
          <w:szCs w:val="16"/>
        </w:rPr>
      </w:pPr>
    </w:p>
    <w:p w14:paraId="332BDF7C" w14:textId="77777777" w:rsidR="00AA1DC0" w:rsidRDefault="00AA1DC0" w:rsidP="000579B6">
      <w:pPr>
        <w:rPr>
          <w:sz w:val="16"/>
          <w:szCs w:val="16"/>
        </w:rPr>
      </w:pPr>
      <w:bookmarkStart w:id="9" w:name="_GoBack"/>
      <w:bookmarkEnd w:id="9"/>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704C6" w14:textId="77777777" w:rsidR="007507F2" w:rsidRDefault="007507F2">
      <w:r>
        <w:separator/>
      </w:r>
    </w:p>
  </w:endnote>
  <w:endnote w:type="continuationSeparator" w:id="0">
    <w:p w14:paraId="39D6CC72" w14:textId="77777777" w:rsidR="007507F2" w:rsidRDefault="0075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FF04" w14:textId="6E76DF24" w:rsidR="007507F2" w:rsidRDefault="007507F2">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B601" w14:textId="0B579CEC" w:rsidR="007507F2" w:rsidRDefault="007507F2"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4A925" w14:textId="77777777" w:rsidR="007507F2" w:rsidRDefault="007507F2">
      <w:r>
        <w:separator/>
      </w:r>
    </w:p>
  </w:footnote>
  <w:footnote w:type="continuationSeparator" w:id="0">
    <w:p w14:paraId="6652D760" w14:textId="77777777" w:rsidR="007507F2" w:rsidRDefault="00750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08BC3" w14:textId="77777777" w:rsidR="00CC402D" w:rsidRPr="00F04F9A" w:rsidRDefault="00CC402D" w:rsidP="00CC402D">
    <w:pPr>
      <w:pStyle w:val="Header"/>
      <w:jc w:val="right"/>
      <w:rPr>
        <w:bCs/>
        <w:sz w:val="20"/>
      </w:rPr>
    </w:pPr>
    <w:r w:rsidRPr="00F04F9A">
      <w:rPr>
        <w:bCs/>
        <w:sz w:val="20"/>
      </w:rPr>
      <w:t>Ref #201</w:t>
    </w:r>
    <w:r>
      <w:rPr>
        <w:bCs/>
        <w:sz w:val="20"/>
      </w:rPr>
      <w:t>9</w:t>
    </w:r>
    <w:r w:rsidRPr="00F04F9A">
      <w:rPr>
        <w:bCs/>
        <w:sz w:val="20"/>
      </w:rPr>
      <w:t>-</w:t>
    </w:r>
    <w:r>
      <w:rPr>
        <w:bCs/>
        <w:sz w:val="20"/>
      </w:rPr>
      <w:t>31</w:t>
    </w:r>
  </w:p>
  <w:p w14:paraId="744474B7" w14:textId="77777777" w:rsidR="007507F2" w:rsidRDefault="007507F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C14C" w14:textId="67334810" w:rsidR="007507F2" w:rsidRPr="00F04F9A" w:rsidRDefault="007507F2" w:rsidP="00AE74CF">
    <w:pPr>
      <w:pStyle w:val="Header"/>
      <w:jc w:val="right"/>
      <w:rPr>
        <w:bCs/>
        <w:sz w:val="20"/>
      </w:rPr>
    </w:pPr>
    <w:r w:rsidRPr="00F04F9A">
      <w:rPr>
        <w:bCs/>
        <w:sz w:val="20"/>
      </w:rPr>
      <w:t>Ref #201</w:t>
    </w:r>
    <w:r>
      <w:rPr>
        <w:bCs/>
        <w:sz w:val="20"/>
      </w:rPr>
      <w:t>9</w:t>
    </w:r>
    <w:r w:rsidRPr="00F04F9A">
      <w:rPr>
        <w:bCs/>
        <w:sz w:val="20"/>
      </w:rPr>
      <w:t>-</w:t>
    </w:r>
    <w:r w:rsidR="00CC402D">
      <w:rPr>
        <w:bCs/>
        <w:sz w:val="20"/>
      </w:rPr>
      <w:t>31</w:t>
    </w:r>
  </w:p>
  <w:p w14:paraId="1CF62939" w14:textId="77777777" w:rsidR="007507F2" w:rsidRDefault="007507F2"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5885442"/>
    <w:multiLevelType w:val="hybridMultilevel"/>
    <w:tmpl w:val="95429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A12C44"/>
    <w:multiLevelType w:val="hybridMultilevel"/>
    <w:tmpl w:val="93989F7E"/>
    <w:lvl w:ilvl="0" w:tplc="89E805A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2C669F"/>
    <w:multiLevelType w:val="hybridMultilevel"/>
    <w:tmpl w:val="12442F5C"/>
    <w:lvl w:ilvl="0" w:tplc="0720A958">
      <w:start w:val="1"/>
      <w:numFmt w:val="lowerLetter"/>
      <w:lvlText w:val="%1."/>
      <w:lvlJc w:val="left"/>
      <w:pPr>
        <w:ind w:left="720" w:hanging="360"/>
      </w:pPr>
      <w:rPr>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9" w15:restartNumberingAfterBreak="0">
    <w:nsid w:val="17A36CAE"/>
    <w:multiLevelType w:val="hybridMultilevel"/>
    <w:tmpl w:val="434AEA6C"/>
    <w:lvl w:ilvl="0" w:tplc="44A6F504">
      <w:start w:val="2"/>
      <w:numFmt w:val="decimal"/>
      <w:lvlText w:val="%1."/>
      <w:lvlJc w:val="left"/>
      <w:pPr>
        <w:ind w:left="720" w:hanging="360"/>
      </w:pPr>
      <w:rPr>
        <w:rFonts w:hint="default"/>
      </w:rPr>
    </w:lvl>
    <w:lvl w:ilvl="1" w:tplc="15606E1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2" w15:restartNumberingAfterBreak="0">
    <w:nsid w:val="21BC5060"/>
    <w:multiLevelType w:val="hybridMultilevel"/>
    <w:tmpl w:val="A13AD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5" w15:restartNumberingAfterBreak="0">
    <w:nsid w:val="2F7E3441"/>
    <w:multiLevelType w:val="singleLevel"/>
    <w:tmpl w:val="D06EB10A"/>
    <w:lvl w:ilvl="0">
      <w:start w:val="1"/>
      <w:numFmt w:val="lowerLetter"/>
      <w:lvlText w:val="%1."/>
      <w:legacy w:legacy="1" w:legacySpace="0" w:legacyIndent="720"/>
      <w:lvlJc w:val="left"/>
      <w:pPr>
        <w:ind w:left="1440" w:hanging="720"/>
      </w:pPr>
    </w:lvl>
  </w:abstractNum>
  <w:abstractNum w:abstractNumId="16" w15:restartNumberingAfterBreak="0">
    <w:nsid w:val="31932209"/>
    <w:multiLevelType w:val="hybridMultilevel"/>
    <w:tmpl w:val="B2026D8E"/>
    <w:lvl w:ilvl="0" w:tplc="7BB65A6C">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1363BF"/>
    <w:multiLevelType w:val="singleLevel"/>
    <w:tmpl w:val="D06EB10A"/>
    <w:lvl w:ilvl="0">
      <w:start w:val="1"/>
      <w:numFmt w:val="lowerLetter"/>
      <w:lvlText w:val="%1."/>
      <w:legacy w:legacy="1" w:legacySpace="0" w:legacyIndent="720"/>
      <w:lvlJc w:val="left"/>
      <w:pPr>
        <w:ind w:left="1440" w:hanging="720"/>
      </w:pPr>
    </w:lvl>
  </w:abstractNum>
  <w:abstractNum w:abstractNumId="21"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4D82903"/>
    <w:multiLevelType w:val="hybridMultilevel"/>
    <w:tmpl w:val="D7F8C51A"/>
    <w:lvl w:ilvl="0" w:tplc="FA10D1D8">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5E62734"/>
    <w:multiLevelType w:val="singleLevel"/>
    <w:tmpl w:val="D06EB10A"/>
    <w:lvl w:ilvl="0">
      <w:start w:val="1"/>
      <w:numFmt w:val="lowerLetter"/>
      <w:lvlText w:val="%1."/>
      <w:legacy w:legacy="1" w:legacySpace="0" w:legacyIndent="720"/>
      <w:lvlJc w:val="left"/>
      <w:pPr>
        <w:ind w:left="1440" w:hanging="720"/>
      </w:pPr>
    </w:lvl>
  </w:abstractNum>
  <w:abstractNum w:abstractNumId="26"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7"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9"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5C1E57"/>
    <w:multiLevelType w:val="hybridMultilevel"/>
    <w:tmpl w:val="55D2F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3"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4"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8"/>
  </w:num>
  <w:num w:numId="2">
    <w:abstractNumId w:val="30"/>
  </w:num>
  <w:num w:numId="3">
    <w:abstractNumId w:val="27"/>
  </w:num>
  <w:num w:numId="4">
    <w:abstractNumId w:val="21"/>
  </w:num>
  <w:num w:numId="5">
    <w:abstractNumId w:val="22"/>
  </w:num>
  <w:num w:numId="6">
    <w:abstractNumId w:val="17"/>
  </w:num>
  <w:num w:numId="7">
    <w:abstractNumId w:val="11"/>
  </w:num>
  <w:num w:numId="8">
    <w:abstractNumId w:val="19"/>
  </w:num>
  <w:num w:numId="9">
    <w:abstractNumId w:val="26"/>
  </w:num>
  <w:num w:numId="10">
    <w:abstractNumId w:val="28"/>
  </w:num>
  <w:num w:numId="11">
    <w:abstractNumId w:val="4"/>
  </w:num>
  <w:num w:numId="12">
    <w:abstractNumId w:val="23"/>
  </w:num>
  <w:num w:numId="13">
    <w:abstractNumId w:val="29"/>
  </w:num>
  <w:num w:numId="14">
    <w:abstractNumId w:val="0"/>
  </w:num>
  <w:num w:numId="15">
    <w:abstractNumId w:val="8"/>
  </w:num>
  <w:num w:numId="16">
    <w:abstractNumId w:val="32"/>
  </w:num>
  <w:num w:numId="17">
    <w:abstractNumId w:val="34"/>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4"/>
  </w:num>
  <w:num w:numId="20">
    <w:abstractNumId w:val="5"/>
  </w:num>
  <w:num w:numId="21">
    <w:abstractNumId w:val="1"/>
  </w:num>
  <w:num w:numId="22">
    <w:abstractNumId w:val="33"/>
  </w:num>
  <w:num w:numId="23">
    <w:abstractNumId w:val="1"/>
  </w:num>
  <w:num w:numId="24">
    <w:abstractNumId w:val="10"/>
  </w:num>
  <w:num w:numId="25">
    <w:abstractNumId w:val="13"/>
  </w:num>
  <w:num w:numId="26">
    <w:abstractNumId w:val="24"/>
  </w:num>
  <w:num w:numId="27">
    <w:abstractNumId w:val="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5"/>
  </w:num>
  <w:num w:numId="31">
    <w:abstractNumId w:val="20"/>
  </w:num>
  <w:num w:numId="32">
    <w:abstractNumId w:val="16"/>
  </w:num>
  <w:num w:numId="33">
    <w:abstractNumId w:val="3"/>
  </w:num>
  <w:num w:numId="34">
    <w:abstractNumId w:val="12"/>
  </w:num>
  <w:num w:numId="35">
    <w:abstractNumId w:val="3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49B4"/>
    <w:rsid w:val="00004652"/>
    <w:rsid w:val="000104D4"/>
    <w:rsid w:val="00016321"/>
    <w:rsid w:val="00020725"/>
    <w:rsid w:val="00034B2F"/>
    <w:rsid w:val="000579B6"/>
    <w:rsid w:val="00062300"/>
    <w:rsid w:val="00067D84"/>
    <w:rsid w:val="00084AED"/>
    <w:rsid w:val="00091380"/>
    <w:rsid w:val="000967FA"/>
    <w:rsid w:val="000B4429"/>
    <w:rsid w:val="000C24A0"/>
    <w:rsid w:val="000D6AE8"/>
    <w:rsid w:val="000E1131"/>
    <w:rsid w:val="000E16CA"/>
    <w:rsid w:val="000F064E"/>
    <w:rsid w:val="000F70BD"/>
    <w:rsid w:val="00110009"/>
    <w:rsid w:val="00116DC0"/>
    <w:rsid w:val="00133830"/>
    <w:rsid w:val="0013539B"/>
    <w:rsid w:val="00147E02"/>
    <w:rsid w:val="00183FE7"/>
    <w:rsid w:val="00184144"/>
    <w:rsid w:val="0019505A"/>
    <w:rsid w:val="001B0D8D"/>
    <w:rsid w:val="001B3138"/>
    <w:rsid w:val="001D1C0B"/>
    <w:rsid w:val="001F3CF4"/>
    <w:rsid w:val="001F46EB"/>
    <w:rsid w:val="00203FF7"/>
    <w:rsid w:val="002046F5"/>
    <w:rsid w:val="002214B3"/>
    <w:rsid w:val="0022153C"/>
    <w:rsid w:val="00236423"/>
    <w:rsid w:val="0025672B"/>
    <w:rsid w:val="00261273"/>
    <w:rsid w:val="002A1316"/>
    <w:rsid w:val="002A1C19"/>
    <w:rsid w:val="002A44FE"/>
    <w:rsid w:val="002C2151"/>
    <w:rsid w:val="002F6FF9"/>
    <w:rsid w:val="00304CEC"/>
    <w:rsid w:val="003148E8"/>
    <w:rsid w:val="00320A54"/>
    <w:rsid w:val="00325660"/>
    <w:rsid w:val="003325E9"/>
    <w:rsid w:val="00333FC0"/>
    <w:rsid w:val="003345E2"/>
    <w:rsid w:val="00334D04"/>
    <w:rsid w:val="0034139D"/>
    <w:rsid w:val="003415C3"/>
    <w:rsid w:val="0034544B"/>
    <w:rsid w:val="00346DBC"/>
    <w:rsid w:val="0035609F"/>
    <w:rsid w:val="00357190"/>
    <w:rsid w:val="003953B4"/>
    <w:rsid w:val="0039600A"/>
    <w:rsid w:val="003A5399"/>
    <w:rsid w:val="003B12DE"/>
    <w:rsid w:val="003C50F5"/>
    <w:rsid w:val="003E0920"/>
    <w:rsid w:val="0040093D"/>
    <w:rsid w:val="00407041"/>
    <w:rsid w:val="0043215E"/>
    <w:rsid w:val="00434970"/>
    <w:rsid w:val="00435DAC"/>
    <w:rsid w:val="0044022E"/>
    <w:rsid w:val="00446244"/>
    <w:rsid w:val="00446592"/>
    <w:rsid w:val="004516AB"/>
    <w:rsid w:val="00452842"/>
    <w:rsid w:val="004829CD"/>
    <w:rsid w:val="0048680B"/>
    <w:rsid w:val="00490996"/>
    <w:rsid w:val="004953BB"/>
    <w:rsid w:val="0049733D"/>
    <w:rsid w:val="004A166E"/>
    <w:rsid w:val="004B0989"/>
    <w:rsid w:val="004B51B6"/>
    <w:rsid w:val="004C4F68"/>
    <w:rsid w:val="004D0030"/>
    <w:rsid w:val="004D4855"/>
    <w:rsid w:val="004D55AC"/>
    <w:rsid w:val="004E2BB9"/>
    <w:rsid w:val="004E3B7D"/>
    <w:rsid w:val="005006C6"/>
    <w:rsid w:val="00502993"/>
    <w:rsid w:val="0052203D"/>
    <w:rsid w:val="00562444"/>
    <w:rsid w:val="005A1DAC"/>
    <w:rsid w:val="005A259E"/>
    <w:rsid w:val="005A7800"/>
    <w:rsid w:val="005E15E0"/>
    <w:rsid w:val="0060490B"/>
    <w:rsid w:val="00624E04"/>
    <w:rsid w:val="00626152"/>
    <w:rsid w:val="00626EC0"/>
    <w:rsid w:val="00630368"/>
    <w:rsid w:val="00634598"/>
    <w:rsid w:val="00637C40"/>
    <w:rsid w:val="00654938"/>
    <w:rsid w:val="006561A9"/>
    <w:rsid w:val="00676A9F"/>
    <w:rsid w:val="00690138"/>
    <w:rsid w:val="006B37DD"/>
    <w:rsid w:val="006D3A59"/>
    <w:rsid w:val="00706B68"/>
    <w:rsid w:val="00715743"/>
    <w:rsid w:val="0072525D"/>
    <w:rsid w:val="007264F2"/>
    <w:rsid w:val="007306B9"/>
    <w:rsid w:val="007507F2"/>
    <w:rsid w:val="00756AE3"/>
    <w:rsid w:val="007574AB"/>
    <w:rsid w:val="00761440"/>
    <w:rsid w:val="0076769D"/>
    <w:rsid w:val="00774EEB"/>
    <w:rsid w:val="007767B8"/>
    <w:rsid w:val="00777404"/>
    <w:rsid w:val="007774AA"/>
    <w:rsid w:val="00794B81"/>
    <w:rsid w:val="00795898"/>
    <w:rsid w:val="007B4554"/>
    <w:rsid w:val="007B5BC5"/>
    <w:rsid w:val="007F1389"/>
    <w:rsid w:val="007F344C"/>
    <w:rsid w:val="00840CD0"/>
    <w:rsid w:val="00842DF5"/>
    <w:rsid w:val="008758B4"/>
    <w:rsid w:val="00882131"/>
    <w:rsid w:val="008869A6"/>
    <w:rsid w:val="008C3A60"/>
    <w:rsid w:val="008C59AA"/>
    <w:rsid w:val="0092196B"/>
    <w:rsid w:val="009249B4"/>
    <w:rsid w:val="00932FD8"/>
    <w:rsid w:val="0095371A"/>
    <w:rsid w:val="00957780"/>
    <w:rsid w:val="00972A11"/>
    <w:rsid w:val="00980638"/>
    <w:rsid w:val="00984FA6"/>
    <w:rsid w:val="0098632A"/>
    <w:rsid w:val="009B20EB"/>
    <w:rsid w:val="009C37B6"/>
    <w:rsid w:val="009C702B"/>
    <w:rsid w:val="009E4BBB"/>
    <w:rsid w:val="00A11581"/>
    <w:rsid w:val="00A202AF"/>
    <w:rsid w:val="00A53A30"/>
    <w:rsid w:val="00A82C39"/>
    <w:rsid w:val="00A86724"/>
    <w:rsid w:val="00A92C59"/>
    <w:rsid w:val="00AA1DC0"/>
    <w:rsid w:val="00AA6691"/>
    <w:rsid w:val="00AC14AF"/>
    <w:rsid w:val="00AE6149"/>
    <w:rsid w:val="00AE7156"/>
    <w:rsid w:val="00AE74CF"/>
    <w:rsid w:val="00B10C19"/>
    <w:rsid w:val="00B17D16"/>
    <w:rsid w:val="00B23B1D"/>
    <w:rsid w:val="00B30CA0"/>
    <w:rsid w:val="00B53AFE"/>
    <w:rsid w:val="00B66DE5"/>
    <w:rsid w:val="00B73BB6"/>
    <w:rsid w:val="00BB5939"/>
    <w:rsid w:val="00C04FA0"/>
    <w:rsid w:val="00C051DB"/>
    <w:rsid w:val="00C17C99"/>
    <w:rsid w:val="00C26B71"/>
    <w:rsid w:val="00C6544D"/>
    <w:rsid w:val="00C9066D"/>
    <w:rsid w:val="00CA39BF"/>
    <w:rsid w:val="00CB7CFA"/>
    <w:rsid w:val="00CC0F7F"/>
    <w:rsid w:val="00CC402D"/>
    <w:rsid w:val="00CC53AA"/>
    <w:rsid w:val="00CE3B76"/>
    <w:rsid w:val="00CF3750"/>
    <w:rsid w:val="00D07E42"/>
    <w:rsid w:val="00D21513"/>
    <w:rsid w:val="00D21A50"/>
    <w:rsid w:val="00D22418"/>
    <w:rsid w:val="00D37E24"/>
    <w:rsid w:val="00D506C4"/>
    <w:rsid w:val="00D55215"/>
    <w:rsid w:val="00D924B0"/>
    <w:rsid w:val="00D92BCE"/>
    <w:rsid w:val="00DA1C46"/>
    <w:rsid w:val="00DC071A"/>
    <w:rsid w:val="00DE3A62"/>
    <w:rsid w:val="00DE42A7"/>
    <w:rsid w:val="00DF1440"/>
    <w:rsid w:val="00E077F0"/>
    <w:rsid w:val="00E136A0"/>
    <w:rsid w:val="00E2462E"/>
    <w:rsid w:val="00E30ACC"/>
    <w:rsid w:val="00E41AF4"/>
    <w:rsid w:val="00E4637B"/>
    <w:rsid w:val="00E60A30"/>
    <w:rsid w:val="00E90A65"/>
    <w:rsid w:val="00EA2736"/>
    <w:rsid w:val="00EC15C1"/>
    <w:rsid w:val="00EC61F1"/>
    <w:rsid w:val="00EF720B"/>
    <w:rsid w:val="00F04F9A"/>
    <w:rsid w:val="00F05F13"/>
    <w:rsid w:val="00F178A6"/>
    <w:rsid w:val="00F179AD"/>
    <w:rsid w:val="00F2390F"/>
    <w:rsid w:val="00F36D97"/>
    <w:rsid w:val="00F45D51"/>
    <w:rsid w:val="00F723F1"/>
    <w:rsid w:val="00F76845"/>
    <w:rsid w:val="00F858B9"/>
    <w:rsid w:val="00FA3369"/>
    <w:rsid w:val="00FC148C"/>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ADD27FF"/>
  <w15:docId w15:val="{121437B4-8D32-4A84-8DE6-38E4F548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FootnoteTextChar">
    <w:name w:val="Footnote Text Char"/>
    <w:link w:val="FootnoteText"/>
    <w:semiHidden/>
    <w:rsid w:val="004B0989"/>
  </w:style>
  <w:style w:type="paragraph" w:styleId="BalloonText">
    <w:name w:val="Balloon Text"/>
    <w:basedOn w:val="Normal"/>
    <w:link w:val="BalloonTextChar"/>
    <w:rsid w:val="00D21A50"/>
    <w:rPr>
      <w:rFonts w:ascii="Segoe UI" w:hAnsi="Segoe UI" w:cs="Segoe UI"/>
      <w:sz w:val="18"/>
      <w:szCs w:val="18"/>
    </w:rPr>
  </w:style>
  <w:style w:type="character" w:customStyle="1" w:styleId="BalloonTextChar">
    <w:name w:val="Balloon Text Char"/>
    <w:basedOn w:val="DefaultParagraphFont"/>
    <w:link w:val="BalloonText"/>
    <w:rsid w:val="00D21A50"/>
    <w:rPr>
      <w:rFonts w:ascii="Segoe UI" w:hAnsi="Segoe UI" w:cs="Segoe UI"/>
      <w:sz w:val="18"/>
      <w:szCs w:val="18"/>
    </w:rPr>
  </w:style>
  <w:style w:type="paragraph" w:styleId="Revision">
    <w:name w:val="Revision"/>
    <w:hidden/>
    <w:uiPriority w:val="99"/>
    <w:semiHidden/>
    <w:rsid w:val="00B66DE5"/>
    <w:rPr>
      <w:sz w:val="24"/>
      <w:szCs w:val="24"/>
    </w:rPr>
  </w:style>
  <w:style w:type="paragraph" w:styleId="ListParagraph">
    <w:name w:val="List Paragraph"/>
    <w:basedOn w:val="Normal"/>
    <w:uiPriority w:val="34"/>
    <w:qFormat/>
    <w:rsid w:val="005A78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18040">
      <w:bodyDiv w:val="1"/>
      <w:marLeft w:val="0"/>
      <w:marRight w:val="0"/>
      <w:marTop w:val="0"/>
      <w:marBottom w:val="0"/>
      <w:divBdr>
        <w:top w:val="none" w:sz="0" w:space="0" w:color="auto"/>
        <w:left w:val="none" w:sz="0" w:space="0" w:color="auto"/>
        <w:bottom w:val="none" w:sz="0" w:space="0" w:color="auto"/>
        <w:right w:val="none" w:sz="0" w:space="0" w:color="auto"/>
      </w:divBdr>
    </w:div>
    <w:div w:id="1068455297">
      <w:bodyDiv w:val="1"/>
      <w:marLeft w:val="0"/>
      <w:marRight w:val="0"/>
      <w:marTop w:val="0"/>
      <w:marBottom w:val="0"/>
      <w:divBdr>
        <w:top w:val="none" w:sz="0" w:space="0" w:color="auto"/>
        <w:left w:val="none" w:sz="0" w:space="0" w:color="auto"/>
        <w:bottom w:val="none" w:sz="0" w:space="0" w:color="auto"/>
        <w:right w:val="none" w:sz="0" w:space="0" w:color="auto"/>
      </w:divBdr>
    </w:div>
    <w:div w:id="1259021461">
      <w:bodyDiv w:val="1"/>
      <w:marLeft w:val="0"/>
      <w:marRight w:val="0"/>
      <w:marTop w:val="0"/>
      <w:marBottom w:val="0"/>
      <w:divBdr>
        <w:top w:val="none" w:sz="0" w:space="0" w:color="auto"/>
        <w:left w:val="none" w:sz="0" w:space="0" w:color="auto"/>
        <w:bottom w:val="none" w:sz="0" w:space="0" w:color="auto"/>
        <w:right w:val="none" w:sz="0" w:space="0" w:color="auto"/>
      </w:divBdr>
    </w:div>
    <w:div w:id="162496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2AE2-1E39-4BB1-89D8-0EF5A4AD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217284FD</Template>
  <TotalTime>595</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32</cp:revision>
  <cp:lastPrinted>2011-03-01T22:07:00Z</cp:lastPrinted>
  <dcterms:created xsi:type="dcterms:W3CDTF">2018-10-02T20:18:00Z</dcterms:created>
  <dcterms:modified xsi:type="dcterms:W3CDTF">2019-08-06T18:50:00Z</dcterms:modified>
</cp:coreProperties>
</file>