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9697" w14:textId="77777777" w:rsidR="007257FD" w:rsidRDefault="0092629D">
      <w:pPr>
        <w:pStyle w:val="Heading2"/>
        <w:ind w:left="2432" w:right="2439"/>
        <w:jc w:val="center"/>
      </w:pPr>
      <w:r>
        <w:t>AG</w:t>
      </w:r>
      <w:r>
        <w:rPr>
          <w:spacing w:val="-4"/>
        </w:rPr>
        <w:t xml:space="preserve"> </w:t>
      </w:r>
      <w:r>
        <w:t>53</w:t>
      </w:r>
      <w:r>
        <w:rPr>
          <w:spacing w:val="-8"/>
        </w:rPr>
        <w:t xml:space="preserve"> </w:t>
      </w:r>
      <w:r>
        <w:t>GUIDANCE</w:t>
      </w:r>
      <w:r>
        <w:rPr>
          <w:spacing w:val="-5"/>
        </w:rPr>
        <w:t xml:space="preserve"> </w:t>
      </w:r>
      <w:r>
        <w:t>DOCUMENT</w:t>
      </w:r>
      <w:r>
        <w:rPr>
          <w:spacing w:val="-5"/>
        </w:rPr>
        <w:t xml:space="preserve"> </w:t>
      </w:r>
      <w:r>
        <w:t>–</w:t>
      </w:r>
      <w:r>
        <w:rPr>
          <w:spacing w:val="-5"/>
        </w:rPr>
        <w:t xml:space="preserve"> </w:t>
      </w:r>
      <w:r>
        <w:t>YEAR-END</w:t>
      </w:r>
      <w:r>
        <w:rPr>
          <w:spacing w:val="-5"/>
        </w:rPr>
        <w:t xml:space="preserve"> </w:t>
      </w:r>
      <w:r>
        <w:rPr>
          <w:spacing w:val="-4"/>
        </w:rPr>
        <w:t>2023</w:t>
      </w:r>
    </w:p>
    <w:p w14:paraId="62EAD447" w14:textId="77777777" w:rsidR="007257FD" w:rsidRDefault="007257FD">
      <w:pPr>
        <w:pStyle w:val="BodyText"/>
        <w:spacing w:before="5"/>
        <w:rPr>
          <w:b/>
          <w:sz w:val="21"/>
        </w:rPr>
      </w:pPr>
    </w:p>
    <w:p w14:paraId="65DE9530" w14:textId="7D329F35" w:rsidR="007257FD" w:rsidRDefault="0092629D">
      <w:pPr>
        <w:pStyle w:val="BodyText"/>
        <w:ind w:left="114" w:right="120"/>
        <w:jc w:val="both"/>
      </w:pPr>
      <w:r>
        <w:t>Below is a request for information related to companies’ asset adequacy testing that is being sent to each company filing an Actuarial Guideline 53 (AG 53) Report.</w:t>
      </w:r>
      <w:r>
        <w:rPr>
          <w:spacing w:val="40"/>
        </w:rPr>
        <w:t xml:space="preserve"> </w:t>
      </w:r>
      <w:r>
        <w:t xml:space="preserve">The request is related to a </w:t>
      </w:r>
      <w:r w:rsidR="009465C8">
        <w:t xml:space="preserve">project of the </w:t>
      </w:r>
      <w:r>
        <w:t xml:space="preserve">Valuation Analysis </w:t>
      </w:r>
      <w:r w:rsidR="00722434">
        <w:t xml:space="preserve">(E) </w:t>
      </w:r>
      <w:r>
        <w:t xml:space="preserve">Working Group </w:t>
      </w:r>
      <w:r w:rsidR="00D14492">
        <w:t xml:space="preserve">(VAWG) </w:t>
      </w:r>
      <w:r>
        <w:t>of the National Association of Insurance Commissioners to review AG 53 analysis. The</w:t>
      </w:r>
      <w:r>
        <w:rPr>
          <w:spacing w:val="-1"/>
        </w:rPr>
        <w:t xml:space="preserve"> </w:t>
      </w:r>
      <w:r>
        <w:t>same</w:t>
      </w:r>
      <w:r>
        <w:rPr>
          <w:spacing w:val="-1"/>
        </w:rPr>
        <w:t xml:space="preserve"> </w:t>
      </w:r>
      <w:r>
        <w:t>confidentiality</w:t>
      </w:r>
      <w:r>
        <w:rPr>
          <w:spacing w:val="-1"/>
        </w:rPr>
        <w:t xml:space="preserve"> </w:t>
      </w:r>
      <w:r>
        <w:t>standards will apply to</w:t>
      </w:r>
      <w:r>
        <w:rPr>
          <w:spacing w:val="-3"/>
        </w:rPr>
        <w:t xml:space="preserve"> </w:t>
      </w:r>
      <w:r>
        <w:t>this</w:t>
      </w:r>
      <w:r>
        <w:rPr>
          <w:spacing w:val="-1"/>
        </w:rPr>
        <w:t xml:space="preserve"> </w:t>
      </w:r>
      <w:r>
        <w:t>information</w:t>
      </w:r>
      <w:r>
        <w:rPr>
          <w:spacing w:val="-1"/>
        </w:rPr>
        <w:t xml:space="preserve"> </w:t>
      </w:r>
      <w:r>
        <w:t>as applied</w:t>
      </w:r>
      <w:r>
        <w:rPr>
          <w:spacing w:val="-1"/>
        </w:rPr>
        <w:t xml:space="preserve"> </w:t>
      </w:r>
      <w:r>
        <w:t>to</w:t>
      </w:r>
      <w:r>
        <w:rPr>
          <w:spacing w:val="-1"/>
        </w:rPr>
        <w:t xml:space="preserve"> </w:t>
      </w:r>
      <w:r>
        <w:t xml:space="preserve">the Actuarial Opinion </w:t>
      </w:r>
      <w:r w:rsidR="00C560B3">
        <w:t xml:space="preserve">and </w:t>
      </w:r>
      <w:r>
        <w:t xml:space="preserve">Memorandum </w:t>
      </w:r>
      <w:r w:rsidR="00C83AA9">
        <w:t xml:space="preserve">(AOM) </w:t>
      </w:r>
      <w:r>
        <w:t>for VM-30.</w:t>
      </w:r>
      <w:r>
        <w:rPr>
          <w:vertAlign w:val="superscript"/>
        </w:rPr>
        <w:t>i</w:t>
      </w:r>
      <w:r>
        <w:t xml:space="preserve"> An Appendix is also included to provide clarifications regarding AG 53.</w:t>
      </w:r>
    </w:p>
    <w:p w14:paraId="450F0658" w14:textId="77777777" w:rsidR="00387C7E" w:rsidRPr="005D393F" w:rsidRDefault="00387C7E">
      <w:pPr>
        <w:pStyle w:val="BodyText"/>
        <w:ind w:left="114" w:right="120"/>
        <w:jc w:val="both"/>
        <w:rPr>
          <w:sz w:val="28"/>
          <w:szCs w:val="28"/>
        </w:rPr>
      </w:pPr>
    </w:p>
    <w:p w14:paraId="270E33C5" w14:textId="77777777" w:rsidR="007257FD" w:rsidRDefault="0092629D">
      <w:pPr>
        <w:pStyle w:val="Heading2"/>
        <w:numPr>
          <w:ilvl w:val="0"/>
          <w:numId w:val="1"/>
        </w:numPr>
        <w:tabs>
          <w:tab w:val="left" w:pos="367"/>
        </w:tabs>
        <w:spacing w:before="185"/>
        <w:ind w:hanging="253"/>
      </w:pPr>
      <w:r>
        <w:t>Sensitivity</w:t>
      </w:r>
      <w:r>
        <w:rPr>
          <w:spacing w:val="-7"/>
        </w:rPr>
        <w:t xml:space="preserve"> </w:t>
      </w:r>
      <w:r>
        <w:rPr>
          <w:spacing w:val="-2"/>
        </w:rPr>
        <w:t>Testing</w:t>
      </w:r>
    </w:p>
    <w:p w14:paraId="66E4E488" w14:textId="1483E92E" w:rsidR="007257FD" w:rsidRDefault="0092629D">
      <w:pPr>
        <w:pStyle w:val="ListParagraph"/>
        <w:numPr>
          <w:ilvl w:val="1"/>
          <w:numId w:val="1"/>
        </w:numPr>
        <w:tabs>
          <w:tab w:val="left" w:pos="355"/>
        </w:tabs>
        <w:spacing w:before="184"/>
        <w:ind w:right="119" w:firstLine="0"/>
        <w:jc w:val="both"/>
      </w:pPr>
      <w:r>
        <w:rPr>
          <w:u w:val="single"/>
        </w:rPr>
        <w:t>Initial</w:t>
      </w:r>
      <w:r>
        <w:rPr>
          <w:spacing w:val="-14"/>
          <w:u w:val="single"/>
        </w:rPr>
        <w:t xml:space="preserve"> </w:t>
      </w:r>
      <w:r>
        <w:rPr>
          <w:u w:val="single"/>
        </w:rPr>
        <w:t>Equity-Like</w:t>
      </w:r>
      <w:r>
        <w:rPr>
          <w:spacing w:val="-14"/>
          <w:u w:val="single"/>
        </w:rPr>
        <w:t xml:space="preserve"> </w:t>
      </w:r>
      <w:r>
        <w:rPr>
          <w:u w:val="single"/>
        </w:rPr>
        <w:t>Instruments</w:t>
      </w:r>
      <w:r>
        <w:rPr>
          <w:spacing w:val="-14"/>
        </w:rPr>
        <w:t xml:space="preserve"> </w:t>
      </w:r>
      <w:r>
        <w:t>–</w:t>
      </w:r>
      <w:r>
        <w:rPr>
          <w:spacing w:val="-13"/>
        </w:rPr>
        <w:t xml:space="preserve"> </w:t>
      </w:r>
      <w:r>
        <w:t>For</w:t>
      </w:r>
      <w:r>
        <w:rPr>
          <w:spacing w:val="-14"/>
        </w:rPr>
        <w:t xml:space="preserve"> </w:t>
      </w:r>
      <w:r w:rsidR="00A554CD">
        <w:rPr>
          <w:spacing w:val="-14"/>
        </w:rPr>
        <w:t>t</w:t>
      </w:r>
      <w:r w:rsidR="00FF247D">
        <w:rPr>
          <w:spacing w:val="-14"/>
        </w:rPr>
        <w:t xml:space="preserve">he AG 53 Section 5.A.i(b) </w:t>
      </w:r>
      <w:r w:rsidR="00A554CD">
        <w:rPr>
          <w:spacing w:val="-14"/>
        </w:rPr>
        <w:t xml:space="preserve"> </w:t>
      </w:r>
      <w:r>
        <w:t>requirements</w:t>
      </w:r>
      <w:r>
        <w:rPr>
          <w:spacing w:val="-14"/>
        </w:rPr>
        <w:t xml:space="preserve"> </w:t>
      </w:r>
      <w:r>
        <w:t>related</w:t>
      </w:r>
      <w:r>
        <w:rPr>
          <w:spacing w:val="-14"/>
        </w:rPr>
        <w:t xml:space="preserve"> </w:t>
      </w:r>
      <w:r>
        <w:t>to</w:t>
      </w:r>
      <w:r>
        <w:rPr>
          <w:spacing w:val="-13"/>
        </w:rPr>
        <w:t xml:space="preserve"> </w:t>
      </w:r>
      <w:r>
        <w:t>sensitivity</w:t>
      </w:r>
      <w:r>
        <w:rPr>
          <w:spacing w:val="-14"/>
        </w:rPr>
        <w:t xml:space="preserve"> </w:t>
      </w:r>
      <w:r>
        <w:t>testing</w:t>
      </w:r>
      <w:r>
        <w:rPr>
          <w:spacing w:val="-14"/>
        </w:rPr>
        <w:t xml:space="preserve"> </w:t>
      </w:r>
      <w:r>
        <w:t>annual</w:t>
      </w:r>
      <w:r>
        <w:rPr>
          <w:spacing w:val="-14"/>
        </w:rPr>
        <w:t xml:space="preserve"> </w:t>
      </w:r>
      <w:r>
        <w:t>total</w:t>
      </w:r>
      <w:r>
        <w:rPr>
          <w:spacing w:val="-13"/>
        </w:rPr>
        <w:t xml:space="preserve"> </w:t>
      </w:r>
      <w:r>
        <w:t>returns</w:t>
      </w:r>
      <w:r>
        <w:rPr>
          <w:spacing w:val="-14"/>
        </w:rPr>
        <w:t xml:space="preserve"> </w:t>
      </w:r>
      <w:r>
        <w:t>on</w:t>
      </w:r>
      <w:r>
        <w:rPr>
          <w:spacing w:val="-14"/>
        </w:rPr>
        <w:t xml:space="preserve"> </w:t>
      </w:r>
      <w:r>
        <w:t>equity- like instruments</w:t>
      </w:r>
      <w:r w:rsidR="000F1CA6">
        <w:t xml:space="preserve">, both </w:t>
      </w:r>
      <w:r w:rsidR="0095122C">
        <w:t>initial assets and reinvestments should be included in the test.</w:t>
      </w:r>
      <w:r>
        <w:t xml:space="preserve"> This is because many equity-like instruments do not have a set contractual expiration and, therefore, tend to be held rather than maturing and being reinvested (which is frequently the case for fixed</w:t>
      </w:r>
      <w:r>
        <w:rPr>
          <w:spacing w:val="-1"/>
        </w:rPr>
        <w:t xml:space="preserve"> </w:t>
      </w:r>
      <w:r>
        <w:t>income investments). The impact of this</w:t>
      </w:r>
      <w:r>
        <w:rPr>
          <w:spacing w:val="-1"/>
        </w:rPr>
        <w:t xml:space="preserve"> </w:t>
      </w:r>
      <w:r>
        <w:t>result will be provided</w:t>
      </w:r>
      <w:r>
        <w:rPr>
          <w:spacing w:val="-1"/>
        </w:rPr>
        <w:t xml:space="preserve"> </w:t>
      </w:r>
      <w:r>
        <w:t>in the Sensitivity Testing</w:t>
      </w:r>
      <w:r>
        <w:rPr>
          <w:spacing w:val="-1"/>
        </w:rPr>
        <w:t xml:space="preserve"> </w:t>
      </w:r>
      <w:r>
        <w:t>tab of the AG 53 reporting templates.</w:t>
      </w:r>
    </w:p>
    <w:p w14:paraId="45BA39ED" w14:textId="3E105F8E" w:rsidR="00553A99" w:rsidRDefault="00553A99">
      <w:pPr>
        <w:pStyle w:val="ListParagraph"/>
        <w:numPr>
          <w:ilvl w:val="1"/>
          <w:numId w:val="1"/>
        </w:numPr>
        <w:tabs>
          <w:tab w:val="left" w:pos="355"/>
        </w:tabs>
        <w:spacing w:before="184"/>
        <w:ind w:right="119" w:firstLine="0"/>
        <w:jc w:val="both"/>
      </w:pPr>
      <w:r>
        <w:rPr>
          <w:u w:val="single"/>
        </w:rPr>
        <w:t>S</w:t>
      </w:r>
      <w:r w:rsidR="00844436">
        <w:rPr>
          <w:u w:val="single"/>
        </w:rPr>
        <w:t>ensitivity Testing Scope</w:t>
      </w:r>
      <w:r w:rsidRPr="00844436">
        <w:t xml:space="preserve"> </w:t>
      </w:r>
      <w:r>
        <w:t xml:space="preserve">– </w:t>
      </w:r>
      <w:r w:rsidR="005C3394">
        <w:t xml:space="preserve">If a company makes </w:t>
      </w:r>
      <w:r w:rsidR="00EA7295">
        <w:t xml:space="preserve">a modeling </w:t>
      </w:r>
      <w:r w:rsidR="005C3394">
        <w:t>simplification to only reinvest in public, non-callab</w:t>
      </w:r>
      <w:r w:rsidR="00EA7295">
        <w:t>le bonds but actually reinvests in more complex types of assets in real life, then the assumed investment returns in the model must be reduced to the corresponding level of public, non-callable bonds. Alternatively, if the assumed reinvestment returns are not reduced upon making this simplification, then such reinvestment types are not exempt from the sensitivity test or attribution analysis requirements in AG 53.</w:t>
      </w:r>
      <w:r w:rsidR="001450FD">
        <w:t xml:space="preserve"> In other words, a simplification cannot be made to call reinvestments “public, non-callable bonds” simply to get exempt from sensitivity testing and attribution analysis requirements unless the assumed returns are appropriately reduced in asset adequacy analysis.</w:t>
      </w:r>
    </w:p>
    <w:p w14:paraId="099AE1A8" w14:textId="77777777" w:rsidR="00387C7E" w:rsidRPr="005D393F" w:rsidRDefault="00387C7E" w:rsidP="00387C7E">
      <w:pPr>
        <w:tabs>
          <w:tab w:val="left" w:pos="355"/>
        </w:tabs>
        <w:ind w:right="115"/>
        <w:rPr>
          <w:sz w:val="28"/>
          <w:szCs w:val="28"/>
        </w:rPr>
      </w:pPr>
    </w:p>
    <w:p w14:paraId="762018AF" w14:textId="77777777" w:rsidR="007257FD" w:rsidRDefault="0092629D">
      <w:pPr>
        <w:pStyle w:val="Heading2"/>
        <w:numPr>
          <w:ilvl w:val="0"/>
          <w:numId w:val="1"/>
        </w:numPr>
        <w:tabs>
          <w:tab w:val="left" w:pos="453"/>
        </w:tabs>
        <w:spacing w:before="215"/>
        <w:ind w:left="452" w:hanging="339"/>
      </w:pPr>
      <w:r>
        <w:t>Asset</w:t>
      </w:r>
      <w:r>
        <w:rPr>
          <w:spacing w:val="-6"/>
        </w:rPr>
        <w:t xml:space="preserve"> </w:t>
      </w:r>
      <w:r>
        <w:rPr>
          <w:spacing w:val="-2"/>
        </w:rPr>
        <w:t>Information</w:t>
      </w:r>
    </w:p>
    <w:p w14:paraId="485FE543" w14:textId="77777777" w:rsidR="007257FD" w:rsidRDefault="007257FD">
      <w:pPr>
        <w:pStyle w:val="BodyText"/>
        <w:spacing w:before="5"/>
        <w:rPr>
          <w:b/>
          <w:sz w:val="21"/>
        </w:rPr>
      </w:pPr>
    </w:p>
    <w:p w14:paraId="21EB2690" w14:textId="39163EE4" w:rsidR="007257FD" w:rsidRDefault="0092629D">
      <w:pPr>
        <w:pStyle w:val="ListParagraph"/>
        <w:numPr>
          <w:ilvl w:val="1"/>
          <w:numId w:val="1"/>
        </w:numPr>
        <w:tabs>
          <w:tab w:val="left" w:pos="393"/>
        </w:tabs>
        <w:ind w:right="120" w:firstLine="0"/>
        <w:jc w:val="both"/>
      </w:pPr>
      <w:r>
        <w:rPr>
          <w:u w:val="single"/>
        </w:rPr>
        <w:t>Projected Portfolio Allocations</w:t>
      </w:r>
      <w:r>
        <w:t xml:space="preserve"> – Provide the asset allocation at </w:t>
      </w:r>
      <w:r w:rsidR="00647AA6">
        <w:t xml:space="preserve">the end of </w:t>
      </w:r>
      <w:r>
        <w:t xml:space="preserve">years </w:t>
      </w:r>
      <w:r w:rsidR="0085364F">
        <w:t xml:space="preserve">5, </w:t>
      </w:r>
      <w:r>
        <w:t xml:space="preserve">10, 20, and 30 in the projection for each asset type shown in the </w:t>
      </w:r>
      <w:r w:rsidR="004611D2">
        <w:t xml:space="preserve">“Projected Allocations” tab of the </w:t>
      </w:r>
      <w:r>
        <w:t>AG 53 reporting templates</w:t>
      </w:r>
      <w:r w:rsidR="0085407E">
        <w:t>, for NY1 level scenario</w:t>
      </w:r>
      <w:r>
        <w:t xml:space="preserve">. The purpose of collecting this information is to better understand how </w:t>
      </w:r>
      <w:r w:rsidR="004611D2">
        <w:t xml:space="preserve">projected </w:t>
      </w:r>
      <w:r>
        <w:t>allocations change as assets are disinvested. In</w:t>
      </w:r>
      <w:r>
        <w:rPr>
          <w:spacing w:val="-7"/>
        </w:rPr>
        <w:t xml:space="preserve"> </w:t>
      </w:r>
      <w:r>
        <w:t>addition,</w:t>
      </w:r>
      <w:r>
        <w:rPr>
          <w:spacing w:val="-7"/>
        </w:rPr>
        <w:t xml:space="preserve"> </w:t>
      </w:r>
      <w:r>
        <w:t>please</w:t>
      </w:r>
      <w:r>
        <w:rPr>
          <w:spacing w:val="-6"/>
        </w:rPr>
        <w:t xml:space="preserve"> </w:t>
      </w:r>
      <w:r>
        <w:t>provide</w:t>
      </w:r>
      <w:r>
        <w:rPr>
          <w:spacing w:val="-10"/>
        </w:rPr>
        <w:t xml:space="preserve"> </w:t>
      </w:r>
      <w:r>
        <w:t>a</w:t>
      </w:r>
      <w:r>
        <w:rPr>
          <w:spacing w:val="-7"/>
        </w:rPr>
        <w:t xml:space="preserve"> </w:t>
      </w:r>
      <w:r>
        <w:t>description</w:t>
      </w:r>
      <w:r>
        <w:rPr>
          <w:spacing w:val="-10"/>
        </w:rPr>
        <w:t xml:space="preserve"> </w:t>
      </w:r>
      <w:r>
        <w:t>of</w:t>
      </w:r>
      <w:r>
        <w:rPr>
          <w:spacing w:val="-9"/>
        </w:rPr>
        <w:t xml:space="preserve"> </w:t>
      </w:r>
      <w:r>
        <w:t>any</w:t>
      </w:r>
      <w:r>
        <w:rPr>
          <w:spacing w:val="-9"/>
        </w:rPr>
        <w:t xml:space="preserve"> </w:t>
      </w:r>
      <w:r>
        <w:t>investment</w:t>
      </w:r>
      <w:r>
        <w:rPr>
          <w:spacing w:val="-6"/>
        </w:rPr>
        <w:t xml:space="preserve"> </w:t>
      </w:r>
      <w:r>
        <w:t>allocation</w:t>
      </w:r>
      <w:r>
        <w:rPr>
          <w:spacing w:val="-7"/>
        </w:rPr>
        <w:t xml:space="preserve"> </w:t>
      </w:r>
      <w:r>
        <w:t>limits</w:t>
      </w:r>
      <w:r>
        <w:rPr>
          <w:spacing w:val="-9"/>
        </w:rPr>
        <w:t xml:space="preserve"> </w:t>
      </w:r>
      <w:r>
        <w:t>assumed</w:t>
      </w:r>
      <w:r>
        <w:rPr>
          <w:spacing w:val="-9"/>
        </w:rPr>
        <w:t xml:space="preserve"> </w:t>
      </w:r>
      <w:r>
        <w:t>in</w:t>
      </w:r>
      <w:r>
        <w:rPr>
          <w:spacing w:val="-10"/>
        </w:rPr>
        <w:t xml:space="preserve"> </w:t>
      </w:r>
      <w:r>
        <w:t>the</w:t>
      </w:r>
      <w:r>
        <w:rPr>
          <w:spacing w:val="-9"/>
        </w:rPr>
        <w:t xml:space="preserve"> </w:t>
      </w:r>
      <w:r>
        <w:t>model</w:t>
      </w:r>
      <w:r>
        <w:rPr>
          <w:spacing w:val="-9"/>
        </w:rPr>
        <w:t xml:space="preserve"> </w:t>
      </w:r>
      <w:r>
        <w:t>for</w:t>
      </w:r>
      <w:r>
        <w:rPr>
          <w:spacing w:val="-9"/>
        </w:rPr>
        <w:t xml:space="preserve"> </w:t>
      </w:r>
      <w:r>
        <w:t>a</w:t>
      </w:r>
      <w:r>
        <w:rPr>
          <w:spacing w:val="-7"/>
        </w:rPr>
        <w:t xml:space="preserve"> </w:t>
      </w:r>
      <w:r>
        <w:t>specific asset class, other than cash or treasuries. For example, if a model assumes equities are sold such that equities do not exceed X% of a portfolio’s total dollar amount, then provide a description of such. If there are no investment allocation limits assumed in the model, then please explicitly state that there are no investment allocation</w:t>
      </w:r>
      <w:r>
        <w:rPr>
          <w:spacing w:val="-14"/>
        </w:rPr>
        <w:t xml:space="preserve"> </w:t>
      </w:r>
      <w:r>
        <w:t>limits</w:t>
      </w:r>
      <w:r>
        <w:rPr>
          <w:spacing w:val="-14"/>
        </w:rPr>
        <w:t xml:space="preserve"> </w:t>
      </w:r>
      <w:r>
        <w:t>assumed</w:t>
      </w:r>
      <w:r>
        <w:rPr>
          <w:spacing w:val="-14"/>
        </w:rPr>
        <w:t xml:space="preserve"> </w:t>
      </w:r>
      <w:r>
        <w:t>in</w:t>
      </w:r>
      <w:r>
        <w:rPr>
          <w:spacing w:val="-13"/>
        </w:rPr>
        <w:t xml:space="preserve"> </w:t>
      </w:r>
      <w:r>
        <w:t>the</w:t>
      </w:r>
      <w:r>
        <w:rPr>
          <w:spacing w:val="-14"/>
        </w:rPr>
        <w:t xml:space="preserve"> </w:t>
      </w:r>
      <w:r>
        <w:t>model.</w:t>
      </w:r>
      <w:r w:rsidR="004611D2">
        <w:t xml:space="preserve"> In addition, please provide rationale if the model allows for any investment allocations to exceed limits specified in the company’s investment policy and/or statutory guidance.</w:t>
      </w:r>
      <w:r>
        <w:rPr>
          <w:spacing w:val="-14"/>
        </w:rPr>
        <w:t xml:space="preserve"> </w:t>
      </w:r>
      <w:r>
        <w:t>Fields</w:t>
      </w:r>
      <w:r>
        <w:rPr>
          <w:spacing w:val="-14"/>
        </w:rPr>
        <w:t xml:space="preserve"> </w:t>
      </w:r>
      <w:r>
        <w:t>to</w:t>
      </w:r>
      <w:r>
        <w:rPr>
          <w:spacing w:val="-13"/>
        </w:rPr>
        <w:t xml:space="preserve"> </w:t>
      </w:r>
      <w:r>
        <w:t>collect</w:t>
      </w:r>
      <w:r>
        <w:rPr>
          <w:spacing w:val="-14"/>
        </w:rPr>
        <w:t xml:space="preserve"> </w:t>
      </w:r>
      <w:r>
        <w:t>this</w:t>
      </w:r>
      <w:r>
        <w:rPr>
          <w:spacing w:val="-14"/>
        </w:rPr>
        <w:t xml:space="preserve"> </w:t>
      </w:r>
      <w:r>
        <w:t>information</w:t>
      </w:r>
      <w:r>
        <w:rPr>
          <w:spacing w:val="-14"/>
        </w:rPr>
        <w:t xml:space="preserve"> </w:t>
      </w:r>
      <w:r>
        <w:t>will</w:t>
      </w:r>
      <w:r>
        <w:rPr>
          <w:spacing w:val="-13"/>
        </w:rPr>
        <w:t xml:space="preserve"> </w:t>
      </w:r>
      <w:r>
        <w:t>be</w:t>
      </w:r>
      <w:r>
        <w:rPr>
          <w:spacing w:val="-11"/>
        </w:rPr>
        <w:t xml:space="preserve"> </w:t>
      </w:r>
      <w:r>
        <w:t>provided</w:t>
      </w:r>
      <w:r>
        <w:rPr>
          <w:spacing w:val="-14"/>
        </w:rPr>
        <w:t xml:space="preserve"> </w:t>
      </w:r>
      <w:r>
        <w:t>in</w:t>
      </w:r>
      <w:r>
        <w:rPr>
          <w:spacing w:val="-13"/>
        </w:rPr>
        <w:t xml:space="preserve"> </w:t>
      </w:r>
      <w:r>
        <w:t>the</w:t>
      </w:r>
      <w:r>
        <w:rPr>
          <w:spacing w:val="-14"/>
        </w:rPr>
        <w:t xml:space="preserve"> </w:t>
      </w:r>
      <w:r>
        <w:t>AG</w:t>
      </w:r>
      <w:r>
        <w:rPr>
          <w:spacing w:val="-14"/>
        </w:rPr>
        <w:t xml:space="preserve"> </w:t>
      </w:r>
      <w:r>
        <w:t>53</w:t>
      </w:r>
      <w:r>
        <w:rPr>
          <w:spacing w:val="-13"/>
        </w:rPr>
        <w:t xml:space="preserve"> </w:t>
      </w:r>
      <w:r>
        <w:t xml:space="preserve">reporting </w:t>
      </w:r>
      <w:r>
        <w:rPr>
          <w:spacing w:val="-2"/>
        </w:rPr>
        <w:t>templates.</w:t>
      </w:r>
      <w:r w:rsidR="00AA61D1">
        <w:rPr>
          <w:spacing w:val="-2"/>
        </w:rPr>
        <w:t xml:space="preserve"> If a model projects portfolio assets at a level less granular than requ</w:t>
      </w:r>
      <w:r w:rsidR="001450FD">
        <w:rPr>
          <w:spacing w:val="-2"/>
        </w:rPr>
        <w:t>ired</w:t>
      </w:r>
      <w:r w:rsidR="00AA61D1">
        <w:rPr>
          <w:spacing w:val="-2"/>
        </w:rPr>
        <w:t xml:space="preserve"> in the template, please reach out to </w:t>
      </w:r>
      <w:r w:rsidR="009242DA">
        <w:t>the chair of the NAIC Valuation Analysis (E) Working Group or the NAIC staff member supporting the NAIC Valuation Analysis (E) Working Group to discuss alternative options</w:t>
      </w:r>
      <w:r w:rsidR="00AA61D1">
        <w:rPr>
          <w:spacing w:val="-2"/>
        </w:rPr>
        <w:t>.</w:t>
      </w:r>
    </w:p>
    <w:p w14:paraId="55333961" w14:textId="77777777" w:rsidR="007257FD" w:rsidRDefault="007257FD">
      <w:pPr>
        <w:pStyle w:val="BodyText"/>
      </w:pPr>
    </w:p>
    <w:p w14:paraId="292D1AA0" w14:textId="2E4F5911" w:rsidR="007257FD" w:rsidRDefault="0092629D">
      <w:pPr>
        <w:pStyle w:val="ListParagraph"/>
        <w:numPr>
          <w:ilvl w:val="1"/>
          <w:numId w:val="1"/>
        </w:numPr>
        <w:tabs>
          <w:tab w:val="left" w:pos="331"/>
        </w:tabs>
        <w:ind w:right="120" w:firstLine="0"/>
        <w:jc w:val="both"/>
      </w:pPr>
      <w:r>
        <w:rPr>
          <w:u w:val="single"/>
        </w:rPr>
        <w:t>Structured</w:t>
      </w:r>
      <w:r>
        <w:rPr>
          <w:spacing w:val="-6"/>
          <w:u w:val="single"/>
        </w:rPr>
        <w:t xml:space="preserve"> </w:t>
      </w:r>
      <w:r>
        <w:rPr>
          <w:u w:val="single"/>
        </w:rPr>
        <w:t>Asset</w:t>
      </w:r>
      <w:r>
        <w:rPr>
          <w:spacing w:val="-6"/>
          <w:u w:val="single"/>
        </w:rPr>
        <w:t xml:space="preserve"> </w:t>
      </w:r>
      <w:r>
        <w:rPr>
          <w:u w:val="single"/>
        </w:rPr>
        <w:t>Information</w:t>
      </w:r>
      <w:r>
        <w:rPr>
          <w:spacing w:val="-7"/>
          <w:u w:val="single"/>
        </w:rPr>
        <w:t xml:space="preserve"> </w:t>
      </w:r>
      <w:r>
        <w:rPr>
          <w:u w:val="single"/>
        </w:rPr>
        <w:t>by</w:t>
      </w:r>
      <w:r>
        <w:rPr>
          <w:spacing w:val="-6"/>
          <w:u w:val="single"/>
        </w:rPr>
        <w:t xml:space="preserve"> </w:t>
      </w:r>
      <w:r>
        <w:rPr>
          <w:u w:val="single"/>
        </w:rPr>
        <w:t>Tranche</w:t>
      </w:r>
      <w:r>
        <w:rPr>
          <w:spacing w:val="-6"/>
        </w:rPr>
        <w:t xml:space="preserve"> </w:t>
      </w:r>
      <w:r>
        <w:t>–</w:t>
      </w:r>
      <w:r>
        <w:rPr>
          <w:spacing w:val="-7"/>
        </w:rPr>
        <w:t xml:space="preserve"> </w:t>
      </w:r>
      <w:r>
        <w:t>Provide</w:t>
      </w:r>
      <w:r>
        <w:rPr>
          <w:spacing w:val="-6"/>
        </w:rPr>
        <w:t xml:space="preserve"> </w:t>
      </w:r>
      <w:r>
        <w:t>information</w:t>
      </w:r>
      <w:r>
        <w:rPr>
          <w:spacing w:val="-7"/>
        </w:rPr>
        <w:t xml:space="preserve"> </w:t>
      </w:r>
      <w:r>
        <w:t>within</w:t>
      </w:r>
      <w:r>
        <w:rPr>
          <w:spacing w:val="-7"/>
        </w:rPr>
        <w:t xml:space="preserve"> </w:t>
      </w:r>
      <w:r>
        <w:t>the</w:t>
      </w:r>
      <w:r>
        <w:rPr>
          <w:spacing w:val="-7"/>
        </w:rPr>
        <w:t xml:space="preserve"> </w:t>
      </w:r>
      <w:r w:rsidR="004611D2">
        <w:rPr>
          <w:spacing w:val="-7"/>
        </w:rPr>
        <w:t xml:space="preserve">“Non-Traditional Assets” tab of the </w:t>
      </w:r>
      <w:r>
        <w:t xml:space="preserve">AG 53 reporting templates by the </w:t>
      </w:r>
      <w:r w:rsidR="00783D11">
        <w:t>position in the capital structure for different exposures</w:t>
      </w:r>
      <w:r>
        <w:t xml:space="preserve"> </w:t>
      </w:r>
      <w:r w:rsidR="00783D11">
        <w:t xml:space="preserve">and rating agency </w:t>
      </w:r>
      <w:r>
        <w:t xml:space="preserve">credit rating </w:t>
      </w:r>
      <w:r w:rsidR="009242DA">
        <w:t xml:space="preserve">for </w:t>
      </w:r>
      <w:r>
        <w:t xml:space="preserve">non-agency MBS, and ABS </w:t>
      </w:r>
      <w:r w:rsidR="004611D2">
        <w:t xml:space="preserve">initial </w:t>
      </w:r>
      <w:r>
        <w:t>assets.</w:t>
      </w:r>
      <w:r w:rsidR="00783D11">
        <w:t xml:space="preserve"> For CLOs, provide this information as well as the split for securities with underlying assets that are broadly syndicated loans vs. middle market loans.</w:t>
      </w:r>
      <w:r w:rsidR="00827315">
        <w:t xml:space="preserve"> For MBS, note any interest-only securities.</w:t>
      </w:r>
      <w:r>
        <w:t xml:space="preserve"> The fields for collecting this information will be provided in the AG 53 reporting templates.</w:t>
      </w:r>
      <w:r w:rsidR="00015575">
        <w:t xml:space="preserve">  Note that multiple columns are provided to capture this data by asset type, including two column</w:t>
      </w:r>
      <w:r w:rsidR="00C925CF">
        <w:t>s to be</w:t>
      </w:r>
      <w:r w:rsidR="00015575">
        <w:t xml:space="preserve"> </w:t>
      </w:r>
      <w:r w:rsidR="00C925CF">
        <w:t>named</w:t>
      </w:r>
      <w:r w:rsidR="00015575">
        <w:t xml:space="preserve"> by the compan</w:t>
      </w:r>
      <w:r w:rsidR="00C925CF">
        <w:t xml:space="preserve">y to </w:t>
      </w:r>
      <w:r w:rsidR="00781590">
        <w:t xml:space="preserve">separately </w:t>
      </w:r>
      <w:r w:rsidR="00C925CF">
        <w:t xml:space="preserve">itemize </w:t>
      </w:r>
      <w:r w:rsidR="00781590">
        <w:t>material amounts of ABS assets</w:t>
      </w:r>
      <w:r w:rsidR="00C925CF">
        <w:t>.</w:t>
      </w:r>
    </w:p>
    <w:p w14:paraId="4263448A" w14:textId="77777777" w:rsidR="007257FD" w:rsidRDefault="007257FD">
      <w:pPr>
        <w:pStyle w:val="BodyText"/>
      </w:pPr>
    </w:p>
    <w:p w14:paraId="754948DB" w14:textId="25778A85" w:rsidR="007257FD" w:rsidRDefault="0092629D">
      <w:pPr>
        <w:pStyle w:val="ListParagraph"/>
        <w:numPr>
          <w:ilvl w:val="1"/>
          <w:numId w:val="1"/>
        </w:numPr>
        <w:tabs>
          <w:tab w:val="left" w:pos="326"/>
        </w:tabs>
        <w:ind w:right="123" w:firstLine="0"/>
        <w:jc w:val="both"/>
      </w:pPr>
      <w:bookmarkStart w:id="0" w:name="_Hlk140128263"/>
      <w:r>
        <w:rPr>
          <w:u w:val="single"/>
        </w:rPr>
        <w:t>Schedule BA</w:t>
      </w:r>
      <w:r>
        <w:rPr>
          <w:spacing w:val="-1"/>
          <w:u w:val="single"/>
        </w:rPr>
        <w:t xml:space="preserve"> </w:t>
      </w:r>
      <w:r>
        <w:rPr>
          <w:u w:val="single"/>
        </w:rPr>
        <w:t>and</w:t>
      </w:r>
      <w:r>
        <w:rPr>
          <w:spacing w:val="-2"/>
          <w:u w:val="single"/>
        </w:rPr>
        <w:t xml:space="preserve"> </w:t>
      </w:r>
      <w:r>
        <w:rPr>
          <w:u w:val="single"/>
        </w:rPr>
        <w:t>Feeder</w:t>
      </w:r>
      <w:r>
        <w:rPr>
          <w:spacing w:val="-1"/>
          <w:u w:val="single"/>
        </w:rPr>
        <w:t xml:space="preserve"> </w:t>
      </w:r>
      <w:r>
        <w:rPr>
          <w:u w:val="single"/>
        </w:rPr>
        <w:t>Funds</w:t>
      </w:r>
      <w:r>
        <w:t xml:space="preserve"> –</w:t>
      </w:r>
      <w:r>
        <w:rPr>
          <w:spacing w:val="-2"/>
        </w:rPr>
        <w:t xml:space="preserve"> </w:t>
      </w:r>
      <w:r w:rsidR="00B727D9">
        <w:rPr>
          <w:spacing w:val="-2"/>
        </w:rPr>
        <w:t xml:space="preserve">On the “Non-Traditional Assets” tab </w:t>
      </w:r>
      <w:r w:rsidR="00B727D9">
        <w:t>i</w:t>
      </w:r>
      <w:r>
        <w:t xml:space="preserve">n the </w:t>
      </w:r>
      <w:r w:rsidR="00DD4932">
        <w:t>AG 53 reporting templates</w:t>
      </w:r>
      <w:r>
        <w:t>,</w:t>
      </w:r>
      <w:r>
        <w:rPr>
          <w:spacing w:val="-2"/>
        </w:rPr>
        <w:t xml:space="preserve"> </w:t>
      </w:r>
      <w:r>
        <w:lastRenderedPageBreak/>
        <w:t>please provide</w:t>
      </w:r>
      <w:r>
        <w:rPr>
          <w:spacing w:val="-2"/>
        </w:rPr>
        <w:t xml:space="preserve"> </w:t>
      </w:r>
      <w:r>
        <w:t>a description of</w:t>
      </w:r>
      <w:r>
        <w:rPr>
          <w:spacing w:val="-4"/>
        </w:rPr>
        <w:t xml:space="preserve"> </w:t>
      </w:r>
      <w:r>
        <w:t>assets</w:t>
      </w:r>
      <w:r>
        <w:rPr>
          <w:spacing w:val="-7"/>
        </w:rPr>
        <w:t xml:space="preserve"> </w:t>
      </w:r>
      <w:r>
        <w:t>held</w:t>
      </w:r>
      <w:r>
        <w:rPr>
          <w:spacing w:val="-5"/>
        </w:rPr>
        <w:t xml:space="preserve"> </w:t>
      </w:r>
      <w:r>
        <w:t>on</w:t>
      </w:r>
      <w:r>
        <w:rPr>
          <w:spacing w:val="-5"/>
        </w:rPr>
        <w:t xml:space="preserve"> </w:t>
      </w:r>
      <w:r>
        <w:t>Schedule</w:t>
      </w:r>
      <w:r>
        <w:rPr>
          <w:spacing w:val="-7"/>
        </w:rPr>
        <w:t xml:space="preserve"> </w:t>
      </w:r>
      <w:r>
        <w:t>BA</w:t>
      </w:r>
      <w:r>
        <w:rPr>
          <w:spacing w:val="-6"/>
        </w:rPr>
        <w:t xml:space="preserve"> </w:t>
      </w:r>
      <w:r>
        <w:t>within</w:t>
      </w:r>
      <w:r>
        <w:rPr>
          <w:spacing w:val="-7"/>
        </w:rPr>
        <w:t xml:space="preserve"> </w:t>
      </w:r>
      <w:r>
        <w:t>the</w:t>
      </w:r>
      <w:r>
        <w:rPr>
          <w:spacing w:val="-7"/>
        </w:rPr>
        <w:t xml:space="preserve"> </w:t>
      </w:r>
      <w:r>
        <w:t>Annual</w:t>
      </w:r>
      <w:r>
        <w:rPr>
          <w:spacing w:val="-4"/>
        </w:rPr>
        <w:t xml:space="preserve"> </w:t>
      </w:r>
      <w:r>
        <w:t>Statement,</w:t>
      </w:r>
      <w:r>
        <w:rPr>
          <w:spacing w:val="-7"/>
        </w:rPr>
        <w:t xml:space="preserve"> </w:t>
      </w:r>
      <w:r>
        <w:t>along</w:t>
      </w:r>
      <w:r>
        <w:rPr>
          <w:spacing w:val="-5"/>
        </w:rPr>
        <w:t xml:space="preserve"> </w:t>
      </w:r>
      <w:r>
        <w:t>with</w:t>
      </w:r>
      <w:r>
        <w:rPr>
          <w:spacing w:val="-7"/>
        </w:rPr>
        <w:t xml:space="preserve"> </w:t>
      </w:r>
      <w:r>
        <w:t>a</w:t>
      </w:r>
      <w:r>
        <w:rPr>
          <w:spacing w:val="-7"/>
        </w:rPr>
        <w:t xml:space="preserve"> </w:t>
      </w:r>
      <w:r>
        <w:t>table</w:t>
      </w:r>
      <w:r>
        <w:rPr>
          <w:spacing w:val="-7"/>
        </w:rPr>
        <w:t xml:space="preserve"> </w:t>
      </w:r>
      <w:r>
        <w:t>that</w:t>
      </w:r>
      <w:r>
        <w:rPr>
          <w:spacing w:val="-4"/>
        </w:rPr>
        <w:t xml:space="preserve"> </w:t>
      </w:r>
      <w:r>
        <w:t>shows</w:t>
      </w:r>
      <w:r>
        <w:rPr>
          <w:spacing w:val="-6"/>
        </w:rPr>
        <w:t xml:space="preserve"> </w:t>
      </w:r>
      <w:r>
        <w:t>subcategorization</w:t>
      </w:r>
      <w:r>
        <w:rPr>
          <w:spacing w:val="-5"/>
        </w:rPr>
        <w:t xml:space="preserve"> </w:t>
      </w:r>
      <w:r>
        <w:t xml:space="preserve">of Schedule BA assets by amounts and percentage of total Schedule BA </w:t>
      </w:r>
      <w:r w:rsidRPr="00D35715">
        <w:t>assets</w:t>
      </w:r>
      <w:r w:rsidR="00972780">
        <w:t xml:space="preserve"> (if unable to fit in the worksheet comment box, then either add an additional tab or worksheet with this information or </w:t>
      </w:r>
      <w:r w:rsidR="009F2DA0">
        <w:t>include it in the AG 53 report)</w:t>
      </w:r>
      <w:r w:rsidRPr="00D35715">
        <w:t xml:space="preserve">. </w:t>
      </w:r>
      <w:r w:rsidR="00827315" w:rsidRPr="00D35715">
        <w:t xml:space="preserve">For Collateral Loans, </w:t>
      </w:r>
      <w:r w:rsidR="00972780">
        <w:t xml:space="preserve">in the AG 53 </w:t>
      </w:r>
      <w:r w:rsidR="009F2DA0">
        <w:t>report,</w:t>
      </w:r>
      <w:r w:rsidR="00972780">
        <w:t xml:space="preserve"> </w:t>
      </w:r>
      <w:r w:rsidR="00827315" w:rsidRPr="00D35715">
        <w:t xml:space="preserve">disclose the assets pledged as collateral and the source for valuation to ensure compliance with statutory accounting principles. </w:t>
      </w:r>
      <w:r w:rsidRPr="00D35715">
        <w:t>In addition, describe any feeder funds held in the compan</w:t>
      </w:r>
      <w:r>
        <w:t xml:space="preserve">y portfolio, </w:t>
      </w:r>
      <w:r w:rsidR="0012218F">
        <w:t xml:space="preserve">including </w:t>
      </w:r>
      <w:r w:rsidR="004A0E20">
        <w:t xml:space="preserve">each fund’s </w:t>
      </w:r>
      <w:r>
        <w:t xml:space="preserve">asset type </w:t>
      </w:r>
      <w:r w:rsidR="002F2189">
        <w:t>category</w:t>
      </w:r>
      <w:r>
        <w:t xml:space="preserve">, and </w:t>
      </w:r>
      <w:r w:rsidR="007615B9">
        <w:t>the</w:t>
      </w:r>
      <w:r>
        <w:t xml:space="preserve"> schedule </w:t>
      </w:r>
      <w:r w:rsidR="001A35B7">
        <w:t xml:space="preserve">and line </w:t>
      </w:r>
      <w:r>
        <w:t xml:space="preserve">on the Annual Statement </w:t>
      </w:r>
      <w:r w:rsidR="001A35B7">
        <w:t xml:space="preserve">where </w:t>
      </w:r>
      <w:r>
        <w:t>such funds are located.</w:t>
      </w:r>
      <w:r w:rsidR="006D2A92">
        <w:t xml:space="preserve"> For the purposes of this request, </w:t>
      </w:r>
      <w:bookmarkStart w:id="1" w:name="_Hlk143865770"/>
      <w:r w:rsidR="006D2A92">
        <w:t xml:space="preserve">feeder funds can be defined as </w:t>
      </w:r>
      <w:r w:rsidR="006D2A92" w:rsidRPr="006D2A92">
        <w:t>one of several sub-funds that put all of their investment capital into an overarching umbrella fund, known as a master fund, for which a single investment advisor handles all portfolio investments and trading. This two-tiered investment structure of a feeder fund and a master fund is commonly used by hedge funds as a means of assembling a larger portfolio account by pooling investment capital.</w:t>
      </w:r>
      <w:r w:rsidR="006D2A92">
        <w:t xml:space="preserve"> Such funds </w:t>
      </w:r>
      <w:r w:rsidR="006D2A92" w:rsidRPr="006D2A92">
        <w:t>offer flexibility/customization with respect to different investors without impacting the trading of the investment portfolio.  Th</w:t>
      </w:r>
      <w:r w:rsidR="00783D11">
        <w:t>is</w:t>
      </w:r>
      <w:r w:rsidR="006D2A92" w:rsidRPr="006D2A92">
        <w:t xml:space="preserve"> customization may include tax status (taxable/nontaxable), ERISA status, different fee models, and/or different leverage amounts.</w:t>
      </w:r>
      <w:bookmarkEnd w:id="1"/>
      <w:r w:rsidR="00D35715">
        <w:t xml:space="preserve"> </w:t>
      </w:r>
      <w:r w:rsidR="00D35715" w:rsidRPr="00D35715">
        <w:t>It may also be customized to facilitate capital efficiency for regulated investors.</w:t>
      </w:r>
    </w:p>
    <w:bookmarkEnd w:id="0"/>
    <w:p w14:paraId="177CFAE3" w14:textId="77777777" w:rsidR="007257FD" w:rsidRDefault="007257FD">
      <w:pPr>
        <w:pStyle w:val="BodyText"/>
        <w:spacing w:before="10"/>
        <w:rPr>
          <w:sz w:val="21"/>
        </w:rPr>
      </w:pPr>
    </w:p>
    <w:p w14:paraId="30B19DB9" w14:textId="75588282" w:rsidR="007257FD" w:rsidRPr="00E80847" w:rsidRDefault="0092629D">
      <w:pPr>
        <w:pStyle w:val="ListParagraph"/>
        <w:numPr>
          <w:ilvl w:val="1"/>
          <w:numId w:val="1"/>
        </w:numPr>
        <w:tabs>
          <w:tab w:val="left" w:pos="400"/>
        </w:tabs>
        <w:spacing w:before="1"/>
        <w:ind w:right="122" w:firstLine="0"/>
        <w:jc w:val="both"/>
      </w:pPr>
      <w:r>
        <w:rPr>
          <w:u w:val="single"/>
        </w:rPr>
        <w:t>Payment In Kind</w:t>
      </w:r>
      <w:r>
        <w:t xml:space="preserve"> – </w:t>
      </w:r>
      <w:r w:rsidR="00B727D9">
        <w:rPr>
          <w:spacing w:val="-2"/>
        </w:rPr>
        <w:t xml:space="preserve">On the “Non-Traditional Assets” tab </w:t>
      </w:r>
      <w:r w:rsidR="00B727D9">
        <w:t>i</w:t>
      </w:r>
      <w:r>
        <w:t xml:space="preserve">n the </w:t>
      </w:r>
      <w:r w:rsidR="006F40F3">
        <w:t>AG 53 reporting templates</w:t>
      </w:r>
      <w:r>
        <w:t>, provide commentary for which assets the company</w:t>
      </w:r>
      <w:r>
        <w:rPr>
          <w:spacing w:val="-14"/>
        </w:rPr>
        <w:t xml:space="preserve"> </w:t>
      </w:r>
      <w:r>
        <w:t>identifies</w:t>
      </w:r>
      <w:r>
        <w:rPr>
          <w:spacing w:val="-14"/>
        </w:rPr>
        <w:t xml:space="preserve"> </w:t>
      </w:r>
      <w:r>
        <w:t>as</w:t>
      </w:r>
      <w:r>
        <w:rPr>
          <w:spacing w:val="-14"/>
        </w:rPr>
        <w:t xml:space="preserve"> </w:t>
      </w:r>
      <w:r>
        <w:t>“payment</w:t>
      </w:r>
      <w:r>
        <w:rPr>
          <w:spacing w:val="-13"/>
        </w:rPr>
        <w:t xml:space="preserve"> </w:t>
      </w:r>
      <w:r>
        <w:t>in</w:t>
      </w:r>
      <w:r>
        <w:rPr>
          <w:spacing w:val="-14"/>
        </w:rPr>
        <w:t xml:space="preserve"> </w:t>
      </w:r>
      <w:r>
        <w:t>kind”</w:t>
      </w:r>
      <w:r w:rsidR="00B13C40">
        <w:t xml:space="preserve"> (including any in which interest is not currently paid)</w:t>
      </w:r>
      <w:r>
        <w:t>,</w:t>
      </w:r>
      <w:r>
        <w:rPr>
          <w:spacing w:val="-14"/>
        </w:rPr>
        <w:t xml:space="preserve"> </w:t>
      </w:r>
      <w:r>
        <w:t>or</w:t>
      </w:r>
      <w:r>
        <w:rPr>
          <w:spacing w:val="-14"/>
        </w:rPr>
        <w:t xml:space="preserve"> </w:t>
      </w:r>
      <w:r>
        <w:t>those</w:t>
      </w:r>
      <w:r>
        <w:rPr>
          <w:spacing w:val="-13"/>
        </w:rPr>
        <w:t xml:space="preserve"> </w:t>
      </w:r>
      <w:r>
        <w:t>without</w:t>
      </w:r>
      <w:r>
        <w:rPr>
          <w:spacing w:val="-14"/>
        </w:rPr>
        <w:t xml:space="preserve"> </w:t>
      </w:r>
      <w:r>
        <w:t>specified</w:t>
      </w:r>
      <w:r>
        <w:rPr>
          <w:spacing w:val="-14"/>
        </w:rPr>
        <w:t xml:space="preserve"> </w:t>
      </w:r>
      <w:r>
        <w:t>cash</w:t>
      </w:r>
      <w:r>
        <w:rPr>
          <w:spacing w:val="-14"/>
        </w:rPr>
        <w:t xml:space="preserve"> </w:t>
      </w:r>
      <w:r>
        <w:t>flows.</w:t>
      </w:r>
      <w:r>
        <w:rPr>
          <w:spacing w:val="-13"/>
        </w:rPr>
        <w:t xml:space="preserve"> </w:t>
      </w:r>
      <w:r>
        <w:t>For</w:t>
      </w:r>
      <w:r>
        <w:rPr>
          <w:spacing w:val="-14"/>
        </w:rPr>
        <w:t xml:space="preserve"> </w:t>
      </w:r>
      <w:r>
        <w:t>any</w:t>
      </w:r>
      <w:r>
        <w:rPr>
          <w:spacing w:val="-14"/>
        </w:rPr>
        <w:t xml:space="preserve"> </w:t>
      </w:r>
      <w:r>
        <w:t>assets</w:t>
      </w:r>
      <w:r>
        <w:rPr>
          <w:spacing w:val="-14"/>
        </w:rPr>
        <w:t xml:space="preserve"> </w:t>
      </w:r>
      <w:r>
        <w:t>that</w:t>
      </w:r>
      <w:r>
        <w:rPr>
          <w:spacing w:val="-13"/>
        </w:rPr>
        <w:t xml:space="preserve"> </w:t>
      </w:r>
      <w:r>
        <w:t>are</w:t>
      </w:r>
      <w:r>
        <w:rPr>
          <w:spacing w:val="-14"/>
        </w:rPr>
        <w:t xml:space="preserve"> </w:t>
      </w:r>
      <w:r>
        <w:t xml:space="preserve">identified as “payment in kind”, provide commentary on the liquidity risk of such assets and how they are valued in the </w:t>
      </w:r>
      <w:r>
        <w:rPr>
          <w:spacing w:val="-2"/>
        </w:rPr>
        <w:t>model.</w:t>
      </w:r>
      <w:r w:rsidR="00B13C40">
        <w:rPr>
          <w:spacing w:val="-2"/>
        </w:rPr>
        <w:t xml:space="preserve"> </w:t>
      </w:r>
      <w:r w:rsidR="00B13C40" w:rsidRPr="00B13C40">
        <w:rPr>
          <w:spacing w:val="-2"/>
        </w:rPr>
        <w:t>Also include any assets in which schedule payments of principal and/or interest are not fixed and not otherwise tied to a typical interest rate index (sometimes referred to as “Structured Notes”).</w:t>
      </w:r>
    </w:p>
    <w:p w14:paraId="04D0865C" w14:textId="77777777" w:rsidR="009B711E" w:rsidRDefault="009B711E" w:rsidP="00E80847">
      <w:pPr>
        <w:pStyle w:val="ListParagraph"/>
      </w:pPr>
    </w:p>
    <w:p w14:paraId="0D68B410" w14:textId="5F93AD43" w:rsidR="009B711E" w:rsidRDefault="00C27AE2">
      <w:pPr>
        <w:pStyle w:val="ListParagraph"/>
        <w:numPr>
          <w:ilvl w:val="1"/>
          <w:numId w:val="1"/>
        </w:numPr>
        <w:tabs>
          <w:tab w:val="left" w:pos="400"/>
        </w:tabs>
        <w:spacing w:before="1"/>
        <w:ind w:right="122" w:firstLine="0"/>
        <w:jc w:val="both"/>
      </w:pPr>
      <w:r w:rsidRPr="00E80847">
        <w:rPr>
          <w:u w:val="single"/>
        </w:rPr>
        <w:t>Non</w:t>
      </w:r>
      <w:r w:rsidR="001470C5" w:rsidRPr="00E80847">
        <w:rPr>
          <w:u w:val="single"/>
        </w:rPr>
        <w:t>-</w:t>
      </w:r>
      <w:r w:rsidRPr="00E80847">
        <w:rPr>
          <w:u w:val="single"/>
        </w:rPr>
        <w:t>unitized Separate Accounts</w:t>
      </w:r>
      <w:r>
        <w:t xml:space="preserve"> – </w:t>
      </w:r>
      <w:r w:rsidR="00B727D9">
        <w:rPr>
          <w:spacing w:val="-2"/>
        </w:rPr>
        <w:t xml:space="preserve">On the “Company Information” tab </w:t>
      </w:r>
      <w:r w:rsidR="00B727D9">
        <w:t>i</w:t>
      </w:r>
      <w:r>
        <w:t xml:space="preserve">n the </w:t>
      </w:r>
      <w:r w:rsidR="00435EFE">
        <w:t xml:space="preserve">AG 53 reporting templates, provide the </w:t>
      </w:r>
      <w:r w:rsidR="00A84FB5">
        <w:t>total amount of initial assets held in non</w:t>
      </w:r>
      <w:r w:rsidR="001470C5">
        <w:t>-</w:t>
      </w:r>
      <w:r w:rsidR="00A84FB5">
        <w:t xml:space="preserve">unitized separate accounts.  </w:t>
      </w:r>
      <w:r w:rsidR="00AA61D1">
        <w:t xml:space="preserve">This includes </w:t>
      </w:r>
      <w:r w:rsidR="00EA7295">
        <w:t xml:space="preserve">Index-Linked Variable Annuities (ILVAs), </w:t>
      </w:r>
      <w:r w:rsidR="00AA61D1">
        <w:t>Registered Index-Linked Annuities (RILAs)</w:t>
      </w:r>
      <w:r w:rsidR="00EA7295">
        <w:t>,</w:t>
      </w:r>
      <w:r w:rsidR="00AA61D1">
        <w:t xml:space="preserve"> and Pension Risk Transfer (PRT) contracts with separate accounts.</w:t>
      </w:r>
    </w:p>
    <w:p w14:paraId="28FC9215" w14:textId="77777777" w:rsidR="007257FD" w:rsidRPr="005D393F" w:rsidRDefault="007257FD">
      <w:pPr>
        <w:pStyle w:val="BodyText"/>
        <w:spacing w:before="8"/>
        <w:rPr>
          <w:sz w:val="48"/>
          <w:szCs w:val="36"/>
        </w:rPr>
      </w:pPr>
    </w:p>
    <w:p w14:paraId="7C7CFB3A" w14:textId="77777777" w:rsidR="007257FD" w:rsidRDefault="0092629D">
      <w:pPr>
        <w:pStyle w:val="Heading2"/>
        <w:numPr>
          <w:ilvl w:val="0"/>
          <w:numId w:val="1"/>
        </w:numPr>
        <w:tabs>
          <w:tab w:val="left" w:pos="539"/>
        </w:tabs>
        <w:spacing w:before="0"/>
        <w:ind w:left="538" w:hanging="425"/>
      </w:pPr>
      <w:r>
        <w:rPr>
          <w:spacing w:val="-2"/>
        </w:rPr>
        <w:t>Reinsurance</w:t>
      </w:r>
    </w:p>
    <w:p w14:paraId="61BEEAD6" w14:textId="77777777" w:rsidR="007257FD" w:rsidRPr="00387C7E" w:rsidRDefault="007257FD">
      <w:pPr>
        <w:pStyle w:val="BodyText"/>
        <w:spacing w:before="5"/>
        <w:rPr>
          <w:b/>
          <w:sz w:val="18"/>
          <w:szCs w:val="18"/>
        </w:rPr>
      </w:pPr>
    </w:p>
    <w:p w14:paraId="483D4B12" w14:textId="5FE5E243" w:rsidR="007257FD" w:rsidRDefault="0092629D" w:rsidP="00387C7E">
      <w:pPr>
        <w:pStyle w:val="ListParagraph"/>
        <w:numPr>
          <w:ilvl w:val="1"/>
          <w:numId w:val="1"/>
        </w:numPr>
        <w:tabs>
          <w:tab w:val="left" w:pos="379"/>
        </w:tabs>
        <w:ind w:right="126" w:firstLine="0"/>
        <w:jc w:val="both"/>
      </w:pPr>
      <w:bookmarkStart w:id="2" w:name="_Hlk139972119"/>
      <w:r w:rsidRPr="00387C7E">
        <w:rPr>
          <w:u w:val="single"/>
        </w:rPr>
        <w:t>ASOP</w:t>
      </w:r>
      <w:r w:rsidRPr="00387C7E">
        <w:rPr>
          <w:spacing w:val="-3"/>
          <w:u w:val="single"/>
        </w:rPr>
        <w:t xml:space="preserve"> </w:t>
      </w:r>
      <w:r w:rsidRPr="00387C7E">
        <w:rPr>
          <w:u w:val="single"/>
        </w:rPr>
        <w:t>11</w:t>
      </w:r>
      <w:r w:rsidRPr="00387C7E">
        <w:rPr>
          <w:spacing w:val="-3"/>
          <w:u w:val="single"/>
        </w:rPr>
        <w:t xml:space="preserve"> </w:t>
      </w:r>
      <w:r w:rsidRPr="00387C7E">
        <w:rPr>
          <w:u w:val="single"/>
        </w:rPr>
        <w:t>Disclosures</w:t>
      </w:r>
      <w:r w:rsidRPr="00387C7E">
        <w:rPr>
          <w:spacing w:val="-4"/>
        </w:rPr>
        <w:t xml:space="preserve"> </w:t>
      </w:r>
      <w:r>
        <w:t>–</w:t>
      </w:r>
      <w:r w:rsidRPr="00387C7E">
        <w:rPr>
          <w:spacing w:val="-6"/>
        </w:rPr>
        <w:t xml:space="preserve"> </w:t>
      </w:r>
      <w:r>
        <w:t>To</w:t>
      </w:r>
      <w:r w:rsidRPr="00387C7E">
        <w:rPr>
          <w:spacing w:val="-3"/>
        </w:rPr>
        <w:t xml:space="preserve"> </w:t>
      </w:r>
      <w:r>
        <w:t>satisfy</w:t>
      </w:r>
      <w:r w:rsidRPr="00387C7E">
        <w:rPr>
          <w:spacing w:val="-6"/>
        </w:rPr>
        <w:t xml:space="preserve"> </w:t>
      </w:r>
      <w:r>
        <w:t>the</w:t>
      </w:r>
      <w:r w:rsidRPr="00387C7E">
        <w:rPr>
          <w:spacing w:val="-5"/>
        </w:rPr>
        <w:t xml:space="preserve"> </w:t>
      </w:r>
      <w:r>
        <w:t>requirements</w:t>
      </w:r>
      <w:r w:rsidRPr="00387C7E">
        <w:rPr>
          <w:spacing w:val="-5"/>
        </w:rPr>
        <w:t xml:space="preserve"> </w:t>
      </w:r>
      <w:r>
        <w:t>in</w:t>
      </w:r>
      <w:r w:rsidRPr="00387C7E">
        <w:rPr>
          <w:spacing w:val="-3"/>
        </w:rPr>
        <w:t xml:space="preserve"> </w:t>
      </w:r>
      <w:r w:rsidR="0071608B" w:rsidRPr="00387C7E">
        <w:rPr>
          <w:spacing w:val="-3"/>
        </w:rPr>
        <w:t xml:space="preserve">AG 53 </w:t>
      </w:r>
      <w:r>
        <w:t>Section</w:t>
      </w:r>
      <w:r w:rsidRPr="00387C7E">
        <w:rPr>
          <w:spacing w:val="-3"/>
        </w:rPr>
        <w:t xml:space="preserve"> </w:t>
      </w:r>
      <w:r>
        <w:t>4.F,</w:t>
      </w:r>
      <w:r w:rsidRPr="00387C7E">
        <w:rPr>
          <w:spacing w:val="-3"/>
        </w:rPr>
        <w:t xml:space="preserve"> </w:t>
      </w:r>
      <w:r>
        <w:t>please</w:t>
      </w:r>
      <w:r w:rsidRPr="00387C7E">
        <w:rPr>
          <w:spacing w:val="-3"/>
        </w:rPr>
        <w:t xml:space="preserve"> </w:t>
      </w:r>
      <w:r w:rsidR="005F0FC4">
        <w:rPr>
          <w:spacing w:val="-3"/>
        </w:rPr>
        <w:t xml:space="preserve">explicitly </w:t>
      </w:r>
      <w:r>
        <w:t>provide</w:t>
      </w:r>
      <w:r w:rsidRPr="00387C7E">
        <w:rPr>
          <w:spacing w:val="-3"/>
        </w:rPr>
        <w:t xml:space="preserve"> </w:t>
      </w:r>
      <w:r>
        <w:t>each</w:t>
      </w:r>
      <w:r w:rsidRPr="00387C7E">
        <w:rPr>
          <w:spacing w:val="-3"/>
        </w:rPr>
        <w:t xml:space="preserve"> </w:t>
      </w:r>
      <w:r>
        <w:t>disclosure</w:t>
      </w:r>
      <w:r w:rsidRPr="00387C7E">
        <w:rPr>
          <w:spacing w:val="-5"/>
        </w:rPr>
        <w:t xml:space="preserve"> </w:t>
      </w:r>
      <w:r>
        <w:t>specified within</w:t>
      </w:r>
      <w:r w:rsidRPr="00387C7E">
        <w:rPr>
          <w:spacing w:val="-7"/>
        </w:rPr>
        <w:t xml:space="preserve"> </w:t>
      </w:r>
      <w:r w:rsidRPr="003629D3">
        <w:t>Section</w:t>
      </w:r>
      <w:r w:rsidRPr="00387C7E">
        <w:rPr>
          <w:spacing w:val="-10"/>
        </w:rPr>
        <w:t xml:space="preserve"> </w:t>
      </w:r>
      <w:r w:rsidRPr="003629D3">
        <w:t>4.1</w:t>
      </w:r>
      <w:r w:rsidRPr="00387C7E">
        <w:rPr>
          <w:spacing w:val="-10"/>
        </w:rPr>
        <w:t xml:space="preserve"> </w:t>
      </w:r>
      <w:r w:rsidRPr="003629D3">
        <w:t>of</w:t>
      </w:r>
      <w:r w:rsidRPr="00387C7E">
        <w:rPr>
          <w:spacing w:val="-9"/>
        </w:rPr>
        <w:t xml:space="preserve"> </w:t>
      </w:r>
      <w:r w:rsidRPr="003629D3">
        <w:t>ASOP</w:t>
      </w:r>
      <w:r w:rsidRPr="00387C7E">
        <w:rPr>
          <w:spacing w:val="-7"/>
        </w:rPr>
        <w:t xml:space="preserve"> </w:t>
      </w:r>
      <w:r w:rsidRPr="003629D3">
        <w:t>11</w:t>
      </w:r>
      <w:r w:rsidR="005F0FC4">
        <w:t xml:space="preserve"> for arrangements with counterparties that </w:t>
      </w:r>
      <w:r w:rsidR="00800D98">
        <w:t xml:space="preserve">do </w:t>
      </w:r>
      <w:r w:rsidR="005F0FC4">
        <w:t xml:space="preserve">not </w:t>
      </w:r>
      <w:r w:rsidR="00800D98">
        <w:t>undergo</w:t>
      </w:r>
      <w:r w:rsidR="005F0FC4">
        <w:t xml:space="preserve"> asset adequacy analysis (e.g., captives and foreign jurisdictions)</w:t>
      </w:r>
      <w:r w:rsidRPr="003629D3">
        <w:t>.</w:t>
      </w:r>
      <w:r w:rsidRPr="00387C7E">
        <w:rPr>
          <w:spacing w:val="-7"/>
        </w:rPr>
        <w:t xml:space="preserve"> </w:t>
      </w:r>
      <w:r w:rsidRPr="003629D3">
        <w:t>If</w:t>
      </w:r>
      <w:r w:rsidRPr="00387C7E">
        <w:rPr>
          <w:spacing w:val="-9"/>
        </w:rPr>
        <w:t xml:space="preserve"> </w:t>
      </w:r>
      <w:r w:rsidRPr="003629D3">
        <w:t>a</w:t>
      </w:r>
      <w:r w:rsidRPr="00387C7E">
        <w:rPr>
          <w:spacing w:val="-9"/>
        </w:rPr>
        <w:t xml:space="preserve"> </w:t>
      </w:r>
      <w:r w:rsidRPr="003629D3">
        <w:t>company</w:t>
      </w:r>
      <w:r w:rsidRPr="00387C7E">
        <w:rPr>
          <w:spacing w:val="-7"/>
        </w:rPr>
        <w:t xml:space="preserve"> </w:t>
      </w:r>
      <w:r w:rsidRPr="003629D3">
        <w:t>provides</w:t>
      </w:r>
      <w:r w:rsidRPr="00387C7E">
        <w:rPr>
          <w:spacing w:val="-11"/>
        </w:rPr>
        <w:t xml:space="preserve"> </w:t>
      </w:r>
      <w:r w:rsidRPr="003629D3">
        <w:t>a</w:t>
      </w:r>
      <w:r w:rsidRPr="00387C7E">
        <w:rPr>
          <w:spacing w:val="-7"/>
        </w:rPr>
        <w:t xml:space="preserve"> </w:t>
      </w:r>
      <w:r w:rsidRPr="003629D3">
        <w:t>summary</w:t>
      </w:r>
      <w:r w:rsidRPr="00387C7E">
        <w:rPr>
          <w:spacing w:val="-7"/>
        </w:rPr>
        <w:t xml:space="preserve"> </w:t>
      </w:r>
      <w:r w:rsidRPr="003629D3">
        <w:t>of</w:t>
      </w:r>
      <w:r w:rsidRPr="00387C7E">
        <w:rPr>
          <w:spacing w:val="-9"/>
        </w:rPr>
        <w:t xml:space="preserve"> </w:t>
      </w:r>
      <w:r w:rsidRPr="003629D3">
        <w:t>cash</w:t>
      </w:r>
      <w:r w:rsidRPr="00387C7E">
        <w:rPr>
          <w:spacing w:val="-9"/>
        </w:rPr>
        <w:t xml:space="preserve"> </w:t>
      </w:r>
      <w:r w:rsidRPr="003629D3">
        <w:t>flow</w:t>
      </w:r>
      <w:r w:rsidRPr="00387C7E">
        <w:rPr>
          <w:spacing w:val="-11"/>
        </w:rPr>
        <w:t xml:space="preserve"> </w:t>
      </w:r>
      <w:r w:rsidRPr="003629D3">
        <w:t>testing</w:t>
      </w:r>
      <w:r w:rsidRPr="00387C7E">
        <w:rPr>
          <w:spacing w:val="-10"/>
        </w:rPr>
        <w:t xml:space="preserve"> </w:t>
      </w:r>
      <w:r w:rsidRPr="003629D3">
        <w:t>gross</w:t>
      </w:r>
      <w:r w:rsidRPr="00387C7E">
        <w:rPr>
          <w:spacing w:val="-6"/>
        </w:rPr>
        <w:t xml:space="preserve"> </w:t>
      </w:r>
      <w:r w:rsidRPr="003629D3">
        <w:t>of</w:t>
      </w:r>
      <w:r w:rsidRPr="00387C7E">
        <w:rPr>
          <w:spacing w:val="-9"/>
        </w:rPr>
        <w:t xml:space="preserve"> </w:t>
      </w:r>
      <w:r w:rsidRPr="003629D3">
        <w:t>any</w:t>
      </w:r>
      <w:r w:rsidRPr="00387C7E">
        <w:rPr>
          <w:spacing w:val="-9"/>
        </w:rPr>
        <w:t xml:space="preserve"> </w:t>
      </w:r>
      <w:r w:rsidRPr="003629D3">
        <w:t>reinsurance</w:t>
      </w:r>
      <w:r w:rsidR="00C31CB5">
        <w:t xml:space="preserve"> (i.e., pre-reinsurance-ceded) in the AOM</w:t>
      </w:r>
      <w:r w:rsidRPr="003629D3">
        <w:t xml:space="preserve">, then disclosures specified within Section 4.1 of ASOP 11 do not need to be provided within the AG 53 </w:t>
      </w:r>
      <w:r w:rsidR="00C31CB5">
        <w:t>R</w:t>
      </w:r>
      <w:r w:rsidRPr="003629D3">
        <w:t>eport</w:t>
      </w:r>
      <w:r w:rsidR="00245C90">
        <w:t xml:space="preserve"> (note this would not exempt companies from following ASOP 11, but for the purposes of the AG</w:t>
      </w:r>
      <w:r w:rsidR="00BC6F82">
        <w:t xml:space="preserve"> </w:t>
      </w:r>
      <w:r w:rsidR="00245C90">
        <w:t>53 report, the ASOP 11 disclosures would not need to be</w:t>
      </w:r>
      <w:r w:rsidR="00BC6F82">
        <w:t xml:space="preserve"> explicitly</w:t>
      </w:r>
      <w:r w:rsidR="00245C90">
        <w:t xml:space="preserve"> provided</w:t>
      </w:r>
      <w:r w:rsidR="00BC6F82">
        <w:t xml:space="preserve"> for the specified arrangements</w:t>
      </w:r>
      <w:r w:rsidR="00245C90">
        <w:t>)</w:t>
      </w:r>
      <w:r w:rsidRPr="003629D3">
        <w:t>.</w:t>
      </w:r>
    </w:p>
    <w:bookmarkEnd w:id="2"/>
    <w:p w14:paraId="57CD5C17" w14:textId="77777777" w:rsidR="00387C7E" w:rsidRPr="005D393F" w:rsidRDefault="00387C7E" w:rsidP="00387C7E">
      <w:pPr>
        <w:tabs>
          <w:tab w:val="left" w:pos="379"/>
        </w:tabs>
        <w:ind w:right="126"/>
        <w:rPr>
          <w:sz w:val="44"/>
          <w:szCs w:val="44"/>
        </w:rPr>
      </w:pPr>
    </w:p>
    <w:p w14:paraId="50D879B5" w14:textId="77777777" w:rsidR="007257FD" w:rsidRDefault="0092629D">
      <w:pPr>
        <w:pStyle w:val="Heading2"/>
        <w:numPr>
          <w:ilvl w:val="0"/>
          <w:numId w:val="1"/>
        </w:numPr>
        <w:tabs>
          <w:tab w:val="left" w:pos="525"/>
        </w:tabs>
        <w:ind w:left="524" w:hanging="411"/>
      </w:pPr>
      <w:r>
        <w:t>Investment</w:t>
      </w:r>
      <w:r>
        <w:rPr>
          <w:spacing w:val="-5"/>
        </w:rPr>
        <w:t xml:space="preserve"> </w:t>
      </w:r>
      <w:r>
        <w:t>Grade</w:t>
      </w:r>
      <w:r>
        <w:rPr>
          <w:spacing w:val="-3"/>
        </w:rPr>
        <w:t xml:space="preserve"> </w:t>
      </w:r>
      <w:r>
        <w:t>Net</w:t>
      </w:r>
      <w:r>
        <w:rPr>
          <w:spacing w:val="-3"/>
        </w:rPr>
        <w:t xml:space="preserve"> </w:t>
      </w:r>
      <w:r>
        <w:t>Spread</w:t>
      </w:r>
      <w:r>
        <w:rPr>
          <w:spacing w:val="-2"/>
        </w:rPr>
        <w:t xml:space="preserve"> Benchmark</w:t>
      </w:r>
    </w:p>
    <w:p w14:paraId="1BC1F0B2" w14:textId="77777777" w:rsidR="007257FD" w:rsidRPr="00387C7E" w:rsidRDefault="007257FD">
      <w:pPr>
        <w:pStyle w:val="BodyText"/>
        <w:spacing w:before="6"/>
        <w:rPr>
          <w:b/>
          <w:sz w:val="18"/>
          <w:szCs w:val="14"/>
        </w:rPr>
      </w:pPr>
    </w:p>
    <w:p w14:paraId="7A3B8B44" w14:textId="4E25CDF2" w:rsidR="007257FD" w:rsidRDefault="0092629D" w:rsidP="000833D8">
      <w:pPr>
        <w:pStyle w:val="ListParagraph"/>
        <w:numPr>
          <w:ilvl w:val="1"/>
          <w:numId w:val="1"/>
        </w:numPr>
        <w:tabs>
          <w:tab w:val="left" w:pos="383"/>
        </w:tabs>
        <w:ind w:left="115" w:right="115" w:firstLine="0"/>
        <w:jc w:val="both"/>
      </w:pPr>
      <w:r>
        <w:rPr>
          <w:u w:val="single"/>
        </w:rPr>
        <w:t>Net Spread Benchmark</w:t>
      </w:r>
      <w:r>
        <w:rPr>
          <w:spacing w:val="-1"/>
          <w:u w:val="single"/>
        </w:rPr>
        <w:t xml:space="preserve"> </w:t>
      </w:r>
      <w:r>
        <w:rPr>
          <w:u w:val="single"/>
        </w:rPr>
        <w:t>values</w:t>
      </w:r>
      <w:r>
        <w:t xml:space="preserve"> – At a</w:t>
      </w:r>
      <w:r>
        <w:rPr>
          <w:spacing w:val="-1"/>
        </w:rPr>
        <w:t xml:space="preserve"> </w:t>
      </w:r>
      <w:r>
        <w:t>date to be</w:t>
      </w:r>
      <w:r>
        <w:rPr>
          <w:spacing w:val="-1"/>
        </w:rPr>
        <w:t xml:space="preserve"> </w:t>
      </w:r>
      <w:r>
        <w:t>determined, the values</w:t>
      </w:r>
      <w:r w:rsidR="00C04EC4">
        <w:t xml:space="preserve"> for initial assets</w:t>
      </w:r>
      <w:r>
        <w:rPr>
          <w:spacing w:val="-1"/>
        </w:rPr>
        <w:t xml:space="preserve"> </w:t>
      </w:r>
      <w:r>
        <w:t>in</w:t>
      </w:r>
      <w:r>
        <w:rPr>
          <w:spacing w:val="-1"/>
        </w:rPr>
        <w:t xml:space="preserve"> </w:t>
      </w:r>
      <w:r>
        <w:t>the</w:t>
      </w:r>
      <w:r>
        <w:rPr>
          <w:spacing w:val="-1"/>
        </w:rPr>
        <w:t xml:space="preserve"> </w:t>
      </w:r>
      <w:r>
        <w:t>table in Appendix I</w:t>
      </w:r>
      <w:r>
        <w:rPr>
          <w:spacing w:val="-1"/>
        </w:rPr>
        <w:t xml:space="preserve"> </w:t>
      </w:r>
      <w:r>
        <w:t>of</w:t>
      </w:r>
      <w:r>
        <w:rPr>
          <w:spacing w:val="-1"/>
        </w:rPr>
        <w:t xml:space="preserve"> </w:t>
      </w:r>
      <w:r>
        <w:t xml:space="preserve">AG 53 may be considered for adjustment based on Table F under VM-20 Current Year Tables on the </w:t>
      </w:r>
      <w:hyperlink r:id="rId8">
        <w:r>
          <w:rPr>
            <w:color w:val="0000FF"/>
            <w:u w:val="single" w:color="0000FF"/>
          </w:rPr>
          <w:t>NAIC website</w:t>
        </w:r>
      </w:hyperlink>
      <w:r>
        <w:t>. Please follow the proceedings of the Life Actuarial (A) Task Force (LATF) for discussion on this topic.</w:t>
      </w:r>
    </w:p>
    <w:p w14:paraId="595AAF28" w14:textId="77777777" w:rsidR="007257FD" w:rsidRPr="005D393F" w:rsidRDefault="007257FD">
      <w:pPr>
        <w:pStyle w:val="BodyText"/>
        <w:rPr>
          <w:sz w:val="44"/>
          <w:szCs w:val="40"/>
        </w:rPr>
      </w:pPr>
    </w:p>
    <w:p w14:paraId="6941AEFE" w14:textId="77777777" w:rsidR="007257FD" w:rsidRDefault="0092629D">
      <w:pPr>
        <w:pStyle w:val="Heading2"/>
        <w:numPr>
          <w:ilvl w:val="0"/>
          <w:numId w:val="1"/>
        </w:numPr>
        <w:tabs>
          <w:tab w:val="left" w:pos="441"/>
        </w:tabs>
        <w:spacing w:before="1"/>
        <w:ind w:left="440" w:hanging="327"/>
      </w:pPr>
      <w:r>
        <w:t>AG</w:t>
      </w:r>
      <w:r>
        <w:rPr>
          <w:spacing w:val="-2"/>
        </w:rPr>
        <w:t xml:space="preserve"> </w:t>
      </w:r>
      <w:r>
        <w:t>53</w:t>
      </w:r>
      <w:r>
        <w:rPr>
          <w:spacing w:val="-2"/>
        </w:rPr>
        <w:t xml:space="preserve"> </w:t>
      </w:r>
      <w:r>
        <w:t>Report</w:t>
      </w:r>
      <w:r>
        <w:rPr>
          <w:spacing w:val="-1"/>
        </w:rPr>
        <w:t xml:space="preserve"> </w:t>
      </w:r>
      <w:r>
        <w:t>and</w:t>
      </w:r>
      <w:r>
        <w:rPr>
          <w:spacing w:val="-3"/>
        </w:rPr>
        <w:t xml:space="preserve"> </w:t>
      </w:r>
      <w:r>
        <w:rPr>
          <w:spacing w:val="-2"/>
        </w:rPr>
        <w:t>Templates</w:t>
      </w:r>
    </w:p>
    <w:p w14:paraId="5ED0F360" w14:textId="267131C7" w:rsidR="0058016A" w:rsidRDefault="0058016A">
      <w:pPr>
        <w:pStyle w:val="ListParagraph"/>
        <w:numPr>
          <w:ilvl w:val="1"/>
          <w:numId w:val="1"/>
        </w:numPr>
        <w:tabs>
          <w:tab w:val="left" w:pos="379"/>
        </w:tabs>
        <w:spacing w:before="184"/>
        <w:ind w:right="123" w:firstLine="0"/>
        <w:jc w:val="both"/>
      </w:pPr>
      <w:bookmarkStart w:id="3" w:name="_Hlk139972354"/>
      <w:r>
        <w:rPr>
          <w:u w:val="single"/>
        </w:rPr>
        <w:t>AG</w:t>
      </w:r>
      <w:r>
        <w:rPr>
          <w:spacing w:val="-3"/>
          <w:u w:val="single"/>
        </w:rPr>
        <w:t xml:space="preserve"> </w:t>
      </w:r>
      <w:r>
        <w:rPr>
          <w:u w:val="single"/>
        </w:rPr>
        <w:t>53</w:t>
      </w:r>
      <w:r>
        <w:rPr>
          <w:spacing w:val="-2"/>
          <w:u w:val="single"/>
        </w:rPr>
        <w:t xml:space="preserve"> </w:t>
      </w:r>
      <w:r>
        <w:rPr>
          <w:u w:val="single"/>
        </w:rPr>
        <w:t>Report</w:t>
      </w:r>
      <w:r>
        <w:rPr>
          <w:spacing w:val="-1"/>
          <w:u w:val="single"/>
        </w:rPr>
        <w:t xml:space="preserve"> </w:t>
      </w:r>
      <w:r>
        <w:rPr>
          <w:u w:val="single"/>
        </w:rPr>
        <w:t>Structure</w:t>
      </w:r>
      <w:r>
        <w:rPr>
          <w:spacing w:val="-3"/>
        </w:rPr>
        <w:t xml:space="preserve"> </w:t>
      </w:r>
      <w:r>
        <w:t>–</w:t>
      </w:r>
      <w:r>
        <w:rPr>
          <w:spacing w:val="-2"/>
        </w:rPr>
        <w:t xml:space="preserve"> </w:t>
      </w:r>
      <w:r>
        <w:t>AG</w:t>
      </w:r>
      <w:r>
        <w:rPr>
          <w:spacing w:val="-3"/>
        </w:rPr>
        <w:t xml:space="preserve"> </w:t>
      </w:r>
      <w:r>
        <w:t>53</w:t>
      </w:r>
      <w:r>
        <w:rPr>
          <w:spacing w:val="-2"/>
        </w:rPr>
        <w:t xml:space="preserve"> </w:t>
      </w:r>
      <w:r>
        <w:t>Reports</w:t>
      </w:r>
      <w:r>
        <w:rPr>
          <w:spacing w:val="-2"/>
        </w:rPr>
        <w:t xml:space="preserve"> </w:t>
      </w:r>
      <w:r>
        <w:t>should</w:t>
      </w:r>
      <w:r>
        <w:rPr>
          <w:spacing w:val="-5"/>
        </w:rPr>
        <w:t xml:space="preserve"> </w:t>
      </w:r>
      <w:r>
        <w:t>be</w:t>
      </w:r>
      <w:r>
        <w:rPr>
          <w:spacing w:val="-4"/>
        </w:rPr>
        <w:t xml:space="preserve"> </w:t>
      </w:r>
      <w:r>
        <w:t>provided</w:t>
      </w:r>
      <w:r>
        <w:rPr>
          <w:spacing w:val="-4"/>
        </w:rPr>
        <w:t xml:space="preserve"> </w:t>
      </w:r>
      <w:r>
        <w:t>in</w:t>
      </w:r>
      <w:r>
        <w:rPr>
          <w:spacing w:val="-5"/>
        </w:rPr>
        <w:t xml:space="preserve"> </w:t>
      </w:r>
      <w:r>
        <w:t>the</w:t>
      </w:r>
      <w:r>
        <w:rPr>
          <w:spacing w:val="-4"/>
        </w:rPr>
        <w:t xml:space="preserve"> </w:t>
      </w:r>
      <w:r>
        <w:t>structure</w:t>
      </w:r>
      <w:r>
        <w:rPr>
          <w:spacing w:val="-2"/>
        </w:rPr>
        <w:t xml:space="preserve"> </w:t>
      </w:r>
      <w:r>
        <w:t>of</w:t>
      </w:r>
      <w:r>
        <w:rPr>
          <w:spacing w:val="-4"/>
        </w:rPr>
        <w:t xml:space="preserve"> </w:t>
      </w:r>
      <w:r>
        <w:t>providing</w:t>
      </w:r>
      <w:r>
        <w:rPr>
          <w:spacing w:val="-2"/>
        </w:rPr>
        <w:t xml:space="preserve"> </w:t>
      </w:r>
      <w:r>
        <w:t>responses</w:t>
      </w:r>
      <w:r>
        <w:rPr>
          <w:spacing w:val="-4"/>
        </w:rPr>
        <w:t xml:space="preserve"> </w:t>
      </w:r>
      <w:r>
        <w:t>to</w:t>
      </w:r>
      <w:r>
        <w:rPr>
          <w:spacing w:val="-5"/>
        </w:rPr>
        <w:t xml:space="preserve"> </w:t>
      </w:r>
      <w:r>
        <w:t>each subsection within</w:t>
      </w:r>
      <w:r>
        <w:rPr>
          <w:spacing w:val="-2"/>
        </w:rPr>
        <w:t xml:space="preserve"> </w:t>
      </w:r>
      <w:r>
        <w:t>Sections</w:t>
      </w:r>
      <w:r>
        <w:rPr>
          <w:spacing w:val="-1"/>
        </w:rPr>
        <w:t xml:space="preserve"> </w:t>
      </w:r>
      <w:r>
        <w:t>4 and</w:t>
      </w:r>
      <w:r>
        <w:rPr>
          <w:spacing w:val="-1"/>
        </w:rPr>
        <w:t xml:space="preserve"> </w:t>
      </w:r>
      <w:r>
        <w:t>5</w:t>
      </w:r>
      <w:r>
        <w:rPr>
          <w:spacing w:val="-1"/>
        </w:rPr>
        <w:t xml:space="preserve"> </w:t>
      </w:r>
      <w:r>
        <w:t>of AG</w:t>
      </w:r>
      <w:r>
        <w:rPr>
          <w:spacing w:val="-2"/>
        </w:rPr>
        <w:t xml:space="preserve"> </w:t>
      </w:r>
      <w:r>
        <w:t>53,</w:t>
      </w:r>
      <w:r>
        <w:rPr>
          <w:spacing w:val="-1"/>
        </w:rPr>
        <w:t xml:space="preserve"> </w:t>
      </w:r>
      <w:r>
        <w:t>noting</w:t>
      </w:r>
      <w:r>
        <w:rPr>
          <w:spacing w:val="-2"/>
        </w:rPr>
        <w:t xml:space="preserve"> </w:t>
      </w:r>
      <w:r>
        <w:t>that the</w:t>
      </w:r>
      <w:r>
        <w:rPr>
          <w:spacing w:val="-1"/>
        </w:rPr>
        <w:t xml:space="preserve"> </w:t>
      </w:r>
      <w:r>
        <w:t>responses</w:t>
      </w:r>
      <w:r>
        <w:rPr>
          <w:spacing w:val="-1"/>
        </w:rPr>
        <w:t xml:space="preserve"> </w:t>
      </w:r>
      <w:r>
        <w:t>to Sections</w:t>
      </w:r>
      <w:r>
        <w:rPr>
          <w:spacing w:val="-1"/>
        </w:rPr>
        <w:t xml:space="preserve"> </w:t>
      </w:r>
      <w:r>
        <w:t>4.A</w:t>
      </w:r>
      <w:r w:rsidR="00C17988">
        <w:t xml:space="preserve"> and</w:t>
      </w:r>
      <w:r>
        <w:t xml:space="preserve"> 5.A</w:t>
      </w:r>
      <w:r>
        <w:rPr>
          <w:spacing w:val="-2"/>
        </w:rPr>
        <w:t xml:space="preserve"> </w:t>
      </w:r>
      <w:r>
        <w:t>can</w:t>
      </w:r>
      <w:r>
        <w:rPr>
          <w:spacing w:val="-2"/>
        </w:rPr>
        <w:t xml:space="preserve"> </w:t>
      </w:r>
      <w:r>
        <w:t xml:space="preserve">refer to the submitted </w:t>
      </w:r>
      <w:r w:rsidRPr="00FB13C0">
        <w:t>templates</w:t>
      </w:r>
      <w:r w:rsidR="00FB13C0" w:rsidRPr="00FB13C0">
        <w:t xml:space="preserve"> </w:t>
      </w:r>
      <w:r w:rsidR="00FB13C0" w:rsidRPr="00FB13C0">
        <w:rPr>
          <w:rStyle w:val="normaltextrun"/>
          <w:shd w:val="clear" w:color="auto" w:fill="FFFFFF"/>
        </w:rPr>
        <w:t>but also should include additional discussion and commentary</w:t>
      </w:r>
      <w:r>
        <w:t>.</w:t>
      </w:r>
    </w:p>
    <w:bookmarkEnd w:id="3"/>
    <w:p w14:paraId="5EA29A3A" w14:textId="0FB60ADA" w:rsidR="0058016A" w:rsidRDefault="0058016A" w:rsidP="0058016A">
      <w:pPr>
        <w:pStyle w:val="ListParagraph"/>
        <w:numPr>
          <w:ilvl w:val="1"/>
          <w:numId w:val="1"/>
        </w:numPr>
        <w:tabs>
          <w:tab w:val="left" w:pos="391"/>
        </w:tabs>
        <w:spacing w:before="183"/>
        <w:ind w:right="123" w:firstLine="0"/>
        <w:jc w:val="both"/>
      </w:pPr>
      <w:r>
        <w:rPr>
          <w:u w:val="single"/>
        </w:rPr>
        <w:lastRenderedPageBreak/>
        <w:t>References</w:t>
      </w:r>
      <w:r>
        <w:rPr>
          <w:spacing w:val="-2"/>
          <w:u w:val="single"/>
        </w:rPr>
        <w:t xml:space="preserve"> </w:t>
      </w:r>
      <w:r>
        <w:rPr>
          <w:u w:val="single"/>
        </w:rPr>
        <w:t>to</w:t>
      </w:r>
      <w:r>
        <w:rPr>
          <w:spacing w:val="-5"/>
          <w:u w:val="single"/>
        </w:rPr>
        <w:t xml:space="preserve"> </w:t>
      </w:r>
      <w:r>
        <w:rPr>
          <w:u w:val="single"/>
        </w:rPr>
        <w:t>Full</w:t>
      </w:r>
      <w:r>
        <w:rPr>
          <w:spacing w:val="-3"/>
          <w:u w:val="single"/>
        </w:rPr>
        <w:t xml:space="preserve"> </w:t>
      </w:r>
      <w:r>
        <w:rPr>
          <w:u w:val="single"/>
        </w:rPr>
        <w:t>Memorandum</w:t>
      </w:r>
      <w:r>
        <w:rPr>
          <w:spacing w:val="-3"/>
        </w:rPr>
        <w:t xml:space="preserve"> </w:t>
      </w:r>
      <w:r>
        <w:t>–</w:t>
      </w:r>
      <w:r>
        <w:rPr>
          <w:spacing w:val="-2"/>
        </w:rPr>
        <w:t xml:space="preserve"> If the AG 53 Report relies on the AOM to provide responses to any of the subsections within Sections 4 and 5, the applicable sections of the AOM should be referenced.  </w:t>
      </w:r>
      <w:r>
        <w:t>If</w:t>
      </w:r>
      <w:r>
        <w:rPr>
          <w:spacing w:val="-2"/>
        </w:rPr>
        <w:t xml:space="preserve"> </w:t>
      </w:r>
      <w:r>
        <w:t>the</w:t>
      </w:r>
      <w:r>
        <w:rPr>
          <w:spacing w:val="-2"/>
        </w:rPr>
        <w:t xml:space="preserve"> </w:t>
      </w:r>
      <w:r>
        <w:t>AG</w:t>
      </w:r>
      <w:r>
        <w:rPr>
          <w:spacing w:val="-4"/>
        </w:rPr>
        <w:t xml:space="preserve"> </w:t>
      </w:r>
      <w:r>
        <w:t>53</w:t>
      </w:r>
      <w:r>
        <w:rPr>
          <w:spacing w:val="-4"/>
        </w:rPr>
        <w:t xml:space="preserve"> </w:t>
      </w:r>
      <w:r>
        <w:t>Report</w:t>
      </w:r>
      <w:r>
        <w:rPr>
          <w:spacing w:val="-5"/>
        </w:rPr>
        <w:t xml:space="preserve"> references </w:t>
      </w:r>
      <w:r>
        <w:t>the</w:t>
      </w:r>
      <w:r>
        <w:rPr>
          <w:spacing w:val="-2"/>
        </w:rPr>
        <w:t xml:space="preserve"> </w:t>
      </w:r>
      <w:r>
        <w:t>AOM,</w:t>
      </w:r>
      <w:r>
        <w:rPr>
          <w:spacing w:val="-5"/>
        </w:rPr>
        <w:t xml:space="preserve"> </w:t>
      </w:r>
      <w:r>
        <w:t>then the AOM and supporting documentation must be provided to the VAWG through the receiving state.</w:t>
      </w:r>
    </w:p>
    <w:p w14:paraId="17E332FF" w14:textId="5A0FD332" w:rsidR="007257FD" w:rsidRDefault="0092629D">
      <w:pPr>
        <w:pStyle w:val="ListParagraph"/>
        <w:numPr>
          <w:ilvl w:val="1"/>
          <w:numId w:val="1"/>
        </w:numPr>
        <w:tabs>
          <w:tab w:val="left" w:pos="379"/>
        </w:tabs>
        <w:spacing w:before="184"/>
        <w:ind w:right="123" w:firstLine="0"/>
        <w:jc w:val="both"/>
      </w:pPr>
      <w:bookmarkStart w:id="4" w:name="_Hlk139967006"/>
      <w:bookmarkStart w:id="5" w:name="_Hlk140128430"/>
      <w:r>
        <w:rPr>
          <w:u w:val="single"/>
        </w:rPr>
        <w:t>Template</w:t>
      </w:r>
      <w:r>
        <w:rPr>
          <w:spacing w:val="-2"/>
          <w:u w:val="single"/>
        </w:rPr>
        <w:t xml:space="preserve"> </w:t>
      </w:r>
      <w:r>
        <w:rPr>
          <w:u w:val="single"/>
        </w:rPr>
        <w:t>Standardization</w:t>
      </w:r>
      <w:r>
        <w:rPr>
          <w:spacing w:val="-2"/>
        </w:rPr>
        <w:t xml:space="preserve"> </w:t>
      </w:r>
      <w:r>
        <w:t>–</w:t>
      </w:r>
      <w:r>
        <w:rPr>
          <w:spacing w:val="-3"/>
        </w:rPr>
        <w:t xml:space="preserve"> </w:t>
      </w:r>
      <w:r>
        <w:t>Starting</w:t>
      </w:r>
      <w:r>
        <w:rPr>
          <w:spacing w:val="-3"/>
        </w:rPr>
        <w:t xml:space="preserve"> </w:t>
      </w:r>
      <w:r>
        <w:t>at</w:t>
      </w:r>
      <w:r>
        <w:rPr>
          <w:spacing w:val="-2"/>
        </w:rPr>
        <w:t xml:space="preserve"> </w:t>
      </w:r>
      <w:r>
        <w:t>2023</w:t>
      </w:r>
      <w:r>
        <w:rPr>
          <w:spacing w:val="-3"/>
        </w:rPr>
        <w:t xml:space="preserve"> </w:t>
      </w:r>
      <w:r>
        <w:t>year-end,</w:t>
      </w:r>
      <w:r>
        <w:rPr>
          <w:spacing w:val="-3"/>
        </w:rPr>
        <w:t xml:space="preserve"> </w:t>
      </w:r>
      <w:r>
        <w:t>submissions</w:t>
      </w:r>
      <w:r>
        <w:rPr>
          <w:spacing w:val="-3"/>
        </w:rPr>
        <w:t xml:space="preserve"> </w:t>
      </w:r>
      <w:r>
        <w:t>of</w:t>
      </w:r>
      <w:r>
        <w:rPr>
          <w:spacing w:val="-2"/>
        </w:rPr>
        <w:t xml:space="preserve"> </w:t>
      </w:r>
      <w:r>
        <w:t>the</w:t>
      </w:r>
      <w:r>
        <w:rPr>
          <w:spacing w:val="-3"/>
        </w:rPr>
        <w:t xml:space="preserve"> </w:t>
      </w:r>
      <w:r>
        <w:t>prescribed</w:t>
      </w:r>
      <w:r>
        <w:rPr>
          <w:spacing w:val="-3"/>
        </w:rPr>
        <w:t xml:space="preserve"> </w:t>
      </w:r>
      <w:r>
        <w:t>templates</w:t>
      </w:r>
      <w:r>
        <w:rPr>
          <w:spacing w:val="-3"/>
        </w:rPr>
        <w:t xml:space="preserve"> </w:t>
      </w:r>
      <w:r>
        <w:t>are</w:t>
      </w:r>
      <w:r>
        <w:rPr>
          <w:spacing w:val="-5"/>
        </w:rPr>
        <w:t xml:space="preserve"> </w:t>
      </w:r>
      <w:r>
        <w:t>required and</w:t>
      </w:r>
      <w:r>
        <w:rPr>
          <w:spacing w:val="-4"/>
        </w:rPr>
        <w:t xml:space="preserve"> </w:t>
      </w:r>
      <w:r>
        <w:t>no</w:t>
      </w:r>
      <w:r>
        <w:rPr>
          <w:spacing w:val="-5"/>
        </w:rPr>
        <w:t xml:space="preserve"> </w:t>
      </w:r>
      <w:r>
        <w:t>edits</w:t>
      </w:r>
      <w:r>
        <w:rPr>
          <w:spacing w:val="-4"/>
        </w:rPr>
        <w:t xml:space="preserve"> </w:t>
      </w:r>
      <w:r>
        <w:t>to</w:t>
      </w:r>
      <w:r>
        <w:rPr>
          <w:spacing w:val="-6"/>
        </w:rPr>
        <w:t xml:space="preserve"> </w:t>
      </w:r>
      <w:r>
        <w:t>the</w:t>
      </w:r>
      <w:r>
        <w:rPr>
          <w:spacing w:val="-4"/>
        </w:rPr>
        <w:t xml:space="preserve"> </w:t>
      </w:r>
      <w:r>
        <w:t>structure</w:t>
      </w:r>
      <w:r>
        <w:rPr>
          <w:spacing w:val="-6"/>
        </w:rPr>
        <w:t xml:space="preserve"> </w:t>
      </w:r>
      <w:r>
        <w:t>of</w:t>
      </w:r>
      <w:r>
        <w:rPr>
          <w:spacing w:val="-4"/>
        </w:rPr>
        <w:t xml:space="preserve"> </w:t>
      </w:r>
      <w:r>
        <w:t>the</w:t>
      </w:r>
      <w:r>
        <w:rPr>
          <w:spacing w:val="-6"/>
        </w:rPr>
        <w:t xml:space="preserve"> </w:t>
      </w:r>
      <w:r>
        <w:t>templates</w:t>
      </w:r>
      <w:r>
        <w:rPr>
          <w:spacing w:val="-4"/>
        </w:rPr>
        <w:t xml:space="preserve"> </w:t>
      </w:r>
      <w:r>
        <w:t>are</w:t>
      </w:r>
      <w:r>
        <w:rPr>
          <w:spacing w:val="-4"/>
        </w:rPr>
        <w:t xml:space="preserve"> </w:t>
      </w:r>
      <w:r>
        <w:t>permitted.</w:t>
      </w:r>
      <w:r>
        <w:rPr>
          <w:spacing w:val="-4"/>
        </w:rPr>
        <w:t xml:space="preserve"> </w:t>
      </w:r>
      <w:r>
        <w:t>The</w:t>
      </w:r>
      <w:r>
        <w:rPr>
          <w:spacing w:val="-6"/>
        </w:rPr>
        <w:t xml:space="preserve"> </w:t>
      </w:r>
      <w:r>
        <w:t>templates</w:t>
      </w:r>
      <w:r>
        <w:rPr>
          <w:spacing w:val="-4"/>
        </w:rPr>
        <w:t xml:space="preserve"> </w:t>
      </w:r>
      <w:r>
        <w:t>are</w:t>
      </w:r>
      <w:r>
        <w:rPr>
          <w:spacing w:val="-4"/>
        </w:rPr>
        <w:t xml:space="preserve"> </w:t>
      </w:r>
      <w:r>
        <w:t>now</w:t>
      </w:r>
      <w:r>
        <w:rPr>
          <w:spacing w:val="-7"/>
        </w:rPr>
        <w:t xml:space="preserve"> </w:t>
      </w:r>
      <w:r>
        <w:t>password</w:t>
      </w:r>
      <w:r>
        <w:rPr>
          <w:spacing w:val="-5"/>
        </w:rPr>
        <w:t xml:space="preserve"> </w:t>
      </w:r>
      <w:r>
        <w:t>protected</w:t>
      </w:r>
      <w:r>
        <w:rPr>
          <w:spacing w:val="-5"/>
        </w:rPr>
        <w:t xml:space="preserve"> </w:t>
      </w:r>
      <w:r>
        <w:t>for</w:t>
      </w:r>
      <w:r>
        <w:rPr>
          <w:spacing w:val="-4"/>
        </w:rPr>
        <w:t xml:space="preserve"> </w:t>
      </w:r>
      <w:r>
        <w:t xml:space="preserve">cells that are not intended to be changed. </w:t>
      </w:r>
      <w:r w:rsidR="00D33C36">
        <w:t xml:space="preserve"> No new columns or rows should be added.  Comment boxes should not be moved.  The asset type</w:t>
      </w:r>
      <w:r w:rsidR="00E86245">
        <w:t xml:space="preserve"> names</w:t>
      </w:r>
      <w:r w:rsidR="00D33C36">
        <w:t xml:space="preserve"> should not be modified.  </w:t>
      </w:r>
      <w:r w:rsidR="003D3269" w:rsidRPr="003D3269">
        <w:t>The company shall make its best effort to map the assets to the asset types specified in the template.</w:t>
      </w:r>
      <w:r w:rsidR="003D3269">
        <w:t xml:space="preserve">  </w:t>
      </w:r>
      <w:r w:rsidR="00D33C36">
        <w:t>Except for column headers that are intended to be customized by the company</w:t>
      </w:r>
      <w:r w:rsidR="004C0363">
        <w:t xml:space="preserve"> </w:t>
      </w:r>
      <w:r w:rsidR="00B96E05" w:rsidRPr="00B96E05">
        <w:t>(e.g., the column header in cell F3 of the “Non-Traditional Assets” template tab can be changed from “[Material Other ABS #1]” to a description of an ABS asset type that has been itemized in column F of the same template tab)</w:t>
      </w:r>
      <w:r w:rsidR="00D33C36">
        <w:t xml:space="preserve">, titles should not be changed.  </w:t>
      </w:r>
      <w:r>
        <w:t xml:space="preserve">In addition, the template should be submitted as an </w:t>
      </w:r>
      <w:r w:rsidR="00D33C36">
        <w:t>E</w:t>
      </w:r>
      <w:r>
        <w:t>xcel template (rather than a pdf).</w:t>
      </w:r>
      <w:bookmarkEnd w:id="4"/>
      <w:r w:rsidR="00C41BB4">
        <w:t xml:space="preserve">  </w:t>
      </w:r>
      <w:r w:rsidR="00AA61D1">
        <w:t>If necessary for a company’s operations, an unlocked version of the template will be provided upon request</w:t>
      </w:r>
      <w:r w:rsidR="00EA7295">
        <w:t>. However</w:t>
      </w:r>
      <w:r w:rsidR="00AA61D1">
        <w:t>, the</w:t>
      </w:r>
      <w:r w:rsidR="00EA7295">
        <w:t xml:space="preserve"> submitted templates </w:t>
      </w:r>
      <w:r w:rsidR="00AA61D1">
        <w:t xml:space="preserve">shall </w:t>
      </w:r>
      <w:r w:rsidR="00EA7295">
        <w:t xml:space="preserve">have </w:t>
      </w:r>
      <w:r w:rsidR="00AA61D1">
        <w:t xml:space="preserve">no deviations from the </w:t>
      </w:r>
      <w:r w:rsidR="00EA7295">
        <w:t xml:space="preserve">official password protected </w:t>
      </w:r>
      <w:r w:rsidR="00AA61D1">
        <w:t xml:space="preserve">templates, as specified above, unless </w:t>
      </w:r>
      <w:r w:rsidR="00C41BB4">
        <w:t xml:space="preserve">provided permission to do so by the </w:t>
      </w:r>
      <w:r w:rsidR="009242DA">
        <w:t xml:space="preserve">chair of the </w:t>
      </w:r>
      <w:r w:rsidR="00C41BB4">
        <w:t>NAIC Valuation Analysis (E) Working Group</w:t>
      </w:r>
      <w:r w:rsidR="009242DA">
        <w:t xml:space="preserve"> or the NAIC staff member supporting the NAIC Valuation Analysis (E) Working Group</w:t>
      </w:r>
      <w:r w:rsidR="00C41BB4">
        <w:t>.</w:t>
      </w:r>
    </w:p>
    <w:p w14:paraId="6E9FD7EE" w14:textId="2C97D4D3" w:rsidR="0058016A" w:rsidRDefault="0058016A">
      <w:pPr>
        <w:pStyle w:val="ListParagraph"/>
        <w:numPr>
          <w:ilvl w:val="1"/>
          <w:numId w:val="1"/>
        </w:numPr>
        <w:tabs>
          <w:tab w:val="left" w:pos="379"/>
        </w:tabs>
        <w:spacing w:before="184"/>
        <w:ind w:right="123" w:firstLine="0"/>
        <w:jc w:val="both"/>
      </w:pPr>
      <w:bookmarkStart w:id="6" w:name="_Hlk139967918"/>
      <w:bookmarkEnd w:id="5"/>
      <w:r>
        <w:rPr>
          <w:u w:val="single"/>
        </w:rPr>
        <w:t>Granularity of Templates</w:t>
      </w:r>
      <w:r>
        <w:rPr>
          <w:spacing w:val="-2"/>
        </w:rPr>
        <w:t xml:space="preserve"> </w:t>
      </w:r>
      <w:r>
        <w:t>–</w:t>
      </w:r>
      <w:r>
        <w:rPr>
          <w:spacing w:val="-3"/>
        </w:rPr>
        <w:t xml:space="preserve"> </w:t>
      </w:r>
      <w:bookmarkEnd w:id="6"/>
      <w:r w:rsidR="00B96E05" w:rsidRPr="00B96E05">
        <w:t>The company has the option to provide separate templates for each segment (i.e., portfolios and/or lines of business).  If the company cho</w:t>
      </w:r>
      <w:r w:rsidR="00B96E05">
        <w:t>o</w:t>
      </w:r>
      <w:r w:rsidR="00B96E05" w:rsidRPr="00B96E05">
        <w:t>ses to submit segment results, then all applicable template tabs should be completed for each segment.  Regardless of whether segment results are provided, all companies must submit a single template in aggregate for the entity, across all portfolios, business lines, and segments, with all applicable template tabs completed.</w:t>
      </w:r>
    </w:p>
    <w:p w14:paraId="59D16917" w14:textId="77777777" w:rsidR="007257FD" w:rsidRDefault="007257FD">
      <w:pPr>
        <w:pStyle w:val="BodyText"/>
        <w:spacing w:before="1"/>
      </w:pPr>
    </w:p>
    <w:p w14:paraId="3F085093" w14:textId="3C00A5AA" w:rsidR="007257FD" w:rsidRDefault="0092629D">
      <w:pPr>
        <w:pStyle w:val="ListParagraph"/>
        <w:numPr>
          <w:ilvl w:val="1"/>
          <w:numId w:val="1"/>
        </w:numPr>
        <w:tabs>
          <w:tab w:val="left" w:pos="333"/>
        </w:tabs>
        <w:ind w:right="123" w:firstLine="0"/>
        <w:jc w:val="both"/>
      </w:pPr>
      <w:r>
        <w:rPr>
          <w:u w:val="single"/>
        </w:rPr>
        <w:t>Template</w:t>
      </w:r>
      <w:r>
        <w:rPr>
          <w:spacing w:val="-5"/>
          <w:u w:val="single"/>
        </w:rPr>
        <w:t xml:space="preserve"> </w:t>
      </w:r>
      <w:r>
        <w:rPr>
          <w:u w:val="single"/>
        </w:rPr>
        <w:t>Updates</w:t>
      </w:r>
      <w:r>
        <w:rPr>
          <w:spacing w:val="-9"/>
        </w:rPr>
        <w:t xml:space="preserve"> </w:t>
      </w:r>
      <w:r>
        <w:t>–</w:t>
      </w:r>
      <w:r>
        <w:rPr>
          <w:spacing w:val="-8"/>
        </w:rPr>
        <w:t xml:space="preserve"> </w:t>
      </w:r>
      <w:r>
        <w:t>The</w:t>
      </w:r>
      <w:r>
        <w:rPr>
          <w:spacing w:val="-11"/>
        </w:rPr>
        <w:t xml:space="preserve"> </w:t>
      </w:r>
      <w:r>
        <w:t>templates</w:t>
      </w:r>
      <w:r>
        <w:rPr>
          <w:spacing w:val="-5"/>
        </w:rPr>
        <w:t xml:space="preserve"> </w:t>
      </w:r>
      <w:r>
        <w:t>have</w:t>
      </w:r>
      <w:r>
        <w:rPr>
          <w:spacing w:val="-7"/>
        </w:rPr>
        <w:t xml:space="preserve"> </w:t>
      </w:r>
      <w:r>
        <w:t>been</w:t>
      </w:r>
      <w:r>
        <w:rPr>
          <w:spacing w:val="-6"/>
        </w:rPr>
        <w:t xml:space="preserve"> </w:t>
      </w:r>
      <w:r>
        <w:t>updated</w:t>
      </w:r>
      <w:r>
        <w:rPr>
          <w:spacing w:val="-6"/>
        </w:rPr>
        <w:t xml:space="preserve"> </w:t>
      </w:r>
      <w:r>
        <w:t>to</w:t>
      </w:r>
      <w:r>
        <w:rPr>
          <w:spacing w:val="-8"/>
        </w:rPr>
        <w:t xml:space="preserve"> </w:t>
      </w:r>
      <w:r>
        <w:t>reflect</w:t>
      </w:r>
      <w:r>
        <w:rPr>
          <w:spacing w:val="-5"/>
        </w:rPr>
        <w:t xml:space="preserve"> </w:t>
      </w:r>
      <w:r>
        <w:t>Sections</w:t>
      </w:r>
      <w:r>
        <w:rPr>
          <w:spacing w:val="-5"/>
        </w:rPr>
        <w:t xml:space="preserve"> </w:t>
      </w:r>
      <w:proofErr w:type="spellStart"/>
      <w:r>
        <w:t>I.a</w:t>
      </w:r>
      <w:proofErr w:type="spellEnd"/>
      <w:r>
        <w:t>,</w:t>
      </w:r>
      <w:r>
        <w:rPr>
          <w:spacing w:val="-8"/>
        </w:rPr>
        <w:t xml:space="preserve"> </w:t>
      </w:r>
      <w:proofErr w:type="spellStart"/>
      <w:r>
        <w:t>II.a</w:t>
      </w:r>
      <w:proofErr w:type="spellEnd"/>
      <w:r>
        <w:t>-c,</w:t>
      </w:r>
      <w:r>
        <w:rPr>
          <w:spacing w:val="-6"/>
        </w:rPr>
        <w:t xml:space="preserve"> </w:t>
      </w:r>
      <w:r>
        <w:t>and</w:t>
      </w:r>
      <w:r>
        <w:rPr>
          <w:spacing w:val="-8"/>
        </w:rPr>
        <w:t xml:space="preserve"> </w:t>
      </w:r>
      <w:proofErr w:type="spellStart"/>
      <w:r>
        <w:t>V.</w:t>
      </w:r>
      <w:r w:rsidR="0058016A">
        <w:t>c</w:t>
      </w:r>
      <w:proofErr w:type="spellEnd"/>
      <w:r w:rsidR="008765A0">
        <w:t>-d</w:t>
      </w:r>
      <w:r>
        <w:rPr>
          <w:spacing w:val="-5"/>
        </w:rPr>
        <w:t xml:space="preserve"> </w:t>
      </w:r>
      <w:r>
        <w:t>of</w:t>
      </w:r>
      <w:r>
        <w:rPr>
          <w:spacing w:val="-7"/>
        </w:rPr>
        <w:t xml:space="preserve"> </w:t>
      </w:r>
      <w:r>
        <w:t>this</w:t>
      </w:r>
      <w:r>
        <w:rPr>
          <w:spacing w:val="-5"/>
        </w:rPr>
        <w:t xml:space="preserve"> </w:t>
      </w:r>
      <w:r>
        <w:t xml:space="preserve">Guidance Document. The templates are available on the </w:t>
      </w:r>
      <w:hyperlink r:id="rId9">
        <w:r>
          <w:rPr>
            <w:color w:val="0000FF"/>
            <w:u w:val="single" w:color="0000FF"/>
          </w:rPr>
          <w:t>LATF web page</w:t>
        </w:r>
      </w:hyperlink>
      <w:r>
        <w:rPr>
          <w:color w:val="0000FF"/>
        </w:rPr>
        <w:t xml:space="preserve"> </w:t>
      </w:r>
      <w:r>
        <w:t>under the “Documents” tab.</w:t>
      </w:r>
    </w:p>
    <w:p w14:paraId="3D07DE6F" w14:textId="77777777" w:rsidR="007257FD" w:rsidRDefault="007257FD">
      <w:pPr>
        <w:jc w:val="both"/>
        <w:sectPr w:rsidR="007257FD">
          <w:headerReference w:type="default" r:id="rId10"/>
          <w:footerReference w:type="default" r:id="rId11"/>
          <w:pgSz w:w="12240" w:h="15840"/>
          <w:pgMar w:top="1160" w:right="1040" w:bottom="1200" w:left="1240" w:header="776" w:footer="1012" w:gutter="0"/>
          <w:cols w:space="720"/>
        </w:sectPr>
      </w:pPr>
    </w:p>
    <w:p w14:paraId="71ED29A7" w14:textId="77777777" w:rsidR="007257FD" w:rsidRDefault="0092629D" w:rsidP="005F0FC4">
      <w:pPr>
        <w:pStyle w:val="Heading2"/>
        <w:ind w:left="2429" w:right="2439"/>
      </w:pPr>
      <w:r>
        <w:lastRenderedPageBreak/>
        <w:t>Appendix:</w:t>
      </w:r>
      <w:r>
        <w:rPr>
          <w:spacing w:val="47"/>
        </w:rPr>
        <w:t xml:space="preserve"> </w:t>
      </w:r>
      <w:r>
        <w:t>Clarifying</w:t>
      </w:r>
      <w:r>
        <w:rPr>
          <w:spacing w:val="-6"/>
        </w:rPr>
        <w:t xml:space="preserve"> </w:t>
      </w:r>
      <w:r>
        <w:rPr>
          <w:spacing w:val="-2"/>
        </w:rPr>
        <w:t>Items</w:t>
      </w:r>
    </w:p>
    <w:p w14:paraId="3263EA00" w14:textId="77777777" w:rsidR="007257FD" w:rsidRDefault="007257FD" w:rsidP="005F0FC4">
      <w:pPr>
        <w:pStyle w:val="BodyText"/>
        <w:jc w:val="both"/>
        <w:rPr>
          <w:b/>
          <w:sz w:val="24"/>
        </w:rPr>
      </w:pPr>
    </w:p>
    <w:p w14:paraId="3E14BF11" w14:textId="77777777" w:rsidR="007257FD" w:rsidRDefault="007257FD" w:rsidP="005F0FC4">
      <w:pPr>
        <w:pStyle w:val="BodyText"/>
        <w:spacing w:before="10"/>
        <w:jc w:val="both"/>
        <w:rPr>
          <w:b/>
          <w:sz w:val="21"/>
        </w:rPr>
      </w:pPr>
    </w:p>
    <w:p w14:paraId="3CF2CA70" w14:textId="51E892CE" w:rsidR="007257FD" w:rsidRDefault="0092629D" w:rsidP="005F0FC4">
      <w:pPr>
        <w:pStyle w:val="ListParagraph"/>
        <w:numPr>
          <w:ilvl w:val="2"/>
          <w:numId w:val="1"/>
        </w:numPr>
        <w:tabs>
          <w:tab w:val="left" w:pos="287"/>
        </w:tabs>
        <w:ind w:right="183" w:firstLine="0"/>
        <w:jc w:val="both"/>
      </w:pPr>
      <w:r>
        <w:rPr>
          <w:u w:val="single"/>
        </w:rPr>
        <w:t>AG 53 Applicability</w:t>
      </w:r>
      <w:r>
        <w:t xml:space="preserve"> – This guideline applies to all blocks of business for which the Actuarial Opinion</w:t>
      </w:r>
      <w:r w:rsidR="00135C2E">
        <w:t xml:space="preserve"> and</w:t>
      </w:r>
      <w:r>
        <w:t xml:space="preserve"> Memorandum</w:t>
      </w:r>
      <w:r>
        <w:rPr>
          <w:spacing w:val="-2"/>
        </w:rPr>
        <w:t xml:space="preserve"> </w:t>
      </w:r>
      <w:r>
        <w:t>Requirements</w:t>
      </w:r>
      <w:r>
        <w:rPr>
          <w:spacing w:val="-3"/>
        </w:rPr>
        <w:t xml:space="preserve"> </w:t>
      </w:r>
      <w:r>
        <w:t>(i.e.,</w:t>
      </w:r>
      <w:r>
        <w:rPr>
          <w:spacing w:val="-3"/>
        </w:rPr>
        <w:t xml:space="preserve"> </w:t>
      </w:r>
      <w:r>
        <w:t>VM-30)</w:t>
      </w:r>
      <w:r>
        <w:rPr>
          <w:spacing w:val="-3"/>
        </w:rPr>
        <w:t xml:space="preserve"> </w:t>
      </w:r>
      <w:r>
        <w:t>apply,</w:t>
      </w:r>
      <w:r>
        <w:rPr>
          <w:spacing w:val="-3"/>
        </w:rPr>
        <w:t xml:space="preserve"> </w:t>
      </w:r>
      <w:r>
        <w:t>subject</w:t>
      </w:r>
      <w:r>
        <w:rPr>
          <w:spacing w:val="-2"/>
        </w:rPr>
        <w:t xml:space="preserve"> </w:t>
      </w:r>
      <w:r>
        <w:t>to</w:t>
      </w:r>
      <w:r>
        <w:rPr>
          <w:spacing w:val="-3"/>
        </w:rPr>
        <w:t xml:space="preserve"> </w:t>
      </w:r>
      <w:r>
        <w:t>the</w:t>
      </w:r>
      <w:r>
        <w:rPr>
          <w:spacing w:val="-3"/>
        </w:rPr>
        <w:t xml:space="preserve"> </w:t>
      </w:r>
      <w:r>
        <w:t>requirements</w:t>
      </w:r>
      <w:r>
        <w:rPr>
          <w:spacing w:val="-4"/>
        </w:rPr>
        <w:t xml:space="preserve"> </w:t>
      </w:r>
      <w:r>
        <w:t>in</w:t>
      </w:r>
      <w:r>
        <w:rPr>
          <w:spacing w:val="-3"/>
        </w:rPr>
        <w:t xml:space="preserve"> </w:t>
      </w:r>
      <w:r>
        <w:t>Section</w:t>
      </w:r>
      <w:r>
        <w:rPr>
          <w:spacing w:val="-3"/>
        </w:rPr>
        <w:t xml:space="preserve"> </w:t>
      </w:r>
      <w:r>
        <w:t>2</w:t>
      </w:r>
      <w:r>
        <w:rPr>
          <w:spacing w:val="-3"/>
        </w:rPr>
        <w:t xml:space="preserve"> </w:t>
      </w:r>
      <w:r>
        <w:t>of</w:t>
      </w:r>
      <w:r>
        <w:rPr>
          <w:spacing w:val="-3"/>
        </w:rPr>
        <w:t xml:space="preserve"> </w:t>
      </w:r>
      <w:r>
        <w:t>AG</w:t>
      </w:r>
      <w:r>
        <w:rPr>
          <w:spacing w:val="-4"/>
        </w:rPr>
        <w:t xml:space="preserve"> </w:t>
      </w:r>
      <w:r>
        <w:t>53</w:t>
      </w:r>
      <w:r>
        <w:rPr>
          <w:spacing w:val="-3"/>
        </w:rPr>
        <w:t xml:space="preserve"> </w:t>
      </w:r>
      <w:r>
        <w:t>on</w:t>
      </w:r>
      <w:r>
        <w:rPr>
          <w:spacing w:val="-5"/>
        </w:rPr>
        <w:t xml:space="preserve"> </w:t>
      </w:r>
      <w:r>
        <w:t>scope. No types of business can be excluded from the AG 53 requirements other than those explicitly stated in the scope</w:t>
      </w:r>
      <w:r>
        <w:rPr>
          <w:spacing w:val="-4"/>
        </w:rPr>
        <w:t xml:space="preserve"> </w:t>
      </w:r>
      <w:r>
        <w:t>section.</w:t>
      </w:r>
      <w:r>
        <w:rPr>
          <w:spacing w:val="40"/>
        </w:rPr>
        <w:t xml:space="preserve"> </w:t>
      </w:r>
      <w:r>
        <w:t>Similarly,</w:t>
      </w:r>
      <w:r>
        <w:rPr>
          <w:spacing w:val="-2"/>
        </w:rPr>
        <w:t xml:space="preserve"> </w:t>
      </w:r>
      <w:r>
        <w:t>all</w:t>
      </w:r>
      <w:r>
        <w:rPr>
          <w:spacing w:val="-1"/>
        </w:rPr>
        <w:t xml:space="preserve"> </w:t>
      </w:r>
      <w:r>
        <w:t>general</w:t>
      </w:r>
      <w:r>
        <w:rPr>
          <w:spacing w:val="-1"/>
        </w:rPr>
        <w:t xml:space="preserve"> </w:t>
      </w:r>
      <w:r>
        <w:t>account</w:t>
      </w:r>
      <w:r>
        <w:rPr>
          <w:spacing w:val="-1"/>
        </w:rPr>
        <w:t xml:space="preserve"> </w:t>
      </w:r>
      <w:r>
        <w:t>and</w:t>
      </w:r>
      <w:r>
        <w:rPr>
          <w:spacing w:val="-2"/>
        </w:rPr>
        <w:t xml:space="preserve"> </w:t>
      </w:r>
      <w:r>
        <w:t>non-unitized</w:t>
      </w:r>
      <w:r>
        <w:rPr>
          <w:spacing w:val="-2"/>
        </w:rPr>
        <w:t xml:space="preserve"> </w:t>
      </w:r>
      <w:r>
        <w:t>separate</w:t>
      </w:r>
      <w:r>
        <w:rPr>
          <w:spacing w:val="-4"/>
        </w:rPr>
        <w:t xml:space="preserve"> </w:t>
      </w:r>
      <w:r>
        <w:t>account</w:t>
      </w:r>
      <w:r>
        <w:rPr>
          <w:spacing w:val="-4"/>
        </w:rPr>
        <w:t xml:space="preserve"> </w:t>
      </w:r>
      <w:r>
        <w:t>assets</w:t>
      </w:r>
      <w:r>
        <w:rPr>
          <w:spacing w:val="-4"/>
        </w:rPr>
        <w:t xml:space="preserve"> </w:t>
      </w:r>
      <w:r>
        <w:t>supporting</w:t>
      </w:r>
      <w:r>
        <w:rPr>
          <w:spacing w:val="-5"/>
        </w:rPr>
        <w:t xml:space="preserve"> </w:t>
      </w:r>
      <w:r>
        <w:t>liabilities</w:t>
      </w:r>
      <w:r>
        <w:rPr>
          <w:spacing w:val="-4"/>
        </w:rPr>
        <w:t xml:space="preserve"> </w:t>
      </w:r>
      <w:r>
        <w:t>in Exhibits 5, 6, 7, and 8 of the Annual Statement that are reflected in the asset adequacy analysis</w:t>
      </w:r>
      <w:r w:rsidR="00F05341">
        <w:t xml:space="preserve"> (using cash-flow testing and other methods)</w:t>
      </w:r>
      <w:r>
        <w:t xml:space="preserve"> should be reported to the Asset Summary template.</w:t>
      </w:r>
    </w:p>
    <w:p w14:paraId="494D0DAB" w14:textId="77777777" w:rsidR="007257FD" w:rsidRPr="005D393F" w:rsidRDefault="007257FD" w:rsidP="005F0FC4">
      <w:pPr>
        <w:pStyle w:val="BodyText"/>
        <w:spacing w:before="9"/>
        <w:jc w:val="both"/>
        <w:rPr>
          <w:szCs w:val="24"/>
        </w:rPr>
      </w:pPr>
    </w:p>
    <w:p w14:paraId="2C1230F0" w14:textId="77777777" w:rsidR="007257FD" w:rsidRDefault="0092629D" w:rsidP="005F0FC4">
      <w:pPr>
        <w:pStyle w:val="ListParagraph"/>
        <w:numPr>
          <w:ilvl w:val="2"/>
          <w:numId w:val="1"/>
        </w:numPr>
        <w:tabs>
          <w:tab w:val="left" w:pos="350"/>
        </w:tabs>
        <w:ind w:left="349" w:hanging="236"/>
        <w:jc w:val="both"/>
      </w:pPr>
      <w:r>
        <w:rPr>
          <w:u w:val="single"/>
        </w:rPr>
        <w:t>3Q</w:t>
      </w:r>
      <w:r>
        <w:rPr>
          <w:spacing w:val="-6"/>
          <w:u w:val="single"/>
        </w:rPr>
        <w:t xml:space="preserve"> </w:t>
      </w:r>
      <w:r>
        <w:rPr>
          <w:u w:val="single"/>
        </w:rPr>
        <w:t>Valuation</w:t>
      </w:r>
      <w:r>
        <w:rPr>
          <w:spacing w:val="-2"/>
          <w:u w:val="single"/>
        </w:rPr>
        <w:t xml:space="preserve"> </w:t>
      </w:r>
      <w:r>
        <w:rPr>
          <w:u w:val="single"/>
        </w:rPr>
        <w:t>Date</w:t>
      </w:r>
      <w:r>
        <w:rPr>
          <w:spacing w:val="-2"/>
        </w:rPr>
        <w:t xml:space="preserve"> </w:t>
      </w:r>
      <w:r>
        <w:t>–</w:t>
      </w:r>
      <w:r>
        <w:rPr>
          <w:spacing w:val="-2"/>
        </w:rPr>
        <w:t xml:space="preserve"> </w:t>
      </w:r>
      <w:r>
        <w:t>For</w:t>
      </w:r>
      <w:r>
        <w:rPr>
          <w:spacing w:val="-5"/>
        </w:rPr>
        <w:t xml:space="preserve"> </w:t>
      </w:r>
      <w:r>
        <w:t>the</w:t>
      </w:r>
      <w:r>
        <w:rPr>
          <w:spacing w:val="-2"/>
        </w:rPr>
        <w:t xml:space="preserve"> </w:t>
      </w:r>
      <w:r>
        <w:t>purposes</w:t>
      </w:r>
      <w:r>
        <w:rPr>
          <w:spacing w:val="-3"/>
        </w:rPr>
        <w:t xml:space="preserve"> </w:t>
      </w:r>
      <w:r>
        <w:t>of</w:t>
      </w:r>
      <w:r>
        <w:rPr>
          <w:spacing w:val="-2"/>
        </w:rPr>
        <w:t xml:space="preserve"> </w:t>
      </w:r>
      <w:r>
        <w:t>complying</w:t>
      </w:r>
      <w:r>
        <w:rPr>
          <w:spacing w:val="-6"/>
        </w:rPr>
        <w:t xml:space="preserve"> </w:t>
      </w:r>
      <w:r>
        <w:t>with</w:t>
      </w:r>
      <w:r>
        <w:rPr>
          <w:spacing w:val="-2"/>
        </w:rPr>
        <w:t xml:space="preserve"> </w:t>
      </w:r>
      <w:r>
        <w:t>AG</w:t>
      </w:r>
      <w:r>
        <w:rPr>
          <w:spacing w:val="-4"/>
        </w:rPr>
        <w:t xml:space="preserve"> </w:t>
      </w:r>
      <w:r>
        <w:t>53,</w:t>
      </w:r>
      <w:r>
        <w:rPr>
          <w:spacing w:val="-5"/>
        </w:rPr>
        <w:t xml:space="preserve"> </w:t>
      </w:r>
      <w:r>
        <w:t>either</w:t>
      </w:r>
      <w:r>
        <w:rPr>
          <w:spacing w:val="-3"/>
        </w:rPr>
        <w:t xml:space="preserve"> </w:t>
      </w:r>
      <w:r>
        <w:t>a</w:t>
      </w:r>
      <w:r>
        <w:rPr>
          <w:spacing w:val="-2"/>
        </w:rPr>
        <w:t xml:space="preserve"> </w:t>
      </w:r>
      <w:r>
        <w:t>9/30</w:t>
      </w:r>
      <w:r>
        <w:rPr>
          <w:spacing w:val="-3"/>
        </w:rPr>
        <w:t xml:space="preserve"> </w:t>
      </w:r>
      <w:r>
        <w:t>or</w:t>
      </w:r>
      <w:r>
        <w:rPr>
          <w:spacing w:val="-2"/>
        </w:rPr>
        <w:t xml:space="preserve"> </w:t>
      </w:r>
      <w:r>
        <w:t>a</w:t>
      </w:r>
      <w:r>
        <w:rPr>
          <w:spacing w:val="-3"/>
        </w:rPr>
        <w:t xml:space="preserve"> </w:t>
      </w:r>
      <w:r>
        <w:t>12/31</w:t>
      </w:r>
      <w:r>
        <w:rPr>
          <w:spacing w:val="-2"/>
        </w:rPr>
        <w:t xml:space="preserve"> </w:t>
      </w:r>
      <w:r>
        <w:t>date</w:t>
      </w:r>
      <w:r>
        <w:rPr>
          <w:spacing w:val="-3"/>
        </w:rPr>
        <w:t xml:space="preserve"> </w:t>
      </w:r>
      <w:r>
        <w:t>may</w:t>
      </w:r>
      <w:r>
        <w:rPr>
          <w:spacing w:val="-2"/>
        </w:rPr>
        <w:t xml:space="preserve"> </w:t>
      </w:r>
      <w:r>
        <w:t>be</w:t>
      </w:r>
      <w:r>
        <w:rPr>
          <w:spacing w:val="-4"/>
        </w:rPr>
        <w:t xml:space="preserve"> </w:t>
      </w:r>
      <w:r>
        <w:rPr>
          <w:spacing w:val="-2"/>
        </w:rPr>
        <w:t>used.</w:t>
      </w:r>
    </w:p>
    <w:p w14:paraId="50EC3C88" w14:textId="77777777" w:rsidR="007257FD" w:rsidRPr="005D393F" w:rsidRDefault="007257FD" w:rsidP="005F0FC4">
      <w:pPr>
        <w:pStyle w:val="BodyText"/>
        <w:spacing w:before="1"/>
        <w:jc w:val="both"/>
        <w:rPr>
          <w:szCs w:val="36"/>
        </w:rPr>
      </w:pPr>
    </w:p>
    <w:p w14:paraId="11DB02FA" w14:textId="77777777" w:rsidR="007257FD" w:rsidRDefault="0092629D" w:rsidP="005F0FC4">
      <w:pPr>
        <w:pStyle w:val="ListParagraph"/>
        <w:numPr>
          <w:ilvl w:val="2"/>
          <w:numId w:val="1"/>
        </w:numPr>
        <w:tabs>
          <w:tab w:val="left" w:pos="410"/>
        </w:tabs>
        <w:ind w:left="115" w:right="130" w:firstLine="0"/>
        <w:jc w:val="both"/>
      </w:pPr>
      <w:r>
        <w:rPr>
          <w:u w:val="single"/>
        </w:rPr>
        <w:t>Non-Unitized</w:t>
      </w:r>
      <w:r>
        <w:rPr>
          <w:spacing w:val="-1"/>
          <w:u w:val="single"/>
        </w:rPr>
        <w:t xml:space="preserve"> </w:t>
      </w:r>
      <w:r>
        <w:rPr>
          <w:u w:val="single"/>
        </w:rPr>
        <w:t>Separate</w:t>
      </w:r>
      <w:r>
        <w:rPr>
          <w:spacing w:val="-3"/>
          <w:u w:val="single"/>
        </w:rPr>
        <w:t xml:space="preserve"> </w:t>
      </w:r>
      <w:r>
        <w:rPr>
          <w:u w:val="single"/>
        </w:rPr>
        <w:t>Accounts</w:t>
      </w:r>
      <w:r>
        <w:t xml:space="preserve"> –</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3"/>
        </w:rPr>
        <w:t xml:space="preserve"> </w:t>
      </w:r>
      <w:r>
        <w:t>the</w:t>
      </w:r>
      <w:r>
        <w:rPr>
          <w:spacing w:val="-3"/>
        </w:rPr>
        <w:t xml:space="preserve"> </w:t>
      </w:r>
      <w:r>
        <w:t>scope</w:t>
      </w:r>
      <w:r>
        <w:rPr>
          <w:spacing w:val="-3"/>
        </w:rPr>
        <w:t xml:space="preserve"> </w:t>
      </w:r>
      <w:r>
        <w:t>section</w:t>
      </w:r>
      <w:r>
        <w:rPr>
          <w:spacing w:val="-4"/>
        </w:rPr>
        <w:t xml:space="preserve"> </w:t>
      </w:r>
      <w:r>
        <w:t>in</w:t>
      </w:r>
      <w:r>
        <w:rPr>
          <w:spacing w:val="-1"/>
        </w:rPr>
        <w:t xml:space="preserve"> </w:t>
      </w:r>
      <w:r>
        <w:t>AG</w:t>
      </w:r>
      <w:r>
        <w:rPr>
          <w:spacing w:val="-2"/>
        </w:rPr>
        <w:t xml:space="preserve"> </w:t>
      </w:r>
      <w:r>
        <w:t>53,</w:t>
      </w:r>
      <w:r>
        <w:rPr>
          <w:spacing w:val="-1"/>
        </w:rPr>
        <w:t xml:space="preserve"> </w:t>
      </w:r>
      <w:r>
        <w:t>the</w:t>
      </w:r>
      <w:r>
        <w:rPr>
          <w:spacing w:val="-3"/>
        </w:rPr>
        <w:t xml:space="preserve"> </w:t>
      </w:r>
      <w:r>
        <w:t>definition</w:t>
      </w:r>
      <w:r>
        <w:rPr>
          <w:spacing w:val="-1"/>
        </w:rPr>
        <w:t xml:space="preserve"> </w:t>
      </w:r>
      <w:r>
        <w:t>of</w:t>
      </w:r>
      <w:r>
        <w:rPr>
          <w:spacing w:val="-1"/>
        </w:rPr>
        <w:t xml:space="preserve"> </w:t>
      </w:r>
      <w:r>
        <w:t>a</w:t>
      </w:r>
      <w:r>
        <w:rPr>
          <w:spacing w:val="-1"/>
        </w:rPr>
        <w:t xml:space="preserve"> </w:t>
      </w:r>
      <w:r>
        <w:t>non- unitized</w:t>
      </w:r>
      <w:r>
        <w:rPr>
          <w:spacing w:val="-2"/>
        </w:rPr>
        <w:t xml:space="preserve"> </w:t>
      </w:r>
      <w:r>
        <w:t>separate</w:t>
      </w:r>
      <w:r>
        <w:rPr>
          <w:spacing w:val="-2"/>
        </w:rPr>
        <w:t xml:space="preserve"> </w:t>
      </w:r>
      <w:r>
        <w:t>account</w:t>
      </w:r>
      <w:r>
        <w:rPr>
          <w:spacing w:val="-1"/>
        </w:rPr>
        <w:t xml:space="preserve"> </w:t>
      </w:r>
      <w:r>
        <w:t>is</w:t>
      </w:r>
      <w:r>
        <w:rPr>
          <w:spacing w:val="-4"/>
        </w:rPr>
        <w:t xml:space="preserve"> </w:t>
      </w:r>
      <w:r>
        <w:t>one</w:t>
      </w:r>
      <w:r>
        <w:rPr>
          <w:spacing w:val="-2"/>
        </w:rPr>
        <w:t xml:space="preserve"> </w:t>
      </w:r>
      <w:r>
        <w:t>in</w:t>
      </w:r>
      <w:r>
        <w:rPr>
          <w:spacing w:val="-5"/>
        </w:rPr>
        <w:t xml:space="preserve"> </w:t>
      </w:r>
      <w:r>
        <w:t>which</w:t>
      </w:r>
      <w:r>
        <w:rPr>
          <w:spacing w:val="-2"/>
        </w:rPr>
        <w:t xml:space="preserve"> </w:t>
      </w:r>
      <w:r>
        <w:t>benefits</w:t>
      </w:r>
      <w:r>
        <w:rPr>
          <w:spacing w:val="-4"/>
        </w:rPr>
        <w:t xml:space="preserve"> </w:t>
      </w:r>
      <w:r>
        <w:t>are</w:t>
      </w:r>
      <w:r>
        <w:rPr>
          <w:spacing w:val="-2"/>
        </w:rPr>
        <w:t xml:space="preserve"> </w:t>
      </w:r>
      <w:r>
        <w:t>declared</w:t>
      </w:r>
      <w:r>
        <w:rPr>
          <w:spacing w:val="-4"/>
        </w:rPr>
        <w:t xml:space="preserve"> </w:t>
      </w:r>
      <w:r>
        <w:t>by</w:t>
      </w:r>
      <w:r>
        <w:rPr>
          <w:spacing w:val="-2"/>
        </w:rPr>
        <w:t xml:space="preserve"> </w:t>
      </w:r>
      <w:r>
        <w:t>the</w:t>
      </w:r>
      <w:r>
        <w:rPr>
          <w:spacing w:val="-4"/>
        </w:rPr>
        <w:t xml:space="preserve"> </w:t>
      </w:r>
      <w:r>
        <w:t>insurer</w:t>
      </w:r>
      <w:r>
        <w:rPr>
          <w:spacing w:val="-4"/>
        </w:rPr>
        <w:t xml:space="preserve"> </w:t>
      </w:r>
      <w:r>
        <w:t>and</w:t>
      </w:r>
      <w:r>
        <w:rPr>
          <w:spacing w:val="-4"/>
        </w:rPr>
        <w:t xml:space="preserve"> </w:t>
      </w:r>
      <w:r>
        <w:t>are</w:t>
      </w:r>
      <w:r>
        <w:rPr>
          <w:spacing w:val="-2"/>
        </w:rPr>
        <w:t xml:space="preserve"> </w:t>
      </w:r>
      <w:r>
        <w:t>not</w:t>
      </w:r>
      <w:r>
        <w:rPr>
          <w:spacing w:val="-1"/>
        </w:rPr>
        <w:t xml:space="preserve"> </w:t>
      </w:r>
      <w:r>
        <w:t>directly</w:t>
      </w:r>
      <w:r>
        <w:rPr>
          <w:spacing w:val="-2"/>
        </w:rPr>
        <w:t xml:space="preserve"> </w:t>
      </w:r>
      <w:r>
        <w:t>related</w:t>
      </w:r>
      <w:r>
        <w:rPr>
          <w:spacing w:val="-2"/>
        </w:rPr>
        <w:t xml:space="preserve"> </w:t>
      </w:r>
      <w:r>
        <w:t>to</w:t>
      </w:r>
      <w:r>
        <w:rPr>
          <w:spacing w:val="-5"/>
        </w:rPr>
        <w:t xml:space="preserve"> </w:t>
      </w:r>
      <w:r>
        <w:t>the assets held in the separate account, such as a registered indexed-linked annuity. This contrasts with a unitized separate account, in which benefits are expressed in units whose value varies directly with the value of the separate account, such as a variable annuity.</w:t>
      </w:r>
    </w:p>
    <w:p w14:paraId="1A0DF4EF" w14:textId="77777777" w:rsidR="007257FD" w:rsidRDefault="007257FD" w:rsidP="005F0FC4">
      <w:pPr>
        <w:pStyle w:val="BodyText"/>
        <w:spacing w:before="2"/>
        <w:jc w:val="both"/>
      </w:pPr>
    </w:p>
    <w:p w14:paraId="247A2C93" w14:textId="07BFB0F5" w:rsidR="007257FD" w:rsidRDefault="0092629D" w:rsidP="005F0FC4">
      <w:pPr>
        <w:pStyle w:val="ListParagraph"/>
        <w:numPr>
          <w:ilvl w:val="2"/>
          <w:numId w:val="1"/>
        </w:numPr>
        <w:tabs>
          <w:tab w:val="left" w:pos="398"/>
        </w:tabs>
        <w:ind w:right="265" w:firstLine="0"/>
        <w:jc w:val="both"/>
      </w:pPr>
      <w:r>
        <w:rPr>
          <w:u w:val="single"/>
        </w:rPr>
        <w:t>Assets Supporting Non-US Business</w:t>
      </w:r>
      <w:r>
        <w:t xml:space="preserve"> – The scope of AG 53 </w:t>
      </w:r>
      <w:r w:rsidR="00B727D9">
        <w:t>includes</w:t>
      </w:r>
      <w:r>
        <w:t xml:space="preserve"> business written by US entities to non-US</w:t>
      </w:r>
      <w:r>
        <w:rPr>
          <w:spacing w:val="-2"/>
        </w:rPr>
        <w:t xml:space="preserve"> </w:t>
      </w:r>
      <w:r>
        <w:t>contractholders.</w:t>
      </w:r>
      <w:r>
        <w:rPr>
          <w:spacing w:val="-2"/>
        </w:rPr>
        <w:t xml:space="preserve"> </w:t>
      </w:r>
      <w:r w:rsidRPr="001F515F">
        <w:t>AG</w:t>
      </w:r>
      <w:r w:rsidRPr="001F515F">
        <w:rPr>
          <w:spacing w:val="-3"/>
        </w:rPr>
        <w:t xml:space="preserve"> </w:t>
      </w:r>
      <w:r w:rsidRPr="001F515F">
        <w:t>53</w:t>
      </w:r>
      <w:r w:rsidRPr="001F515F">
        <w:rPr>
          <w:spacing w:val="-2"/>
        </w:rPr>
        <w:t xml:space="preserve"> </w:t>
      </w:r>
      <w:r w:rsidRPr="001F515F">
        <w:t>does</w:t>
      </w:r>
      <w:r w:rsidRPr="001F515F">
        <w:rPr>
          <w:spacing w:val="-2"/>
        </w:rPr>
        <w:t xml:space="preserve"> </w:t>
      </w:r>
      <w:r w:rsidRPr="001F515F">
        <w:t>not</w:t>
      </w:r>
      <w:r w:rsidRPr="001F515F">
        <w:rPr>
          <w:spacing w:val="-4"/>
        </w:rPr>
        <w:t xml:space="preserve"> </w:t>
      </w:r>
      <w:r w:rsidRPr="001F515F">
        <w:t>apply</w:t>
      </w:r>
      <w:r w:rsidRPr="001F515F">
        <w:rPr>
          <w:spacing w:val="-2"/>
        </w:rPr>
        <w:t xml:space="preserve"> </w:t>
      </w:r>
      <w:r w:rsidRPr="001F515F">
        <w:t>to</w:t>
      </w:r>
      <w:r w:rsidRPr="001F515F">
        <w:rPr>
          <w:spacing w:val="-5"/>
        </w:rPr>
        <w:t xml:space="preserve"> </w:t>
      </w:r>
      <w:r w:rsidRPr="001F515F">
        <w:t>any</w:t>
      </w:r>
      <w:r w:rsidRPr="001F515F">
        <w:rPr>
          <w:spacing w:val="-4"/>
        </w:rPr>
        <w:t xml:space="preserve"> </w:t>
      </w:r>
      <w:r w:rsidRPr="001F515F">
        <w:t>business</w:t>
      </w:r>
      <w:r w:rsidRPr="001F515F">
        <w:rPr>
          <w:spacing w:val="-4"/>
        </w:rPr>
        <w:t xml:space="preserve"> </w:t>
      </w:r>
      <w:r w:rsidRPr="001F515F">
        <w:t>not</w:t>
      </w:r>
      <w:r w:rsidRPr="001F515F">
        <w:rPr>
          <w:spacing w:val="-1"/>
        </w:rPr>
        <w:t xml:space="preserve"> </w:t>
      </w:r>
      <w:r w:rsidRPr="001F515F">
        <w:t>within</w:t>
      </w:r>
      <w:r w:rsidRPr="001F515F">
        <w:rPr>
          <w:spacing w:val="-5"/>
        </w:rPr>
        <w:t xml:space="preserve"> </w:t>
      </w:r>
      <w:r w:rsidRPr="001F515F">
        <w:t>the</w:t>
      </w:r>
      <w:r w:rsidRPr="001F515F">
        <w:rPr>
          <w:spacing w:val="-4"/>
        </w:rPr>
        <w:t xml:space="preserve"> </w:t>
      </w:r>
      <w:r w:rsidRPr="001F515F">
        <w:t>scope</w:t>
      </w:r>
      <w:r w:rsidRPr="001F515F">
        <w:rPr>
          <w:spacing w:val="-2"/>
        </w:rPr>
        <w:t xml:space="preserve"> </w:t>
      </w:r>
      <w:r w:rsidRPr="001F515F">
        <w:t>of</w:t>
      </w:r>
      <w:r w:rsidRPr="001F515F">
        <w:rPr>
          <w:spacing w:val="-4"/>
        </w:rPr>
        <w:t xml:space="preserve"> </w:t>
      </w:r>
      <w:r w:rsidRPr="001F515F">
        <w:t>the</w:t>
      </w:r>
      <w:r w:rsidRPr="001F515F">
        <w:rPr>
          <w:spacing w:val="-2"/>
        </w:rPr>
        <w:t xml:space="preserve"> </w:t>
      </w:r>
      <w:r w:rsidRPr="001F515F">
        <w:t>Actuarial</w:t>
      </w:r>
      <w:r w:rsidRPr="001F515F">
        <w:rPr>
          <w:spacing w:val="-1"/>
        </w:rPr>
        <w:t xml:space="preserve"> </w:t>
      </w:r>
      <w:r w:rsidRPr="001F515F">
        <w:t>Opinion</w:t>
      </w:r>
      <w:r w:rsidR="007C1CB6" w:rsidRPr="001E3DB8">
        <w:t xml:space="preserve"> and</w:t>
      </w:r>
      <w:r w:rsidRPr="001F515F">
        <w:t xml:space="preserve"> Memorandum Requirements</w:t>
      </w:r>
      <w:r>
        <w:t xml:space="preserve"> (i.e., VM-30).</w:t>
      </w:r>
    </w:p>
    <w:p w14:paraId="7E0CBC45" w14:textId="77777777" w:rsidR="007257FD" w:rsidRPr="005D393F" w:rsidRDefault="007257FD" w:rsidP="005F0FC4">
      <w:pPr>
        <w:pStyle w:val="BodyText"/>
        <w:spacing w:before="10"/>
        <w:jc w:val="both"/>
        <w:rPr>
          <w:szCs w:val="24"/>
        </w:rPr>
      </w:pPr>
    </w:p>
    <w:p w14:paraId="499F9E19" w14:textId="77777777" w:rsidR="007257FD" w:rsidRDefault="0092629D" w:rsidP="005F0FC4">
      <w:pPr>
        <w:pStyle w:val="ListParagraph"/>
        <w:numPr>
          <w:ilvl w:val="2"/>
          <w:numId w:val="1"/>
        </w:numPr>
        <w:tabs>
          <w:tab w:val="left" w:pos="335"/>
        </w:tabs>
        <w:ind w:right="879" w:firstLine="0"/>
        <w:jc w:val="both"/>
      </w:pPr>
      <w:r>
        <w:rPr>
          <w:u w:val="single"/>
        </w:rPr>
        <w:t>Template</w:t>
      </w:r>
      <w:r>
        <w:rPr>
          <w:spacing w:val="-3"/>
          <w:u w:val="single"/>
        </w:rPr>
        <w:t xml:space="preserve"> </w:t>
      </w:r>
      <w:r>
        <w:rPr>
          <w:u w:val="single"/>
        </w:rPr>
        <w:t>Units</w:t>
      </w:r>
      <w:r>
        <w:rPr>
          <w:spacing w:val="-2"/>
        </w:rPr>
        <w:t xml:space="preserve"> </w:t>
      </w:r>
      <w:r>
        <w:t>–</w:t>
      </w:r>
      <w:r>
        <w:rPr>
          <w:spacing w:val="-3"/>
        </w:rPr>
        <w:t xml:space="preserve"> </w:t>
      </w:r>
      <w:r>
        <w:t>All</w:t>
      </w:r>
      <w:r>
        <w:rPr>
          <w:spacing w:val="-2"/>
        </w:rPr>
        <w:t xml:space="preserve"> </w:t>
      </w:r>
      <w:r>
        <w:t>submitted</w:t>
      </w:r>
      <w:r>
        <w:rPr>
          <w:spacing w:val="-3"/>
        </w:rPr>
        <w:t xml:space="preserve"> </w:t>
      </w:r>
      <w:r>
        <w:t>AG</w:t>
      </w:r>
      <w:r>
        <w:rPr>
          <w:spacing w:val="-5"/>
        </w:rPr>
        <w:t xml:space="preserve"> </w:t>
      </w:r>
      <w:r>
        <w:t>53</w:t>
      </w:r>
      <w:r>
        <w:rPr>
          <w:spacing w:val="-3"/>
        </w:rPr>
        <w:t xml:space="preserve"> </w:t>
      </w:r>
      <w:r>
        <w:t>template</w:t>
      </w:r>
      <w:r>
        <w:rPr>
          <w:spacing w:val="-3"/>
        </w:rPr>
        <w:t xml:space="preserve"> </w:t>
      </w:r>
      <w:r>
        <w:t>fields</w:t>
      </w:r>
      <w:r>
        <w:rPr>
          <w:spacing w:val="-3"/>
        </w:rPr>
        <w:t xml:space="preserve"> </w:t>
      </w:r>
      <w:r>
        <w:t>expressed</w:t>
      </w:r>
      <w:r>
        <w:rPr>
          <w:spacing w:val="-6"/>
        </w:rPr>
        <w:t xml:space="preserve"> </w:t>
      </w:r>
      <w:r>
        <w:t>in</w:t>
      </w:r>
      <w:r>
        <w:rPr>
          <w:spacing w:val="-3"/>
        </w:rPr>
        <w:t xml:space="preserve"> </w:t>
      </w:r>
      <w:r>
        <w:t>dollar</w:t>
      </w:r>
      <w:r>
        <w:rPr>
          <w:spacing w:val="-5"/>
        </w:rPr>
        <w:t xml:space="preserve"> </w:t>
      </w:r>
      <w:r>
        <w:t>amounts</w:t>
      </w:r>
      <w:r>
        <w:rPr>
          <w:spacing w:val="-3"/>
        </w:rPr>
        <w:t xml:space="preserve"> </w:t>
      </w:r>
      <w:r>
        <w:t>must</w:t>
      </w:r>
      <w:r>
        <w:rPr>
          <w:spacing w:val="-2"/>
        </w:rPr>
        <w:t xml:space="preserve"> </w:t>
      </w:r>
      <w:r>
        <w:t>have</w:t>
      </w:r>
      <w:r>
        <w:rPr>
          <w:spacing w:val="-3"/>
        </w:rPr>
        <w:t xml:space="preserve"> </w:t>
      </w:r>
      <w:r>
        <w:t>units reported in millions, as noted on the templates.</w:t>
      </w:r>
    </w:p>
    <w:p w14:paraId="0B8108D1" w14:textId="77777777" w:rsidR="007257FD" w:rsidRDefault="007257FD" w:rsidP="005F0FC4">
      <w:pPr>
        <w:pStyle w:val="BodyText"/>
        <w:spacing w:before="2"/>
        <w:jc w:val="both"/>
      </w:pPr>
    </w:p>
    <w:p w14:paraId="703BE455" w14:textId="7E0FC471" w:rsidR="007257FD" w:rsidRDefault="0092629D" w:rsidP="005F0FC4">
      <w:pPr>
        <w:pStyle w:val="ListParagraph"/>
        <w:numPr>
          <w:ilvl w:val="2"/>
          <w:numId w:val="1"/>
        </w:numPr>
        <w:tabs>
          <w:tab w:val="left" w:pos="398"/>
        </w:tabs>
        <w:ind w:right="203" w:firstLine="0"/>
        <w:jc w:val="both"/>
      </w:pPr>
      <w:r>
        <w:rPr>
          <w:u w:val="single"/>
        </w:rPr>
        <w:t>Section</w:t>
      </w:r>
      <w:r>
        <w:rPr>
          <w:spacing w:val="-2"/>
          <w:u w:val="single"/>
        </w:rPr>
        <w:t xml:space="preserve"> </w:t>
      </w:r>
      <w:r>
        <w:rPr>
          <w:u w:val="single"/>
        </w:rPr>
        <w:t>4a</w:t>
      </w:r>
      <w:r>
        <w:rPr>
          <w:spacing w:val="-4"/>
          <w:u w:val="single"/>
        </w:rPr>
        <w:t xml:space="preserve"> </w:t>
      </w:r>
      <w:r>
        <w:rPr>
          <w:u w:val="single"/>
        </w:rPr>
        <w:t>Template</w:t>
      </w:r>
      <w:r>
        <w:rPr>
          <w:spacing w:val="-2"/>
          <w:u w:val="single"/>
        </w:rPr>
        <w:t xml:space="preserve"> </w:t>
      </w:r>
      <w:r>
        <w:rPr>
          <w:u w:val="single"/>
        </w:rPr>
        <w:t>Yields</w:t>
      </w:r>
      <w:r>
        <w:rPr>
          <w:spacing w:val="-4"/>
          <w:u w:val="single"/>
        </w:rPr>
        <w:t xml:space="preserve"> </w:t>
      </w:r>
      <w:r>
        <w:rPr>
          <w:u w:val="single"/>
        </w:rPr>
        <w:t>vs.</w:t>
      </w:r>
      <w:r>
        <w:rPr>
          <w:spacing w:val="-2"/>
          <w:u w:val="single"/>
        </w:rPr>
        <w:t xml:space="preserve"> </w:t>
      </w:r>
      <w:r>
        <w:rPr>
          <w:u w:val="single"/>
        </w:rPr>
        <w:t>Spreads</w:t>
      </w:r>
      <w:r>
        <w:t xml:space="preserve"> –</w:t>
      </w:r>
      <w:r>
        <w:rPr>
          <w:spacing w:val="-2"/>
        </w:rPr>
        <w:t xml:space="preserve"> </w:t>
      </w:r>
      <w:r>
        <w:t>The</w:t>
      </w:r>
      <w:r>
        <w:rPr>
          <w:spacing w:val="-2"/>
        </w:rPr>
        <w:t xml:space="preserve"> </w:t>
      </w:r>
      <w:r>
        <w:t>Section</w:t>
      </w:r>
      <w:r>
        <w:rPr>
          <w:spacing w:val="-2"/>
        </w:rPr>
        <w:t xml:space="preserve"> </w:t>
      </w:r>
      <w:r>
        <w:t>4a</w:t>
      </w:r>
      <w:r>
        <w:rPr>
          <w:spacing w:val="-2"/>
        </w:rPr>
        <w:t xml:space="preserve"> </w:t>
      </w:r>
      <w:r>
        <w:t>AG</w:t>
      </w:r>
      <w:r>
        <w:rPr>
          <w:spacing w:val="-4"/>
        </w:rPr>
        <w:t xml:space="preserve"> </w:t>
      </w:r>
      <w:r>
        <w:t>53</w:t>
      </w:r>
      <w:r>
        <w:rPr>
          <w:spacing w:val="-5"/>
        </w:rPr>
        <w:t xml:space="preserve"> </w:t>
      </w:r>
      <w:r>
        <w:t>templates</w:t>
      </w:r>
      <w:r>
        <w:rPr>
          <w:spacing w:val="-4"/>
        </w:rPr>
        <w:t xml:space="preserve"> </w:t>
      </w:r>
      <w:r>
        <w:t>must</w:t>
      </w:r>
      <w:r>
        <w:rPr>
          <w:spacing w:val="-1"/>
        </w:rPr>
        <w:t xml:space="preserve"> </w:t>
      </w:r>
      <w:r>
        <w:t>report</w:t>
      </w:r>
      <w:r>
        <w:rPr>
          <w:spacing w:val="-4"/>
        </w:rPr>
        <w:t xml:space="preserve"> </w:t>
      </w:r>
      <w:r>
        <w:t>the</w:t>
      </w:r>
      <w:r>
        <w:rPr>
          <w:spacing w:val="-4"/>
        </w:rPr>
        <w:t xml:space="preserve"> </w:t>
      </w:r>
      <w:r>
        <w:t>full</w:t>
      </w:r>
      <w:r>
        <w:rPr>
          <w:spacing w:val="-1"/>
        </w:rPr>
        <w:t xml:space="preserve"> </w:t>
      </w:r>
      <w:r>
        <w:t>asset</w:t>
      </w:r>
      <w:r>
        <w:rPr>
          <w:spacing w:val="-1"/>
        </w:rPr>
        <w:t xml:space="preserve"> </w:t>
      </w:r>
      <w:r>
        <w:t>yield, rather than only the investment spread over the treasury rate.</w:t>
      </w:r>
      <w:r w:rsidR="00587327">
        <w:t xml:space="preserve">  For </w:t>
      </w:r>
      <w:r w:rsidR="008A2EA1">
        <w:t>equity-like instruments, the total return (including price appreciation and dividend income)</w:t>
      </w:r>
      <w:r w:rsidR="00B938F2">
        <w:t xml:space="preserve"> should be reported rather than only dividend income.</w:t>
      </w:r>
    </w:p>
    <w:p w14:paraId="44B389BD" w14:textId="77777777" w:rsidR="007257FD" w:rsidRPr="005D393F" w:rsidRDefault="007257FD" w:rsidP="005F0FC4">
      <w:pPr>
        <w:pStyle w:val="BodyText"/>
        <w:spacing w:before="11"/>
        <w:jc w:val="both"/>
        <w:rPr>
          <w:szCs w:val="24"/>
        </w:rPr>
      </w:pPr>
    </w:p>
    <w:p w14:paraId="36B7F10D" w14:textId="35D9FD54" w:rsidR="007257FD" w:rsidRDefault="0092629D" w:rsidP="005F0FC4">
      <w:pPr>
        <w:pStyle w:val="ListParagraph"/>
        <w:numPr>
          <w:ilvl w:val="2"/>
          <w:numId w:val="1"/>
        </w:numPr>
        <w:tabs>
          <w:tab w:val="left" w:pos="460"/>
        </w:tabs>
        <w:ind w:right="363" w:firstLine="0"/>
        <w:jc w:val="both"/>
      </w:pPr>
      <w:r w:rsidRPr="00387C7E">
        <w:rPr>
          <w:u w:val="single"/>
        </w:rPr>
        <w:t>Asset Summary Template</w:t>
      </w:r>
      <w:r>
        <w:t xml:space="preserve"> – An asset summary for all portfolios and applicable business in aggregate must</w:t>
      </w:r>
      <w:r>
        <w:rPr>
          <w:spacing w:val="-1"/>
        </w:rPr>
        <w:t xml:space="preserve"> </w:t>
      </w:r>
      <w:r>
        <w:t>be</w:t>
      </w:r>
      <w:r>
        <w:rPr>
          <w:spacing w:val="-4"/>
        </w:rPr>
        <w:t xml:space="preserve"> </w:t>
      </w:r>
      <w:r>
        <w:t>reported.</w:t>
      </w:r>
      <w:r>
        <w:rPr>
          <w:spacing w:val="40"/>
        </w:rPr>
        <w:t xml:space="preserve"> </w:t>
      </w:r>
      <w:r>
        <w:t>In</w:t>
      </w:r>
      <w:r>
        <w:rPr>
          <w:spacing w:val="-2"/>
        </w:rPr>
        <w:t xml:space="preserve"> </w:t>
      </w:r>
      <w:r>
        <w:t>addition,</w:t>
      </w:r>
      <w:r>
        <w:rPr>
          <w:spacing w:val="-2"/>
        </w:rPr>
        <w:t xml:space="preserve"> </w:t>
      </w:r>
      <w:r>
        <w:t>if</w:t>
      </w:r>
      <w:r>
        <w:rPr>
          <w:spacing w:val="-3"/>
        </w:rPr>
        <w:t xml:space="preserve"> </w:t>
      </w:r>
      <w:r>
        <w:t>separate</w:t>
      </w:r>
      <w:r>
        <w:rPr>
          <w:spacing w:val="-4"/>
        </w:rPr>
        <w:t xml:space="preserve"> </w:t>
      </w:r>
      <w:r>
        <w:t>templates</w:t>
      </w:r>
      <w:r>
        <w:rPr>
          <w:spacing w:val="-4"/>
        </w:rPr>
        <w:t xml:space="preserve"> </w:t>
      </w:r>
      <w:r>
        <w:t>for</w:t>
      </w:r>
      <w:r>
        <w:rPr>
          <w:spacing w:val="-2"/>
        </w:rPr>
        <w:t xml:space="preserve"> </w:t>
      </w:r>
      <w:r>
        <w:t>specific</w:t>
      </w:r>
      <w:r>
        <w:rPr>
          <w:spacing w:val="-4"/>
        </w:rPr>
        <w:t xml:space="preserve"> </w:t>
      </w:r>
      <w:r>
        <w:t>lines</w:t>
      </w:r>
      <w:r>
        <w:rPr>
          <w:spacing w:val="-2"/>
        </w:rPr>
        <w:t xml:space="preserve"> </w:t>
      </w:r>
      <w:r>
        <w:t>of</w:t>
      </w:r>
      <w:r>
        <w:rPr>
          <w:spacing w:val="-2"/>
        </w:rPr>
        <w:t xml:space="preserve"> </w:t>
      </w:r>
      <w:r>
        <w:t>business</w:t>
      </w:r>
      <w:r>
        <w:rPr>
          <w:spacing w:val="-1"/>
        </w:rPr>
        <w:t xml:space="preserve"> </w:t>
      </w:r>
      <w:r>
        <w:t>or</w:t>
      </w:r>
      <w:r>
        <w:rPr>
          <w:spacing w:val="-2"/>
        </w:rPr>
        <w:t xml:space="preserve"> </w:t>
      </w:r>
      <w:r>
        <w:t>portfolios</w:t>
      </w:r>
      <w:r>
        <w:rPr>
          <w:spacing w:val="-2"/>
        </w:rPr>
        <w:t xml:space="preserve"> </w:t>
      </w:r>
      <w:r>
        <w:t>are</w:t>
      </w:r>
      <w:r>
        <w:rPr>
          <w:spacing w:val="-4"/>
        </w:rPr>
        <w:t xml:space="preserve"> </w:t>
      </w:r>
      <w:r>
        <w:t xml:space="preserve">submitted for the other tabs, then an asset summary for each of those lines of business or portfolios should also be </w:t>
      </w:r>
      <w:r>
        <w:rPr>
          <w:spacing w:val="-2"/>
        </w:rPr>
        <w:t>submitted.</w:t>
      </w:r>
    </w:p>
    <w:p w14:paraId="49A74DF3" w14:textId="77777777" w:rsidR="007257FD" w:rsidRDefault="007257FD" w:rsidP="005F0FC4">
      <w:pPr>
        <w:pStyle w:val="BodyText"/>
        <w:jc w:val="both"/>
      </w:pPr>
    </w:p>
    <w:p w14:paraId="32662F08" w14:textId="5FCCE624" w:rsidR="007257FD" w:rsidRDefault="0092629D" w:rsidP="005F0FC4">
      <w:pPr>
        <w:pStyle w:val="ListParagraph"/>
        <w:numPr>
          <w:ilvl w:val="2"/>
          <w:numId w:val="1"/>
        </w:numPr>
        <w:tabs>
          <w:tab w:val="left" w:pos="520"/>
        </w:tabs>
        <w:ind w:right="242" w:firstLine="0"/>
        <w:jc w:val="both"/>
      </w:pPr>
      <w:bookmarkStart w:id="7" w:name="_Hlk140128654"/>
      <w:r w:rsidRPr="00387C7E">
        <w:rPr>
          <w:u w:val="single"/>
        </w:rPr>
        <w:t>Asset</w:t>
      </w:r>
      <w:r w:rsidRPr="00387C7E">
        <w:rPr>
          <w:spacing w:val="-4"/>
          <w:u w:val="single"/>
        </w:rPr>
        <w:t xml:space="preserve"> </w:t>
      </w:r>
      <w:r w:rsidRPr="00387C7E">
        <w:rPr>
          <w:u w:val="single"/>
        </w:rPr>
        <w:t>Mapping</w:t>
      </w:r>
      <w:r>
        <w:rPr>
          <w:spacing w:val="-4"/>
        </w:rPr>
        <w:t xml:space="preserve"> </w:t>
      </w:r>
      <w:r>
        <w:t>–</w:t>
      </w:r>
      <w:r>
        <w:rPr>
          <w:spacing w:val="-2"/>
        </w:rPr>
        <w:t xml:space="preserve"> </w:t>
      </w:r>
      <w:r w:rsidR="0008436B">
        <w:t>If an asset cannot be mapped to one of the named asset types, it should be mapped to “Other – Not Covered Above,” and a description should be provided in the related comment box.</w:t>
      </w:r>
    </w:p>
    <w:bookmarkEnd w:id="7"/>
    <w:p w14:paraId="152711E3" w14:textId="77777777" w:rsidR="007257FD" w:rsidRDefault="007257FD" w:rsidP="005F0FC4">
      <w:pPr>
        <w:pStyle w:val="BodyText"/>
        <w:jc w:val="both"/>
      </w:pPr>
    </w:p>
    <w:p w14:paraId="16E5EBFD" w14:textId="78E3F6AB" w:rsidR="007257FD" w:rsidRDefault="0092629D" w:rsidP="005F0FC4">
      <w:pPr>
        <w:pStyle w:val="ListParagraph"/>
        <w:numPr>
          <w:ilvl w:val="2"/>
          <w:numId w:val="1"/>
        </w:numPr>
        <w:tabs>
          <w:tab w:val="left" w:pos="398"/>
        </w:tabs>
        <w:ind w:right="700" w:firstLine="0"/>
        <w:jc w:val="both"/>
      </w:pPr>
      <w:r w:rsidRPr="00387C7E">
        <w:rPr>
          <w:u w:val="single"/>
        </w:rPr>
        <w:t>Net</w:t>
      </w:r>
      <w:r w:rsidRPr="00387C7E">
        <w:rPr>
          <w:spacing w:val="-3"/>
          <w:u w:val="single"/>
        </w:rPr>
        <w:t xml:space="preserve"> </w:t>
      </w:r>
      <w:r w:rsidRPr="00387C7E">
        <w:rPr>
          <w:u w:val="single"/>
        </w:rPr>
        <w:t>Yield</w:t>
      </w:r>
      <w:r w:rsidRPr="00387C7E">
        <w:rPr>
          <w:spacing w:val="-2"/>
          <w:u w:val="single"/>
        </w:rPr>
        <w:t xml:space="preserve"> </w:t>
      </w:r>
      <w:r w:rsidRPr="00387C7E">
        <w:rPr>
          <w:u w:val="single"/>
        </w:rPr>
        <w:t>Components</w:t>
      </w:r>
      <w:r>
        <w:rPr>
          <w:spacing w:val="-3"/>
        </w:rPr>
        <w:t xml:space="preserve"> </w:t>
      </w:r>
      <w:r>
        <w:t>–</w:t>
      </w:r>
      <w:r>
        <w:rPr>
          <w:spacing w:val="-2"/>
        </w:rPr>
        <w:t xml:space="preserve"> </w:t>
      </w:r>
      <w:r>
        <w:t>All</w:t>
      </w:r>
      <w:r>
        <w:rPr>
          <w:spacing w:val="-4"/>
        </w:rPr>
        <w:t xml:space="preserve"> </w:t>
      </w:r>
      <w:r>
        <w:t>margins</w:t>
      </w:r>
      <w:r>
        <w:rPr>
          <w:spacing w:val="-2"/>
        </w:rPr>
        <w:t xml:space="preserve"> </w:t>
      </w:r>
      <w:r>
        <w:t>or</w:t>
      </w:r>
      <w:r>
        <w:rPr>
          <w:spacing w:val="-2"/>
        </w:rPr>
        <w:t xml:space="preserve"> </w:t>
      </w:r>
      <w:r>
        <w:t>P</w:t>
      </w:r>
      <w:r w:rsidR="00D16163">
        <w:t xml:space="preserve">rovisions for </w:t>
      </w:r>
      <w:r>
        <w:t>A</w:t>
      </w:r>
      <w:r w:rsidR="00D16163">
        <w:t xml:space="preserve">dverse </w:t>
      </w:r>
      <w:r>
        <w:t>D</w:t>
      </w:r>
      <w:r w:rsidR="00D16163">
        <w:t>eviation</w:t>
      </w:r>
      <w:r>
        <w:t>s</w:t>
      </w:r>
      <w:r>
        <w:rPr>
          <w:spacing w:val="-2"/>
        </w:rPr>
        <w:t xml:space="preserve"> </w:t>
      </w:r>
      <w:r>
        <w:t>used</w:t>
      </w:r>
      <w:r>
        <w:rPr>
          <w:spacing w:val="-1"/>
        </w:rPr>
        <w:t xml:space="preserve"> </w:t>
      </w:r>
      <w:r>
        <w:t>to</w:t>
      </w:r>
      <w:r>
        <w:rPr>
          <w:spacing w:val="-2"/>
        </w:rPr>
        <w:t xml:space="preserve"> </w:t>
      </w:r>
      <w:r>
        <w:t>arrive</w:t>
      </w:r>
      <w:r>
        <w:rPr>
          <w:spacing w:val="-4"/>
        </w:rPr>
        <w:t xml:space="preserve"> </w:t>
      </w:r>
      <w:r>
        <w:t>at</w:t>
      </w:r>
      <w:r>
        <w:rPr>
          <w:spacing w:val="-3"/>
        </w:rPr>
        <w:t xml:space="preserve"> </w:t>
      </w:r>
      <w:r>
        <w:t>an</w:t>
      </w:r>
      <w:r>
        <w:rPr>
          <w:spacing w:val="-2"/>
        </w:rPr>
        <w:t xml:space="preserve"> </w:t>
      </w:r>
      <w:r>
        <w:t>assumed</w:t>
      </w:r>
      <w:r>
        <w:rPr>
          <w:spacing w:val="-2"/>
        </w:rPr>
        <w:t xml:space="preserve"> </w:t>
      </w:r>
      <w:r>
        <w:t>net</w:t>
      </w:r>
      <w:r>
        <w:rPr>
          <w:spacing w:val="-1"/>
        </w:rPr>
        <w:t xml:space="preserve"> </w:t>
      </w:r>
      <w:r>
        <w:t>asset</w:t>
      </w:r>
      <w:r>
        <w:rPr>
          <w:spacing w:val="-4"/>
        </w:rPr>
        <w:t xml:space="preserve"> </w:t>
      </w:r>
      <w:r>
        <w:t>yield</w:t>
      </w:r>
      <w:r>
        <w:rPr>
          <w:spacing w:val="-5"/>
        </w:rPr>
        <w:t xml:space="preserve"> </w:t>
      </w:r>
      <w:r>
        <w:t>should</w:t>
      </w:r>
      <w:r>
        <w:rPr>
          <w:spacing w:val="-2"/>
        </w:rPr>
        <w:t xml:space="preserve"> </w:t>
      </w:r>
      <w:r>
        <w:t>be</w:t>
      </w:r>
      <w:r w:rsidR="005B79D1">
        <w:t xml:space="preserve"> included in the “Other” column in the Section 4a AG 53 reporting templates.  Margins should also be described in the template footnote.  </w:t>
      </w:r>
    </w:p>
    <w:p w14:paraId="0D9AF712" w14:textId="77777777" w:rsidR="007257FD" w:rsidRPr="005D393F" w:rsidRDefault="007257FD" w:rsidP="005F0FC4">
      <w:pPr>
        <w:pStyle w:val="BodyText"/>
        <w:spacing w:before="10"/>
        <w:jc w:val="both"/>
        <w:rPr>
          <w:szCs w:val="24"/>
        </w:rPr>
      </w:pPr>
    </w:p>
    <w:p w14:paraId="0D051CD2" w14:textId="38A1E591" w:rsidR="007257FD" w:rsidRDefault="0092629D" w:rsidP="005F0FC4">
      <w:pPr>
        <w:pStyle w:val="ListParagraph"/>
        <w:numPr>
          <w:ilvl w:val="2"/>
          <w:numId w:val="1"/>
        </w:numPr>
        <w:tabs>
          <w:tab w:val="left" w:pos="335"/>
        </w:tabs>
        <w:ind w:right="831" w:firstLine="0"/>
        <w:jc w:val="both"/>
      </w:pPr>
      <w:r w:rsidRPr="00387C7E">
        <w:rPr>
          <w:u w:val="single"/>
        </w:rPr>
        <w:t>Template Consistency</w:t>
      </w:r>
      <w:r>
        <w:t xml:space="preserve"> – Data should be reported in a consistent manner across each template</w:t>
      </w:r>
      <w:r w:rsidR="00A46FCD">
        <w:t xml:space="preserve"> </w:t>
      </w:r>
      <w:r>
        <w:t>regarding</w:t>
      </w:r>
      <w:r>
        <w:rPr>
          <w:spacing w:val="-3"/>
        </w:rPr>
        <w:t xml:space="preserve"> </w:t>
      </w:r>
      <w:r>
        <w:t>categorization</w:t>
      </w:r>
      <w:r>
        <w:rPr>
          <w:spacing w:val="-3"/>
        </w:rPr>
        <w:t xml:space="preserve"> </w:t>
      </w:r>
      <w:r>
        <w:t>of</w:t>
      </w:r>
      <w:r>
        <w:rPr>
          <w:spacing w:val="-3"/>
        </w:rPr>
        <w:t xml:space="preserve"> </w:t>
      </w:r>
      <w:r>
        <w:t>asset</w:t>
      </w:r>
      <w:r>
        <w:rPr>
          <w:spacing w:val="-2"/>
        </w:rPr>
        <w:t xml:space="preserve"> </w:t>
      </w:r>
      <w:r>
        <w:t>types.</w:t>
      </w:r>
    </w:p>
    <w:p w14:paraId="182F6F5F" w14:textId="77777777" w:rsidR="007257FD" w:rsidRDefault="007257FD" w:rsidP="005F0FC4">
      <w:pPr>
        <w:pStyle w:val="BodyText"/>
        <w:spacing w:before="1"/>
        <w:jc w:val="both"/>
      </w:pPr>
    </w:p>
    <w:p w14:paraId="6ED04323" w14:textId="352C539B" w:rsidR="007257FD" w:rsidRDefault="0092629D" w:rsidP="005F0FC4">
      <w:pPr>
        <w:pStyle w:val="ListParagraph"/>
        <w:numPr>
          <w:ilvl w:val="2"/>
          <w:numId w:val="1"/>
        </w:numPr>
        <w:tabs>
          <w:tab w:val="left" w:pos="398"/>
        </w:tabs>
        <w:ind w:right="259" w:firstLine="0"/>
        <w:jc w:val="both"/>
      </w:pPr>
      <w:r w:rsidRPr="00387C7E">
        <w:rPr>
          <w:u w:val="single"/>
        </w:rPr>
        <w:t>Investments Expenses (Fees)</w:t>
      </w:r>
      <w:r>
        <w:t xml:space="preserve"> – Regarding AG 53 Section 4.E,</w:t>
      </w:r>
      <w:r>
        <w:rPr>
          <w:spacing w:val="-3"/>
        </w:rPr>
        <w:t xml:space="preserve"> </w:t>
      </w:r>
      <w:r>
        <w:t>commentary</w:t>
      </w:r>
      <w:r>
        <w:rPr>
          <w:spacing w:val="-3"/>
        </w:rPr>
        <w:t xml:space="preserve"> </w:t>
      </w:r>
      <w:r>
        <w:t>should be included</w:t>
      </w:r>
      <w:r>
        <w:rPr>
          <w:spacing w:val="-1"/>
        </w:rPr>
        <w:t xml:space="preserve"> </w:t>
      </w:r>
      <w:r>
        <w:t>in the AG 53</w:t>
      </w:r>
      <w:r>
        <w:rPr>
          <w:spacing w:val="-2"/>
        </w:rPr>
        <w:t xml:space="preserve"> </w:t>
      </w:r>
      <w:r>
        <w:t>Report</w:t>
      </w:r>
      <w:r>
        <w:rPr>
          <w:spacing w:val="-4"/>
        </w:rPr>
        <w:t xml:space="preserve"> </w:t>
      </w:r>
      <w:r>
        <w:t>to</w:t>
      </w:r>
      <w:r>
        <w:rPr>
          <w:spacing w:val="-2"/>
        </w:rPr>
        <w:t xml:space="preserve"> </w:t>
      </w:r>
      <w:r>
        <w:t>explain</w:t>
      </w:r>
      <w:r>
        <w:rPr>
          <w:spacing w:val="-2"/>
        </w:rPr>
        <w:t xml:space="preserve"> </w:t>
      </w:r>
      <w:r>
        <w:t>how</w:t>
      </w:r>
      <w:r>
        <w:rPr>
          <w:spacing w:val="-6"/>
        </w:rPr>
        <w:t xml:space="preserve"> </w:t>
      </w:r>
      <w:r>
        <w:t>the</w:t>
      </w:r>
      <w:r>
        <w:rPr>
          <w:spacing w:val="-2"/>
        </w:rPr>
        <w:t xml:space="preserve"> </w:t>
      </w:r>
      <w:r>
        <w:t>assumed</w:t>
      </w:r>
      <w:r>
        <w:rPr>
          <w:spacing w:val="-2"/>
        </w:rPr>
        <w:t xml:space="preserve"> </w:t>
      </w:r>
      <w:r>
        <w:t>investment</w:t>
      </w:r>
      <w:r>
        <w:rPr>
          <w:spacing w:val="-1"/>
        </w:rPr>
        <w:t xml:space="preserve"> </w:t>
      </w:r>
      <w:r>
        <w:t>expenses</w:t>
      </w:r>
      <w:r>
        <w:rPr>
          <w:spacing w:val="-4"/>
        </w:rPr>
        <w:t xml:space="preserve"> </w:t>
      </w:r>
      <w:r>
        <w:t>are</w:t>
      </w:r>
      <w:r>
        <w:rPr>
          <w:spacing w:val="-2"/>
        </w:rPr>
        <w:t xml:space="preserve"> </w:t>
      </w:r>
      <w:r>
        <w:t>commensurate</w:t>
      </w:r>
      <w:r>
        <w:rPr>
          <w:spacing w:val="-2"/>
        </w:rPr>
        <w:t xml:space="preserve"> </w:t>
      </w:r>
      <w:r>
        <w:t>with</w:t>
      </w:r>
      <w:r>
        <w:rPr>
          <w:spacing w:val="-2"/>
        </w:rPr>
        <w:t xml:space="preserve"> </w:t>
      </w:r>
      <w:r>
        <w:t>the</w:t>
      </w:r>
      <w:r>
        <w:rPr>
          <w:spacing w:val="-2"/>
        </w:rPr>
        <w:t xml:space="preserve"> </w:t>
      </w:r>
      <w:r>
        <w:t>expected</w:t>
      </w:r>
      <w:r>
        <w:rPr>
          <w:spacing w:val="-4"/>
        </w:rPr>
        <w:t xml:space="preserve"> </w:t>
      </w:r>
      <w:r>
        <w:t>expenses</w:t>
      </w:r>
      <w:r>
        <w:rPr>
          <w:spacing w:val="-4"/>
        </w:rPr>
        <w:t xml:space="preserve"> </w:t>
      </w:r>
      <w:r>
        <w:t>in light of the complexity of the assets.</w:t>
      </w:r>
      <w:r w:rsidR="004C41DD">
        <w:t xml:space="preserve">  To clarify, if an asset type is more complex, please describe whether this results in a higher investment expense assumption when compared to a less complex asset type and, if not the case, please provide </w:t>
      </w:r>
      <w:r w:rsidR="001450FD">
        <w:t>rationale</w:t>
      </w:r>
      <w:r w:rsidR="004C41DD">
        <w:t xml:space="preserve">. Note this </w:t>
      </w:r>
      <w:r w:rsidR="001450FD">
        <w:t>disclosure requirement</w:t>
      </w:r>
      <w:r w:rsidR="004C41DD">
        <w:t xml:space="preserve"> does not refer to the allocation process of investment expenses to business lines, but rather how the level of the investment expense assumptions relates to the complexity of the asset</w:t>
      </w:r>
      <w:r w:rsidR="001450FD">
        <w:t>s</w:t>
      </w:r>
      <w:r w:rsidR="004C41DD">
        <w:t>.</w:t>
      </w:r>
    </w:p>
    <w:p w14:paraId="46AC7553" w14:textId="77777777" w:rsidR="007257FD" w:rsidRDefault="007257FD" w:rsidP="005F0FC4">
      <w:pPr>
        <w:pStyle w:val="BodyText"/>
        <w:spacing w:before="1"/>
        <w:jc w:val="both"/>
      </w:pPr>
    </w:p>
    <w:p w14:paraId="611DC24C" w14:textId="425A89A6" w:rsidR="007257FD" w:rsidRDefault="0092629D" w:rsidP="005F0FC4">
      <w:pPr>
        <w:pStyle w:val="ListParagraph"/>
        <w:numPr>
          <w:ilvl w:val="2"/>
          <w:numId w:val="1"/>
        </w:numPr>
        <w:tabs>
          <w:tab w:val="left" w:pos="460"/>
        </w:tabs>
        <w:ind w:right="565" w:firstLine="0"/>
        <w:jc w:val="both"/>
      </w:pPr>
      <w:r w:rsidRPr="00387C7E">
        <w:rPr>
          <w:u w:val="single"/>
        </w:rPr>
        <w:lastRenderedPageBreak/>
        <w:t>Non-Publicly</w:t>
      </w:r>
      <w:r w:rsidRPr="00387C7E">
        <w:rPr>
          <w:spacing w:val="-2"/>
          <w:u w:val="single"/>
        </w:rPr>
        <w:t xml:space="preserve"> </w:t>
      </w:r>
      <w:r w:rsidRPr="00387C7E">
        <w:rPr>
          <w:u w:val="single"/>
        </w:rPr>
        <w:t>Traded</w:t>
      </w:r>
      <w:r w:rsidRPr="00387C7E">
        <w:rPr>
          <w:spacing w:val="-2"/>
          <w:u w:val="single"/>
        </w:rPr>
        <w:t xml:space="preserve"> </w:t>
      </w:r>
      <w:r w:rsidRPr="00387C7E">
        <w:rPr>
          <w:u w:val="single"/>
        </w:rPr>
        <w:t>Assets</w:t>
      </w:r>
      <w:r>
        <w:t xml:space="preserve"> –</w:t>
      </w:r>
      <w:r>
        <w:rPr>
          <w:spacing w:val="-2"/>
        </w:rPr>
        <w:t xml:space="preserve"> </w:t>
      </w:r>
      <w:r>
        <w:t>Regarding</w:t>
      </w:r>
      <w:r>
        <w:rPr>
          <w:spacing w:val="-2"/>
        </w:rPr>
        <w:t xml:space="preserve"> </w:t>
      </w:r>
      <w:r>
        <w:t>AG</w:t>
      </w:r>
      <w:r>
        <w:rPr>
          <w:spacing w:val="-3"/>
        </w:rPr>
        <w:t xml:space="preserve"> </w:t>
      </w:r>
      <w:r>
        <w:t>53</w:t>
      </w:r>
      <w:r>
        <w:rPr>
          <w:spacing w:val="-2"/>
        </w:rPr>
        <w:t xml:space="preserve"> </w:t>
      </w:r>
      <w:r>
        <w:t>Section</w:t>
      </w:r>
      <w:r>
        <w:rPr>
          <w:spacing w:val="-2"/>
        </w:rPr>
        <w:t xml:space="preserve"> </w:t>
      </w:r>
      <w:r>
        <w:t>4.D,</w:t>
      </w:r>
      <w:r>
        <w:rPr>
          <w:spacing w:val="-5"/>
        </w:rPr>
        <w:t xml:space="preserve"> </w:t>
      </w:r>
      <w:r>
        <w:t>the</w:t>
      </w:r>
      <w:r>
        <w:rPr>
          <w:spacing w:val="-4"/>
        </w:rPr>
        <w:t xml:space="preserve"> </w:t>
      </w:r>
      <w:r>
        <w:t>information</w:t>
      </w:r>
      <w:r>
        <w:rPr>
          <w:spacing w:val="-5"/>
        </w:rPr>
        <w:t xml:space="preserve"> </w:t>
      </w:r>
      <w:r>
        <w:t>provided</w:t>
      </w:r>
      <w:r>
        <w:rPr>
          <w:spacing w:val="-4"/>
        </w:rPr>
        <w:t xml:space="preserve"> </w:t>
      </w:r>
      <w:r>
        <w:t>in</w:t>
      </w:r>
      <w:r>
        <w:rPr>
          <w:spacing w:val="-5"/>
        </w:rPr>
        <w:t xml:space="preserve"> </w:t>
      </w:r>
      <w:r>
        <w:t>the</w:t>
      </w:r>
      <w:r>
        <w:rPr>
          <w:spacing w:val="-2"/>
        </w:rPr>
        <w:t xml:space="preserve"> </w:t>
      </w:r>
      <w:r>
        <w:t>AG</w:t>
      </w:r>
      <w:r>
        <w:rPr>
          <w:spacing w:val="-4"/>
        </w:rPr>
        <w:t xml:space="preserve"> </w:t>
      </w:r>
      <w:r>
        <w:t>53 Report should be itemized appropriately for purposes of readability and review.</w:t>
      </w:r>
      <w:r w:rsidR="004C41DD">
        <w:t xml:space="preserve"> More specifically, this refers to describing the step-by-step process to calculate and validate the valuation of non-publicly traded assets in a transparent manner in the AG 53 Report for regulators to review.</w:t>
      </w:r>
    </w:p>
    <w:p w14:paraId="38CE5DEA" w14:textId="77777777" w:rsidR="00591EB2" w:rsidRDefault="00591EB2" w:rsidP="005F0FC4">
      <w:pPr>
        <w:pStyle w:val="ListParagraph"/>
        <w:tabs>
          <w:tab w:val="left" w:pos="460"/>
        </w:tabs>
        <w:ind w:right="565"/>
        <w:jc w:val="both"/>
      </w:pPr>
    </w:p>
    <w:p w14:paraId="265F806B" w14:textId="72DB3523" w:rsidR="00591EB2" w:rsidRDefault="00591EB2" w:rsidP="005F0FC4">
      <w:pPr>
        <w:pStyle w:val="ListParagraph"/>
        <w:numPr>
          <w:ilvl w:val="2"/>
          <w:numId w:val="1"/>
        </w:numPr>
        <w:tabs>
          <w:tab w:val="left" w:pos="540"/>
        </w:tabs>
        <w:ind w:left="115" w:right="562" w:firstLine="0"/>
        <w:jc w:val="both"/>
      </w:pPr>
      <w:r>
        <w:rPr>
          <w:u w:val="single"/>
        </w:rPr>
        <w:t>Surplus Notes, Bond ETFs, and Preferred Stock ETFs</w:t>
      </w:r>
      <w:r>
        <w:t xml:space="preserve"> – For surplus notes, bond ETFs, and </w:t>
      </w:r>
      <w:r w:rsidR="005C3394">
        <w:t>p</w:t>
      </w:r>
      <w:r>
        <w:t xml:space="preserve">referred </w:t>
      </w:r>
      <w:r w:rsidR="005C3394">
        <w:t>s</w:t>
      </w:r>
      <w:r>
        <w:t xml:space="preserve">tock ETFs, companies </w:t>
      </w:r>
      <w:r w:rsidR="005C3394">
        <w:t>should treat</w:t>
      </w:r>
      <w:r>
        <w:t xml:space="preserve"> these as non-equity-like instruments and report</w:t>
      </w:r>
      <w:r w:rsidR="005C3394">
        <w:t xml:space="preserve"> these items</w:t>
      </w:r>
      <w:r>
        <w:t xml:space="preserve"> separately in the “Other – Not Covered Above” row</w:t>
      </w:r>
      <w:r w:rsidR="005C3394">
        <w:t xml:space="preserve"> (with an associated description in the textbox at the bottom of the “Asset Summary” tab)</w:t>
      </w:r>
      <w:r>
        <w:t xml:space="preserve">. </w:t>
      </w:r>
      <w:r w:rsidR="00972780">
        <w:t xml:space="preserve">For sensitivity testing, apply all surplus notes (whether initial assets or reinvestments) to the requirements in </w:t>
      </w:r>
      <w:r w:rsidR="00BE5363">
        <w:t xml:space="preserve">Section 5.A.i.(a) </w:t>
      </w:r>
      <w:r w:rsidR="00A76D3C">
        <w:t>consistent with</w:t>
      </w:r>
      <w:r w:rsidR="00972780">
        <w:t xml:space="preserve"> </w:t>
      </w:r>
      <w:r w:rsidR="00A76D3C">
        <w:t>“</w:t>
      </w:r>
      <w:r w:rsidR="00972780">
        <w:t>assets other than equity-like instruments</w:t>
      </w:r>
      <w:r w:rsidR="00A76D3C">
        <w:t>”</w:t>
      </w:r>
      <w:r w:rsidR="00972780">
        <w:t xml:space="preserve">. </w:t>
      </w:r>
      <w:r>
        <w:t xml:space="preserve">However, if there is an immaterial amount of </w:t>
      </w:r>
      <w:r w:rsidR="00972780">
        <w:t xml:space="preserve">surplus notes, bond ETFs, or preferred stock ETFs </w:t>
      </w:r>
      <w:r>
        <w:t>held, then the</w:t>
      </w:r>
      <w:r w:rsidR="001450FD">
        <w:t>se assets</w:t>
      </w:r>
      <w:r>
        <w:t xml:space="preserve"> may be grouped in the asset type row </w:t>
      </w:r>
      <w:r w:rsidR="00972780">
        <w:t>most closely associated with such asset</w:t>
      </w:r>
      <w:r w:rsidR="00A76D3C">
        <w:t>s</w:t>
      </w:r>
      <w:r w:rsidR="00972780">
        <w:t xml:space="preserve"> and follow the accompanying AG 53 requirements for that asset type.</w:t>
      </w:r>
    </w:p>
    <w:p w14:paraId="267348CE" w14:textId="77777777" w:rsidR="002448CB" w:rsidRDefault="002448CB" w:rsidP="005F0FC4">
      <w:pPr>
        <w:pStyle w:val="ListParagraph"/>
        <w:jc w:val="both"/>
      </w:pPr>
    </w:p>
    <w:p w14:paraId="1A6B6E4D" w14:textId="52284F0F" w:rsidR="002448CB" w:rsidRDefault="002448CB" w:rsidP="005F0FC4">
      <w:pPr>
        <w:pStyle w:val="ListParagraph"/>
        <w:numPr>
          <w:ilvl w:val="2"/>
          <w:numId w:val="1"/>
        </w:numPr>
        <w:tabs>
          <w:tab w:val="left" w:pos="540"/>
        </w:tabs>
        <w:ind w:left="115" w:right="562" w:firstLine="0"/>
        <w:jc w:val="both"/>
      </w:pPr>
      <w:r w:rsidRPr="009242DA">
        <w:rPr>
          <w:u w:val="single"/>
        </w:rPr>
        <w:t>Attribution Analysis</w:t>
      </w:r>
      <w:r>
        <w:t xml:space="preserve"> – The intent behind the attribution analysis is to provide companies an opportunity to explain the source that</w:t>
      </w:r>
      <w:r w:rsidR="000F6D7F">
        <w:t xml:space="preserve"> they believe</w:t>
      </w:r>
      <w:r>
        <w:t xml:space="preserve"> drives any excess spreads beyond the benchmark. </w:t>
      </w:r>
      <w:r w:rsidR="000F6D7F">
        <w:t>Especially to the extent assumed excess spreads are higher, c</w:t>
      </w:r>
      <w:r>
        <w:t xml:space="preserve">ompanies are expected to </w:t>
      </w:r>
      <w:r w:rsidR="000F6D7F">
        <w:t>reflect considerable thought in the attribution regarding the</w:t>
      </w:r>
      <w:r>
        <w:t xml:space="preserve"> range of risks. If </w:t>
      </w:r>
      <w:r w:rsidR="000F6D7F">
        <w:t>it appears not a lot of thought is reflect</w:t>
      </w:r>
      <w:r w:rsidR="005F0FC4">
        <w:t>ed</w:t>
      </w:r>
      <w:r w:rsidR="000F6D7F">
        <w:t xml:space="preserve"> in the attribution analysis</w:t>
      </w:r>
      <w:r w:rsidR="008F191B">
        <w:t xml:space="preserve">, regulators may assume the company and/or actuary does not understand why they are assuming investment returns </w:t>
      </w:r>
      <w:r w:rsidR="000F6D7F">
        <w:t xml:space="preserve">significantly </w:t>
      </w:r>
      <w:r w:rsidR="008F191B">
        <w:t>in excess of the benchmark.</w:t>
      </w:r>
    </w:p>
    <w:p w14:paraId="0E54DDA5" w14:textId="77777777" w:rsidR="00C17988" w:rsidRDefault="00C17988" w:rsidP="005F0FC4">
      <w:pPr>
        <w:pStyle w:val="ListParagraph"/>
        <w:jc w:val="both"/>
      </w:pPr>
    </w:p>
    <w:p w14:paraId="1E0FEB90" w14:textId="77777777" w:rsidR="007257FD" w:rsidRDefault="007257FD" w:rsidP="005F0FC4">
      <w:pPr>
        <w:jc w:val="both"/>
      </w:pPr>
    </w:p>
    <w:p w14:paraId="06B078FE" w14:textId="77777777" w:rsidR="007257FD" w:rsidRDefault="007257FD" w:rsidP="005F0FC4">
      <w:pPr>
        <w:pStyle w:val="BodyText"/>
        <w:jc w:val="both"/>
        <w:rPr>
          <w:sz w:val="20"/>
        </w:rPr>
      </w:pPr>
    </w:p>
    <w:p w14:paraId="3B1E4B0A" w14:textId="77777777" w:rsidR="007257FD" w:rsidRDefault="007257FD" w:rsidP="005F0FC4">
      <w:pPr>
        <w:pStyle w:val="BodyText"/>
        <w:spacing w:before="3"/>
        <w:jc w:val="both"/>
      </w:pPr>
    </w:p>
    <w:p w14:paraId="1431A344" w14:textId="0242F5E9" w:rsidR="007257FD" w:rsidRDefault="00E92BE7" w:rsidP="005F0FC4">
      <w:pPr>
        <w:pStyle w:val="BodyText"/>
        <w:spacing w:line="20" w:lineRule="exact"/>
        <w:ind w:left="114"/>
        <w:jc w:val="both"/>
        <w:rPr>
          <w:sz w:val="2"/>
        </w:rPr>
      </w:pPr>
      <w:r>
        <w:rPr>
          <w:noProof/>
          <w:sz w:val="2"/>
        </w:rPr>
        <mc:AlternateContent>
          <mc:Choice Requires="wpg">
            <w:drawing>
              <wp:inline distT="0" distB="0" distL="0" distR="0" wp14:anchorId="75392921" wp14:editId="673F4B91">
                <wp:extent cx="1829435" cy="9525"/>
                <wp:effectExtent l="2540" t="0" r="0" b="1905"/>
                <wp:docPr id="6"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8" name="docshape68"/>
                        <wps:cNvSpPr>
                          <a:spLocks noChangeArrowheads="1"/>
                        </wps:cNvSpPr>
                        <wps:spPr bwMode="auto">
                          <a:xfrm>
                            <a:off x="0" y="0"/>
                            <a:ext cx="28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1AC3B8" id="docshapegroup67"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KwyNdtDAgAAAwUAAA4A&#10;AAAAAAAAAAAAAAAALgIAAGRycy9lMm9Eb2MueG1sUEsBAi0AFAAGAAgAAAAhADnvHgvaAAAAAwEA&#10;AA8AAAAAAAAAAAAAAAAAnQQAAGRycy9kb3ducmV2LnhtbFBLBQYAAAAABAAEAPMAAACkBQAAAAA=&#10;">
                <v:rect id="docshape68" o:spid="_x0000_s1027" style="position:absolute;width:28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4F511901" w14:textId="77777777" w:rsidR="007257FD" w:rsidRDefault="0092629D" w:rsidP="005F0FC4">
      <w:pPr>
        <w:spacing w:before="97"/>
        <w:ind w:left="114" w:right="132"/>
        <w:jc w:val="both"/>
        <w:rPr>
          <w:sz w:val="16"/>
        </w:rPr>
      </w:pPr>
      <w:r>
        <w:rPr>
          <w:sz w:val="16"/>
          <w:vertAlign w:val="superscript"/>
        </w:rPr>
        <w:t>i</w:t>
      </w:r>
      <w:r>
        <w:rPr>
          <w:sz w:val="16"/>
        </w:rPr>
        <w:t xml:space="preserve"> AG 53 provides uniform guidance for the asset adequacy testing, and is effective for reserves reported with respect to the Dec. 31,</w:t>
      </w:r>
      <w:r>
        <w:rPr>
          <w:spacing w:val="13"/>
          <w:sz w:val="16"/>
        </w:rPr>
        <w:t xml:space="preserve"> </w:t>
      </w:r>
      <w:r>
        <w:rPr>
          <w:sz w:val="16"/>
        </w:rPr>
        <w:t>2022, and</w:t>
      </w:r>
      <w:r>
        <w:rPr>
          <w:spacing w:val="40"/>
          <w:sz w:val="16"/>
        </w:rPr>
        <w:t xml:space="preserve"> </w:t>
      </w:r>
      <w:r>
        <w:rPr>
          <w:sz w:val="16"/>
        </w:rPr>
        <w:t>subsequent annual statutory financial statements. A statement of actuarial opinion on the adequacy of the reserves and assets supporting reserves after</w:t>
      </w:r>
      <w:r>
        <w:rPr>
          <w:spacing w:val="40"/>
          <w:sz w:val="16"/>
        </w:rPr>
        <w:t xml:space="preserve"> </w:t>
      </w:r>
      <w:r>
        <w:rPr>
          <w:sz w:val="16"/>
        </w:rPr>
        <w:t>the operative date of the Valuation Manual is required under Section 3B of the NAIC Standard Valuation Law (#820) and VM-30 of the Valuation</w:t>
      </w:r>
      <w:r>
        <w:rPr>
          <w:spacing w:val="40"/>
          <w:sz w:val="16"/>
        </w:rPr>
        <w:t xml:space="preserve"> </w:t>
      </w:r>
      <w:r>
        <w:rPr>
          <w:sz w:val="16"/>
        </w:rPr>
        <w:t>Manual. Section 14A of Model #820 provides that actuarial opinions and related documents, including an asset adequacy analysis, are confidential</w:t>
      </w:r>
      <w:r>
        <w:rPr>
          <w:spacing w:val="40"/>
          <w:sz w:val="16"/>
        </w:rPr>
        <w:t xml:space="preserve"> </w:t>
      </w:r>
      <w:r>
        <w:rPr>
          <w:sz w:val="16"/>
        </w:rPr>
        <w:t>information,</w:t>
      </w:r>
      <w:r>
        <w:rPr>
          <w:spacing w:val="-1"/>
          <w:sz w:val="16"/>
        </w:rPr>
        <w:t xml:space="preserve"> </w:t>
      </w:r>
      <w:r>
        <w:rPr>
          <w:sz w:val="16"/>
        </w:rPr>
        <w:t>while</w:t>
      </w:r>
      <w:r>
        <w:rPr>
          <w:spacing w:val="-1"/>
          <w:sz w:val="16"/>
        </w:rPr>
        <w:t xml:space="preserve"> </w:t>
      </w:r>
      <w:r>
        <w:rPr>
          <w:sz w:val="16"/>
        </w:rPr>
        <w:t>Section</w:t>
      </w:r>
      <w:r>
        <w:rPr>
          <w:spacing w:val="-3"/>
          <w:sz w:val="16"/>
        </w:rPr>
        <w:t xml:space="preserve"> </w:t>
      </w:r>
      <w:r>
        <w:rPr>
          <w:sz w:val="16"/>
        </w:rPr>
        <w:t>14B</w:t>
      </w:r>
      <w:r>
        <w:rPr>
          <w:spacing w:val="-3"/>
          <w:sz w:val="16"/>
        </w:rPr>
        <w:t xml:space="preserve"> </w:t>
      </w:r>
      <w:r>
        <w:rPr>
          <w:sz w:val="16"/>
        </w:rPr>
        <w:t>provides</w:t>
      </w:r>
      <w:r>
        <w:rPr>
          <w:spacing w:val="-4"/>
          <w:sz w:val="16"/>
        </w:rPr>
        <w:t xml:space="preserve"> </w:t>
      </w:r>
      <w:r>
        <w:rPr>
          <w:sz w:val="16"/>
        </w:rPr>
        <w:t>that</w:t>
      </w:r>
      <w:r>
        <w:rPr>
          <w:spacing w:val="-3"/>
          <w:sz w:val="16"/>
        </w:rPr>
        <w:t xml:space="preserve"> </w:t>
      </w:r>
      <w:r>
        <w:rPr>
          <w:sz w:val="16"/>
        </w:rPr>
        <w:t>such</w:t>
      </w:r>
      <w:r>
        <w:rPr>
          <w:spacing w:val="-1"/>
          <w:sz w:val="16"/>
        </w:rPr>
        <w:t xml:space="preserve"> </w:t>
      </w:r>
      <w:r>
        <w:rPr>
          <w:sz w:val="16"/>
        </w:rPr>
        <w:t>confidential</w:t>
      </w:r>
      <w:r>
        <w:rPr>
          <w:spacing w:val="-1"/>
          <w:sz w:val="16"/>
        </w:rPr>
        <w:t xml:space="preserve"> </w:t>
      </w:r>
      <w:r>
        <w:rPr>
          <w:sz w:val="16"/>
        </w:rPr>
        <w:t>information</w:t>
      </w:r>
      <w:r>
        <w:rPr>
          <w:spacing w:val="-3"/>
          <w:sz w:val="16"/>
        </w:rPr>
        <w:t xml:space="preserve"> </w:t>
      </w:r>
      <w:r>
        <w:rPr>
          <w:sz w:val="16"/>
        </w:rPr>
        <w:t>may</w:t>
      </w:r>
      <w:r>
        <w:rPr>
          <w:spacing w:val="-3"/>
          <w:sz w:val="16"/>
        </w:rPr>
        <w:t xml:space="preserve"> </w:t>
      </w:r>
      <w:r>
        <w:rPr>
          <w:sz w:val="16"/>
        </w:rPr>
        <w:t>be</w:t>
      </w:r>
      <w:r>
        <w:rPr>
          <w:spacing w:val="-1"/>
          <w:sz w:val="16"/>
        </w:rPr>
        <w:t xml:space="preserve"> </w:t>
      </w:r>
      <w:r>
        <w:rPr>
          <w:sz w:val="16"/>
        </w:rPr>
        <w:t>shared</w:t>
      </w:r>
      <w:r>
        <w:rPr>
          <w:spacing w:val="-3"/>
          <w:sz w:val="16"/>
        </w:rPr>
        <w:t xml:space="preserve"> </w:t>
      </w:r>
      <w:r>
        <w:rPr>
          <w:sz w:val="16"/>
        </w:rPr>
        <w:t>with</w:t>
      </w:r>
      <w:r>
        <w:rPr>
          <w:spacing w:val="-3"/>
          <w:sz w:val="16"/>
        </w:rPr>
        <w:t xml:space="preserve"> </w:t>
      </w:r>
      <w:r>
        <w:rPr>
          <w:sz w:val="16"/>
        </w:rPr>
        <w:t>other</w:t>
      </w:r>
      <w:r>
        <w:rPr>
          <w:spacing w:val="-3"/>
          <w:sz w:val="16"/>
        </w:rPr>
        <w:t xml:space="preserve"> </w:t>
      </w:r>
      <w:r>
        <w:rPr>
          <w:sz w:val="16"/>
        </w:rPr>
        <w:t>state</w:t>
      </w:r>
      <w:r>
        <w:rPr>
          <w:spacing w:val="-1"/>
          <w:sz w:val="16"/>
        </w:rPr>
        <w:t xml:space="preserve"> </w:t>
      </w:r>
      <w:r>
        <w:rPr>
          <w:sz w:val="16"/>
        </w:rPr>
        <w:t>regulatory</w:t>
      </w:r>
      <w:r>
        <w:rPr>
          <w:spacing w:val="-1"/>
          <w:sz w:val="16"/>
        </w:rPr>
        <w:t xml:space="preserve"> </w:t>
      </w:r>
      <w:r>
        <w:rPr>
          <w:sz w:val="16"/>
        </w:rPr>
        <w:t>agencies and</w:t>
      </w:r>
      <w:r>
        <w:rPr>
          <w:spacing w:val="-3"/>
          <w:sz w:val="16"/>
        </w:rPr>
        <w:t xml:space="preserve"> </w:t>
      </w:r>
      <w:r>
        <w:rPr>
          <w:sz w:val="16"/>
        </w:rPr>
        <w:t>the</w:t>
      </w:r>
      <w:r>
        <w:rPr>
          <w:spacing w:val="-4"/>
          <w:sz w:val="16"/>
        </w:rPr>
        <w:t xml:space="preserve"> </w:t>
      </w:r>
      <w:r>
        <w:rPr>
          <w:sz w:val="16"/>
        </w:rPr>
        <w:t>NAIC.</w:t>
      </w:r>
      <w:r>
        <w:rPr>
          <w:spacing w:val="-1"/>
          <w:sz w:val="16"/>
        </w:rPr>
        <w:t xml:space="preserve"> </w:t>
      </w:r>
      <w:r>
        <w:rPr>
          <w:sz w:val="16"/>
        </w:rPr>
        <w:t>The</w:t>
      </w:r>
      <w:r>
        <w:rPr>
          <w:spacing w:val="-1"/>
          <w:sz w:val="16"/>
        </w:rPr>
        <w:t xml:space="preserve"> </w:t>
      </w:r>
      <w:r>
        <w:rPr>
          <w:sz w:val="16"/>
        </w:rPr>
        <w:t>asset</w:t>
      </w:r>
      <w:r>
        <w:rPr>
          <w:spacing w:val="40"/>
          <w:sz w:val="16"/>
        </w:rPr>
        <w:t xml:space="preserve"> </w:t>
      </w:r>
      <w:r>
        <w:rPr>
          <w:sz w:val="16"/>
        </w:rPr>
        <w:t>adequacy analyses required under AG 53 reviewed in the preparation of this report were shared with the Valuation Analysis (E) Working Group and</w:t>
      </w:r>
      <w:r>
        <w:rPr>
          <w:spacing w:val="40"/>
          <w:sz w:val="16"/>
        </w:rPr>
        <w:t xml:space="preserve"> </w:t>
      </w:r>
      <w:r>
        <w:rPr>
          <w:sz w:val="16"/>
        </w:rPr>
        <w:t>the NAIC in accordance with these requirements, and continue to remain confidential in nature.</w:t>
      </w:r>
    </w:p>
    <w:sectPr w:rsidR="007257FD">
      <w:pgSz w:w="12240" w:h="15840"/>
      <w:pgMar w:top="1160" w:right="1040" w:bottom="1200" w:left="1240" w:header="776"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1C51" w14:textId="77777777" w:rsidR="00016FFD" w:rsidRDefault="00016FFD">
      <w:r>
        <w:separator/>
      </w:r>
    </w:p>
  </w:endnote>
  <w:endnote w:type="continuationSeparator" w:id="0">
    <w:p w14:paraId="0FD01A30" w14:textId="77777777" w:rsidR="00016FFD" w:rsidRDefault="0001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AEF0" w14:textId="0DDE079A" w:rsidR="007257FD" w:rsidRDefault="00E92BE7">
    <w:pPr>
      <w:pStyle w:val="BodyText"/>
      <w:spacing w:line="14" w:lineRule="auto"/>
      <w:rPr>
        <w:sz w:val="20"/>
      </w:rPr>
    </w:pPr>
    <w:r>
      <w:rPr>
        <w:noProof/>
      </w:rPr>
      <mc:AlternateContent>
        <mc:Choice Requires="wps">
          <w:drawing>
            <wp:anchor distT="0" distB="0" distL="114300" distR="114300" simplePos="0" relativeHeight="487416832" behindDoc="1" locked="0" layoutInCell="1" allowOverlap="1" wp14:anchorId="45C61F94" wp14:editId="641B7ED8">
              <wp:simplePos x="0" y="0"/>
              <wp:positionH relativeFrom="page">
                <wp:posOffset>3873500</wp:posOffset>
              </wp:positionH>
              <wp:positionV relativeFrom="page">
                <wp:posOffset>9276080</wp:posOffset>
              </wp:positionV>
              <wp:extent cx="160020" cy="165735"/>
              <wp:effectExtent l="0" t="0" r="0" b="0"/>
              <wp:wrapNone/>
              <wp:docPr id="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CBA0" w14:textId="77777777" w:rsidR="007257FD" w:rsidRDefault="0092629D">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61F94" id="_x0000_t202" coordsize="21600,21600" o:spt="202" path="m,l,21600r21600,l21600,xe">
              <v:stroke joinstyle="miter"/>
              <v:path gradientshapeok="t" o:connecttype="rect"/>
            </v:shapetype>
            <v:shape id="docshape66" o:spid="_x0000_s1027" type="#_x0000_t202" style="position:absolute;margin-left:305pt;margin-top:730.4pt;width:12.6pt;height:13.0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" filled="f" stroked="f">
              <v:textbox inset="0,0,0,0">
                <w:txbxContent>
                  <w:p w14:paraId="1801CBA0" w14:textId="77777777" w:rsidR="007257FD" w:rsidRDefault="0092629D">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B542" w14:textId="77777777" w:rsidR="00016FFD" w:rsidRDefault="00016FFD">
      <w:r>
        <w:separator/>
      </w:r>
    </w:p>
  </w:footnote>
  <w:footnote w:type="continuationSeparator" w:id="0">
    <w:p w14:paraId="116DFC1C" w14:textId="77777777" w:rsidR="00016FFD" w:rsidRDefault="0001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CE3B" w14:textId="4EF18B75" w:rsidR="007257FD" w:rsidRDefault="007257F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D5"/>
    <w:multiLevelType w:val="hybridMultilevel"/>
    <w:tmpl w:val="FF76FEC6"/>
    <w:lvl w:ilvl="0" w:tplc="BF0CD8EC">
      <w:start w:val="1"/>
      <w:numFmt w:val="decimal"/>
      <w:lvlText w:val="%1."/>
      <w:lvlJc w:val="left"/>
      <w:pPr>
        <w:ind w:left="1537" w:hanging="720"/>
      </w:pPr>
      <w:rPr>
        <w:rFonts w:ascii="Calibri" w:eastAsia="Calibri" w:hAnsi="Calibri" w:cs="Calibri" w:hint="default"/>
        <w:b w:val="0"/>
        <w:bCs w:val="0"/>
        <w:i w:val="0"/>
        <w:iCs w:val="0"/>
        <w:w w:val="110"/>
        <w:sz w:val="40"/>
        <w:szCs w:val="40"/>
        <w:lang w:val="en-US" w:eastAsia="en-US" w:bidi="ar-SA"/>
      </w:rPr>
    </w:lvl>
    <w:lvl w:ilvl="1" w:tplc="80EC601A">
      <w:start w:val="1"/>
      <w:numFmt w:val="decimal"/>
      <w:lvlText w:val="%2."/>
      <w:lvlJc w:val="left"/>
      <w:pPr>
        <w:ind w:left="1657" w:hanging="720"/>
      </w:pPr>
      <w:rPr>
        <w:rFonts w:ascii="Calibri" w:eastAsia="Calibri" w:hAnsi="Calibri" w:cs="Calibri" w:hint="default"/>
        <w:b w:val="0"/>
        <w:bCs w:val="0"/>
        <w:i w:val="0"/>
        <w:iCs w:val="0"/>
        <w:w w:val="110"/>
        <w:sz w:val="40"/>
        <w:szCs w:val="40"/>
        <w:lang w:val="en-US" w:eastAsia="en-US" w:bidi="ar-SA"/>
      </w:rPr>
    </w:lvl>
    <w:lvl w:ilvl="2" w:tplc="24483CEE">
      <w:numFmt w:val="bullet"/>
      <w:lvlText w:val="•"/>
      <w:lvlJc w:val="left"/>
      <w:pPr>
        <w:ind w:left="1477" w:hanging="540"/>
      </w:pPr>
      <w:rPr>
        <w:rFonts w:ascii="Arial" w:eastAsia="Arial" w:hAnsi="Arial" w:cs="Arial" w:hint="default"/>
        <w:b w:val="0"/>
        <w:bCs w:val="0"/>
        <w:i w:val="0"/>
        <w:iCs w:val="0"/>
        <w:w w:val="100"/>
        <w:sz w:val="40"/>
        <w:szCs w:val="40"/>
        <w:lang w:val="en-US" w:eastAsia="en-US" w:bidi="ar-SA"/>
      </w:rPr>
    </w:lvl>
    <w:lvl w:ilvl="3" w:tplc="F7FE5866">
      <w:numFmt w:val="bullet"/>
      <w:lvlText w:val="•"/>
      <w:lvlJc w:val="left"/>
      <w:pPr>
        <w:ind w:left="2197" w:hanging="540"/>
      </w:pPr>
      <w:rPr>
        <w:rFonts w:ascii="Arial" w:eastAsia="Arial" w:hAnsi="Arial" w:cs="Arial" w:hint="default"/>
        <w:b w:val="0"/>
        <w:bCs w:val="0"/>
        <w:i w:val="0"/>
        <w:iCs w:val="0"/>
        <w:w w:val="100"/>
        <w:sz w:val="40"/>
        <w:szCs w:val="40"/>
        <w:lang w:val="en-US" w:eastAsia="en-US" w:bidi="ar-SA"/>
      </w:rPr>
    </w:lvl>
    <w:lvl w:ilvl="4" w:tplc="A0FECAE0">
      <w:numFmt w:val="bullet"/>
      <w:lvlText w:val="•"/>
      <w:lvlJc w:val="left"/>
      <w:pPr>
        <w:ind w:left="2916" w:hanging="540"/>
      </w:pPr>
      <w:rPr>
        <w:rFonts w:ascii="Arial" w:eastAsia="Arial" w:hAnsi="Arial" w:cs="Arial" w:hint="default"/>
        <w:b w:val="0"/>
        <w:bCs w:val="0"/>
        <w:i w:val="0"/>
        <w:iCs w:val="0"/>
        <w:w w:val="100"/>
        <w:sz w:val="40"/>
        <w:szCs w:val="40"/>
        <w:lang w:val="en-US" w:eastAsia="en-US" w:bidi="ar-SA"/>
      </w:rPr>
    </w:lvl>
    <w:lvl w:ilvl="5" w:tplc="A7D4018A">
      <w:numFmt w:val="bullet"/>
      <w:lvlText w:val="•"/>
      <w:lvlJc w:val="left"/>
      <w:pPr>
        <w:ind w:left="5633" w:hanging="540"/>
      </w:pPr>
      <w:rPr>
        <w:rFonts w:hint="default"/>
        <w:lang w:val="en-US" w:eastAsia="en-US" w:bidi="ar-SA"/>
      </w:rPr>
    </w:lvl>
    <w:lvl w:ilvl="6" w:tplc="7D605196">
      <w:numFmt w:val="bullet"/>
      <w:lvlText w:val="•"/>
      <w:lvlJc w:val="left"/>
      <w:pPr>
        <w:ind w:left="8346" w:hanging="540"/>
      </w:pPr>
      <w:rPr>
        <w:rFonts w:hint="default"/>
        <w:lang w:val="en-US" w:eastAsia="en-US" w:bidi="ar-SA"/>
      </w:rPr>
    </w:lvl>
    <w:lvl w:ilvl="7" w:tplc="4C640EB0">
      <w:numFmt w:val="bullet"/>
      <w:lvlText w:val="•"/>
      <w:lvlJc w:val="left"/>
      <w:pPr>
        <w:ind w:left="11060" w:hanging="540"/>
      </w:pPr>
      <w:rPr>
        <w:rFonts w:hint="default"/>
        <w:lang w:val="en-US" w:eastAsia="en-US" w:bidi="ar-SA"/>
      </w:rPr>
    </w:lvl>
    <w:lvl w:ilvl="8" w:tplc="D88E6C96">
      <w:numFmt w:val="bullet"/>
      <w:lvlText w:val="•"/>
      <w:lvlJc w:val="left"/>
      <w:pPr>
        <w:ind w:left="13773" w:hanging="540"/>
      </w:pPr>
      <w:rPr>
        <w:rFonts w:hint="default"/>
        <w:lang w:val="en-US" w:eastAsia="en-US" w:bidi="ar-SA"/>
      </w:rPr>
    </w:lvl>
  </w:abstractNum>
  <w:abstractNum w:abstractNumId="1" w15:restartNumberingAfterBreak="0">
    <w:nsid w:val="21852C88"/>
    <w:multiLevelType w:val="hybridMultilevel"/>
    <w:tmpl w:val="3F16A89A"/>
    <w:lvl w:ilvl="0" w:tplc="BE36CEC6">
      <w:start w:val="1"/>
      <w:numFmt w:val="upperRoman"/>
      <w:lvlText w:val="%1."/>
      <w:lvlJc w:val="left"/>
      <w:pPr>
        <w:ind w:left="366" w:hanging="252"/>
      </w:pPr>
      <w:rPr>
        <w:rFonts w:ascii="Times New Roman" w:eastAsia="Times New Roman" w:hAnsi="Times New Roman" w:cs="Times New Roman" w:hint="default"/>
        <w:b/>
        <w:bCs/>
        <w:i w:val="0"/>
        <w:iCs w:val="0"/>
        <w:w w:val="100"/>
        <w:sz w:val="22"/>
        <w:szCs w:val="22"/>
        <w:lang w:val="en-US" w:eastAsia="en-US" w:bidi="ar-SA"/>
      </w:rPr>
    </w:lvl>
    <w:lvl w:ilvl="1" w:tplc="F68286A0">
      <w:start w:val="1"/>
      <w:numFmt w:val="lowerLetter"/>
      <w:lvlText w:val="%2."/>
      <w:lvlJc w:val="left"/>
      <w:pPr>
        <w:ind w:left="114" w:hanging="240"/>
      </w:pPr>
      <w:rPr>
        <w:rFonts w:ascii="Times New Roman" w:eastAsia="Times New Roman" w:hAnsi="Times New Roman" w:cs="Times New Roman" w:hint="default"/>
        <w:b w:val="0"/>
        <w:bCs w:val="0"/>
        <w:i w:val="0"/>
        <w:iCs w:val="0"/>
        <w:w w:val="100"/>
        <w:sz w:val="22"/>
        <w:szCs w:val="22"/>
        <w:lang w:val="en-US" w:eastAsia="en-US" w:bidi="ar-SA"/>
      </w:rPr>
    </w:lvl>
    <w:lvl w:ilvl="2" w:tplc="3FA04ABC">
      <w:start w:val="1"/>
      <w:numFmt w:val="lowerRoman"/>
      <w:lvlText w:val="%3."/>
      <w:lvlJc w:val="left"/>
      <w:pPr>
        <w:ind w:left="114" w:hanging="173"/>
      </w:pPr>
      <w:rPr>
        <w:rFonts w:ascii="Times New Roman" w:eastAsia="Times New Roman" w:hAnsi="Times New Roman" w:cs="Times New Roman" w:hint="default"/>
        <w:b w:val="0"/>
        <w:bCs w:val="0"/>
        <w:i w:val="0"/>
        <w:iCs w:val="0"/>
        <w:w w:val="100"/>
        <w:sz w:val="22"/>
        <w:szCs w:val="22"/>
        <w:lang w:val="en-US" w:eastAsia="en-US" w:bidi="ar-SA"/>
      </w:rPr>
    </w:lvl>
    <w:lvl w:ilvl="3" w:tplc="9B20912C">
      <w:numFmt w:val="bullet"/>
      <w:lvlText w:val="•"/>
      <w:lvlJc w:val="left"/>
      <w:pPr>
        <w:ind w:left="2493" w:hanging="173"/>
      </w:pPr>
      <w:rPr>
        <w:rFonts w:hint="default"/>
        <w:lang w:val="en-US" w:eastAsia="en-US" w:bidi="ar-SA"/>
      </w:rPr>
    </w:lvl>
    <w:lvl w:ilvl="4" w:tplc="E5A475D6">
      <w:numFmt w:val="bullet"/>
      <w:lvlText w:val="•"/>
      <w:lvlJc w:val="left"/>
      <w:pPr>
        <w:ind w:left="3560" w:hanging="173"/>
      </w:pPr>
      <w:rPr>
        <w:rFonts w:hint="default"/>
        <w:lang w:val="en-US" w:eastAsia="en-US" w:bidi="ar-SA"/>
      </w:rPr>
    </w:lvl>
    <w:lvl w:ilvl="5" w:tplc="28245D04">
      <w:numFmt w:val="bullet"/>
      <w:lvlText w:val="•"/>
      <w:lvlJc w:val="left"/>
      <w:pPr>
        <w:ind w:left="4626" w:hanging="173"/>
      </w:pPr>
      <w:rPr>
        <w:rFonts w:hint="default"/>
        <w:lang w:val="en-US" w:eastAsia="en-US" w:bidi="ar-SA"/>
      </w:rPr>
    </w:lvl>
    <w:lvl w:ilvl="6" w:tplc="C82E3F54">
      <w:numFmt w:val="bullet"/>
      <w:lvlText w:val="•"/>
      <w:lvlJc w:val="left"/>
      <w:pPr>
        <w:ind w:left="5693" w:hanging="173"/>
      </w:pPr>
      <w:rPr>
        <w:rFonts w:hint="default"/>
        <w:lang w:val="en-US" w:eastAsia="en-US" w:bidi="ar-SA"/>
      </w:rPr>
    </w:lvl>
    <w:lvl w:ilvl="7" w:tplc="F438B3E8">
      <w:numFmt w:val="bullet"/>
      <w:lvlText w:val="•"/>
      <w:lvlJc w:val="left"/>
      <w:pPr>
        <w:ind w:left="6760" w:hanging="173"/>
      </w:pPr>
      <w:rPr>
        <w:rFonts w:hint="default"/>
        <w:lang w:val="en-US" w:eastAsia="en-US" w:bidi="ar-SA"/>
      </w:rPr>
    </w:lvl>
    <w:lvl w:ilvl="8" w:tplc="74E2759E">
      <w:numFmt w:val="bullet"/>
      <w:lvlText w:val="•"/>
      <w:lvlJc w:val="left"/>
      <w:pPr>
        <w:ind w:left="7826" w:hanging="173"/>
      </w:pPr>
      <w:rPr>
        <w:rFonts w:hint="default"/>
        <w:lang w:val="en-US" w:eastAsia="en-US" w:bidi="ar-SA"/>
      </w:rPr>
    </w:lvl>
  </w:abstractNum>
  <w:num w:numId="1" w16cid:durableId="1337003207">
    <w:abstractNumId w:val="1"/>
  </w:num>
  <w:num w:numId="2" w16cid:durableId="60601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FD"/>
    <w:rsid w:val="000126D7"/>
    <w:rsid w:val="00015575"/>
    <w:rsid w:val="00016FFD"/>
    <w:rsid w:val="00044046"/>
    <w:rsid w:val="00045C8E"/>
    <w:rsid w:val="00062414"/>
    <w:rsid w:val="00063F95"/>
    <w:rsid w:val="00065E02"/>
    <w:rsid w:val="00075182"/>
    <w:rsid w:val="00077E35"/>
    <w:rsid w:val="000833D8"/>
    <w:rsid w:val="0008436B"/>
    <w:rsid w:val="00095161"/>
    <w:rsid w:val="000A5CB8"/>
    <w:rsid w:val="000A74AE"/>
    <w:rsid w:val="000C63B7"/>
    <w:rsid w:val="000F1CA6"/>
    <w:rsid w:val="000F6D7F"/>
    <w:rsid w:val="00102DF9"/>
    <w:rsid w:val="001039D5"/>
    <w:rsid w:val="00121C44"/>
    <w:rsid w:val="0012218F"/>
    <w:rsid w:val="00135C2E"/>
    <w:rsid w:val="00140828"/>
    <w:rsid w:val="001450FD"/>
    <w:rsid w:val="001470C5"/>
    <w:rsid w:val="001A32AA"/>
    <w:rsid w:val="001A35B7"/>
    <w:rsid w:val="001E254D"/>
    <w:rsid w:val="001E3DB8"/>
    <w:rsid w:val="001F515F"/>
    <w:rsid w:val="00214516"/>
    <w:rsid w:val="002448CB"/>
    <w:rsid w:val="00245C90"/>
    <w:rsid w:val="002661E6"/>
    <w:rsid w:val="00294299"/>
    <w:rsid w:val="002A0057"/>
    <w:rsid w:val="002A4BF5"/>
    <w:rsid w:val="002E1A26"/>
    <w:rsid w:val="002E4056"/>
    <w:rsid w:val="002F2189"/>
    <w:rsid w:val="00304756"/>
    <w:rsid w:val="00331077"/>
    <w:rsid w:val="003629D3"/>
    <w:rsid w:val="003638F2"/>
    <w:rsid w:val="00384C8E"/>
    <w:rsid w:val="00387C7E"/>
    <w:rsid w:val="003A71D8"/>
    <w:rsid w:val="003D1233"/>
    <w:rsid w:val="003D3269"/>
    <w:rsid w:val="003E781A"/>
    <w:rsid w:val="00404129"/>
    <w:rsid w:val="00404571"/>
    <w:rsid w:val="0043438E"/>
    <w:rsid w:val="00435EFE"/>
    <w:rsid w:val="004611D2"/>
    <w:rsid w:val="0046667C"/>
    <w:rsid w:val="00486E84"/>
    <w:rsid w:val="004A0E20"/>
    <w:rsid w:val="004B41C7"/>
    <w:rsid w:val="004C0363"/>
    <w:rsid w:val="004C41DD"/>
    <w:rsid w:val="00526B0E"/>
    <w:rsid w:val="00527E94"/>
    <w:rsid w:val="00535DD9"/>
    <w:rsid w:val="0054331A"/>
    <w:rsid w:val="00553A99"/>
    <w:rsid w:val="0057427D"/>
    <w:rsid w:val="0058016A"/>
    <w:rsid w:val="00587327"/>
    <w:rsid w:val="00591EB2"/>
    <w:rsid w:val="005A1105"/>
    <w:rsid w:val="005B79D1"/>
    <w:rsid w:val="005C3394"/>
    <w:rsid w:val="005D393F"/>
    <w:rsid w:val="005D6307"/>
    <w:rsid w:val="005D6D1E"/>
    <w:rsid w:val="005E0FA8"/>
    <w:rsid w:val="005F0FC4"/>
    <w:rsid w:val="005F1750"/>
    <w:rsid w:val="00603D27"/>
    <w:rsid w:val="00612C4E"/>
    <w:rsid w:val="00634742"/>
    <w:rsid w:val="00645FD2"/>
    <w:rsid w:val="00647AA6"/>
    <w:rsid w:val="006553DA"/>
    <w:rsid w:val="0067359D"/>
    <w:rsid w:val="0069779B"/>
    <w:rsid w:val="006D2707"/>
    <w:rsid w:val="006D2A92"/>
    <w:rsid w:val="006F16FD"/>
    <w:rsid w:val="006F40F3"/>
    <w:rsid w:val="0071608B"/>
    <w:rsid w:val="0071748F"/>
    <w:rsid w:val="00722434"/>
    <w:rsid w:val="007257FD"/>
    <w:rsid w:val="007615B9"/>
    <w:rsid w:val="00764069"/>
    <w:rsid w:val="00765E7B"/>
    <w:rsid w:val="00767464"/>
    <w:rsid w:val="00781590"/>
    <w:rsid w:val="00783D11"/>
    <w:rsid w:val="007A5067"/>
    <w:rsid w:val="007B0D65"/>
    <w:rsid w:val="007B7438"/>
    <w:rsid w:val="007C1CB6"/>
    <w:rsid w:val="007F09D8"/>
    <w:rsid w:val="007F1B69"/>
    <w:rsid w:val="00800D98"/>
    <w:rsid w:val="00816615"/>
    <w:rsid w:val="008172CA"/>
    <w:rsid w:val="00823049"/>
    <w:rsid w:val="00827315"/>
    <w:rsid w:val="00844436"/>
    <w:rsid w:val="0085364F"/>
    <w:rsid w:val="0085407E"/>
    <w:rsid w:val="00856FA8"/>
    <w:rsid w:val="008765A0"/>
    <w:rsid w:val="008A2EA1"/>
    <w:rsid w:val="008A440B"/>
    <w:rsid w:val="008F191B"/>
    <w:rsid w:val="00902BC1"/>
    <w:rsid w:val="009204EF"/>
    <w:rsid w:val="009242DA"/>
    <w:rsid w:val="0092629D"/>
    <w:rsid w:val="009465C8"/>
    <w:rsid w:val="0095122C"/>
    <w:rsid w:val="00972780"/>
    <w:rsid w:val="00982EAB"/>
    <w:rsid w:val="00996B15"/>
    <w:rsid w:val="009B711E"/>
    <w:rsid w:val="009C1A00"/>
    <w:rsid w:val="009F2DA0"/>
    <w:rsid w:val="009F3627"/>
    <w:rsid w:val="009F61CA"/>
    <w:rsid w:val="00A247EE"/>
    <w:rsid w:val="00A46FCD"/>
    <w:rsid w:val="00A5081C"/>
    <w:rsid w:val="00A554CD"/>
    <w:rsid w:val="00A66365"/>
    <w:rsid w:val="00A76D3C"/>
    <w:rsid w:val="00A84FB5"/>
    <w:rsid w:val="00A84FBD"/>
    <w:rsid w:val="00A90F7E"/>
    <w:rsid w:val="00A91FD4"/>
    <w:rsid w:val="00AA61D1"/>
    <w:rsid w:val="00AC3936"/>
    <w:rsid w:val="00B13C40"/>
    <w:rsid w:val="00B51D5D"/>
    <w:rsid w:val="00B572EA"/>
    <w:rsid w:val="00B61EA2"/>
    <w:rsid w:val="00B727D9"/>
    <w:rsid w:val="00B938F2"/>
    <w:rsid w:val="00B96E05"/>
    <w:rsid w:val="00BC6F82"/>
    <w:rsid w:val="00BE1A9C"/>
    <w:rsid w:val="00BE5363"/>
    <w:rsid w:val="00BE6971"/>
    <w:rsid w:val="00C04866"/>
    <w:rsid w:val="00C04EC4"/>
    <w:rsid w:val="00C161A9"/>
    <w:rsid w:val="00C17988"/>
    <w:rsid w:val="00C27AE2"/>
    <w:rsid w:val="00C31CB5"/>
    <w:rsid w:val="00C41BB4"/>
    <w:rsid w:val="00C45AC5"/>
    <w:rsid w:val="00C560B3"/>
    <w:rsid w:val="00C83AA9"/>
    <w:rsid w:val="00C925CF"/>
    <w:rsid w:val="00CC1404"/>
    <w:rsid w:val="00CC71CC"/>
    <w:rsid w:val="00CF3598"/>
    <w:rsid w:val="00D0236B"/>
    <w:rsid w:val="00D14492"/>
    <w:rsid w:val="00D16163"/>
    <w:rsid w:val="00D30004"/>
    <w:rsid w:val="00D33C36"/>
    <w:rsid w:val="00D35715"/>
    <w:rsid w:val="00D52155"/>
    <w:rsid w:val="00D539A9"/>
    <w:rsid w:val="00D757CB"/>
    <w:rsid w:val="00D909A5"/>
    <w:rsid w:val="00DC2267"/>
    <w:rsid w:val="00DD4932"/>
    <w:rsid w:val="00E24EA8"/>
    <w:rsid w:val="00E40E54"/>
    <w:rsid w:val="00E55355"/>
    <w:rsid w:val="00E80847"/>
    <w:rsid w:val="00E86245"/>
    <w:rsid w:val="00E91213"/>
    <w:rsid w:val="00E92BE7"/>
    <w:rsid w:val="00E97ED7"/>
    <w:rsid w:val="00EA7295"/>
    <w:rsid w:val="00ED5E16"/>
    <w:rsid w:val="00F05341"/>
    <w:rsid w:val="00F26871"/>
    <w:rsid w:val="00F35A45"/>
    <w:rsid w:val="00FA28ED"/>
    <w:rsid w:val="00FA3C42"/>
    <w:rsid w:val="00FB13C0"/>
    <w:rsid w:val="00FB4A23"/>
    <w:rsid w:val="00FB5A2E"/>
    <w:rsid w:val="00FE2CAB"/>
    <w:rsid w:val="00FE4BFB"/>
    <w:rsid w:val="00F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53EB"/>
  <w15:docId w15:val="{79F5C66F-1A62-494B-94FC-7CDE2C87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8"/>
      <w:ind w:hanging="3286"/>
      <w:outlineLvl w:val="0"/>
    </w:pPr>
    <w:rPr>
      <w:rFonts w:ascii="Calibri" w:eastAsia="Calibri" w:hAnsi="Calibri" w:cs="Calibri"/>
      <w:b/>
      <w:bCs/>
      <w:sz w:val="72"/>
      <w:szCs w:val="72"/>
    </w:rPr>
  </w:style>
  <w:style w:type="paragraph" w:styleId="Heading2">
    <w:name w:val="heading 2"/>
    <w:basedOn w:val="Normal"/>
    <w:uiPriority w:val="9"/>
    <w:unhideWhenUsed/>
    <w:qFormat/>
    <w:pPr>
      <w:spacing w:before="81"/>
      <w:ind w:left="36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
    </w:pPr>
  </w:style>
  <w:style w:type="paragraph" w:customStyle="1" w:styleId="TableParagraph">
    <w:name w:val="Table Paragraph"/>
    <w:basedOn w:val="Normal"/>
    <w:uiPriority w:val="1"/>
    <w:qFormat/>
  </w:style>
  <w:style w:type="paragraph" w:styleId="Revision">
    <w:name w:val="Revision"/>
    <w:hidden/>
    <w:uiPriority w:val="99"/>
    <w:semiHidden/>
    <w:rsid w:val="0092629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4A23"/>
    <w:rPr>
      <w:sz w:val="16"/>
      <w:szCs w:val="16"/>
    </w:rPr>
  </w:style>
  <w:style w:type="paragraph" w:styleId="CommentText">
    <w:name w:val="annotation text"/>
    <w:basedOn w:val="Normal"/>
    <w:link w:val="CommentTextChar"/>
    <w:uiPriority w:val="99"/>
    <w:unhideWhenUsed/>
    <w:rsid w:val="00FB4A23"/>
    <w:rPr>
      <w:sz w:val="20"/>
      <w:szCs w:val="20"/>
    </w:rPr>
  </w:style>
  <w:style w:type="character" w:customStyle="1" w:styleId="CommentTextChar">
    <w:name w:val="Comment Text Char"/>
    <w:basedOn w:val="DefaultParagraphFont"/>
    <w:link w:val="CommentText"/>
    <w:uiPriority w:val="99"/>
    <w:rsid w:val="00FB4A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A23"/>
    <w:rPr>
      <w:b/>
      <w:bCs/>
    </w:rPr>
  </w:style>
  <w:style w:type="character" w:customStyle="1" w:styleId="CommentSubjectChar">
    <w:name w:val="Comment Subject Char"/>
    <w:basedOn w:val="CommentTextChar"/>
    <w:link w:val="CommentSubject"/>
    <w:uiPriority w:val="99"/>
    <w:semiHidden/>
    <w:rsid w:val="00FB4A23"/>
    <w:rPr>
      <w:rFonts w:ascii="Times New Roman" w:eastAsia="Times New Roman" w:hAnsi="Times New Roman" w:cs="Times New Roman"/>
      <w:b/>
      <w:bCs/>
      <w:sz w:val="20"/>
      <w:szCs w:val="20"/>
    </w:rPr>
  </w:style>
  <w:style w:type="character" w:customStyle="1" w:styleId="normaltextrun">
    <w:name w:val="normaltextrun"/>
    <w:basedOn w:val="DefaultParagraphFont"/>
    <w:rsid w:val="00387C7E"/>
  </w:style>
  <w:style w:type="character" w:styleId="Hyperlink">
    <w:name w:val="Hyperlink"/>
    <w:basedOn w:val="DefaultParagraphFont"/>
    <w:uiPriority w:val="99"/>
    <w:unhideWhenUsed/>
    <w:rsid w:val="00AA61D1"/>
    <w:rPr>
      <w:color w:val="0000FF" w:themeColor="hyperlink"/>
      <w:u w:val="single"/>
    </w:rPr>
  </w:style>
  <w:style w:type="character" w:styleId="UnresolvedMention">
    <w:name w:val="Unresolved Mention"/>
    <w:basedOn w:val="DefaultParagraphFont"/>
    <w:uiPriority w:val="99"/>
    <w:semiHidden/>
    <w:unhideWhenUsed/>
    <w:rsid w:val="00AA61D1"/>
    <w:rPr>
      <w:color w:val="605E5C"/>
      <w:shd w:val="clear" w:color="auto" w:fill="E1DFDD"/>
    </w:rPr>
  </w:style>
  <w:style w:type="paragraph" w:styleId="Header">
    <w:name w:val="header"/>
    <w:basedOn w:val="Normal"/>
    <w:link w:val="HeaderChar"/>
    <w:uiPriority w:val="99"/>
    <w:unhideWhenUsed/>
    <w:rsid w:val="00075182"/>
    <w:pPr>
      <w:tabs>
        <w:tab w:val="center" w:pos="4680"/>
        <w:tab w:val="right" w:pos="9360"/>
      </w:tabs>
    </w:pPr>
  </w:style>
  <w:style w:type="character" w:customStyle="1" w:styleId="HeaderChar">
    <w:name w:val="Header Char"/>
    <w:basedOn w:val="DefaultParagraphFont"/>
    <w:link w:val="Header"/>
    <w:uiPriority w:val="99"/>
    <w:rsid w:val="00075182"/>
    <w:rPr>
      <w:rFonts w:ascii="Times New Roman" w:eastAsia="Times New Roman" w:hAnsi="Times New Roman" w:cs="Times New Roman"/>
    </w:rPr>
  </w:style>
  <w:style w:type="paragraph" w:styleId="Footer">
    <w:name w:val="footer"/>
    <w:basedOn w:val="Normal"/>
    <w:link w:val="FooterChar"/>
    <w:uiPriority w:val="99"/>
    <w:unhideWhenUsed/>
    <w:rsid w:val="00075182"/>
    <w:pPr>
      <w:tabs>
        <w:tab w:val="center" w:pos="4680"/>
        <w:tab w:val="right" w:pos="9360"/>
      </w:tabs>
    </w:pPr>
  </w:style>
  <w:style w:type="character" w:customStyle="1" w:styleId="FooterChar">
    <w:name w:val="Footer Char"/>
    <w:basedOn w:val="DefaultParagraphFont"/>
    <w:link w:val="Footer"/>
    <w:uiPriority w:val="99"/>
    <w:rsid w:val="000751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nt.naic.org/pbr_dat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nt.naic.org/cmte_a_latf.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36955-68F3-4D5C-B9C8-90646B51AB6D}">
  <ds:schemaRefs>
    <ds:schemaRef ds:uri="http://schemas.openxmlformats.org/officeDocument/2006/bibliography"/>
  </ds:schemaRefs>
</ds:datastoreItem>
</file>

<file path=customXml/itemProps2.xml><?xml version="1.0" encoding="utf-8"?>
<ds:datastoreItem xmlns:ds="http://schemas.openxmlformats.org/officeDocument/2006/customXml" ds:itemID="{68E74051-D0D2-4B71-8586-F3AF674A6FE7}"/>
</file>

<file path=customXml/itemProps3.xml><?xml version="1.0" encoding="utf-8"?>
<ds:datastoreItem xmlns:ds="http://schemas.openxmlformats.org/officeDocument/2006/customXml" ds:itemID="{09440118-5586-4A69-B4B8-9B40BEECD41C}"/>
</file>

<file path=docProps/app.xml><?xml version="1.0" encoding="utf-8"?>
<Properties xmlns="http://schemas.openxmlformats.org/officeDocument/2006/extended-properties" xmlns:vt="http://schemas.openxmlformats.org/officeDocument/2006/docPropsVTypes">
  <Template>Normal.dotm</Template>
  <TotalTime>3</TotalTime>
  <Pages>5</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Benjamin M. Slutsker</dc:creator>
  <cp:lastModifiedBy>Frasier, Jennifer</cp:lastModifiedBy>
  <cp:revision>4</cp:revision>
  <dcterms:created xsi:type="dcterms:W3CDTF">2023-08-29T13:14:00Z</dcterms:created>
  <dcterms:modified xsi:type="dcterms:W3CDTF">2023-09-06T14:06:00Z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0x0101009FA5FEA822E7EC4E966C257AF04417F6</vt:lpwstr>
  </property>
  <property fmtid="{D5CDD505-2E9C-101B-9397-08002B2CF9AE}" pid="3" name="Created">
    <vt:filetime>2023-06-21T00:00:00Z</vt:filetime>
  </property>
  <property fmtid="{D5CDD505-2E9C-101B-9397-08002B2CF9AE}" pid="4" name="Creator">
    <vt:lpwstr>Acrobat PDFMaker 23 for PowerPoint</vt:lpwstr>
  </property>
  <property fmtid="{D5CDD505-2E9C-101B-9397-08002B2CF9AE}" pid="5" name="LastSaved">
    <vt:filetime>2023-06-27T00:00:00Z</vt:filetime>
  </property>
  <property fmtid="{D5CDD505-2E9C-101B-9397-08002B2CF9AE}" pid="6" name="Producer">
    <vt:lpwstr>Adobe PDF Library 23.3.233</vt:lpwstr>
  </property>
  <property fmtid="{D5CDD505-2E9C-101B-9397-08002B2CF9AE}" pid="7" name="TemplafyTimeStamp">
    <vt:lpwstr>2021-10-13T17:39:33</vt:lpwstr>
  </property>
</Properties>
</file>