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1901" w14:textId="77777777" w:rsidR="008C587A" w:rsidRDefault="00A85293" w:rsidP="00391ED2">
      <w:pPr>
        <w:spacing w:after="0"/>
      </w:pPr>
      <w:r>
        <w:rPr>
          <w:noProof/>
        </w:rPr>
        <w:drawing>
          <wp:inline distT="0" distB="0" distL="0" distR="0" wp14:anchorId="4332DB53" wp14:editId="1114DE64">
            <wp:extent cx="3086100" cy="874395"/>
            <wp:effectExtent l="0" t="0" r="0" b="1905"/>
            <wp:docPr id="1" name="Picture 1" descr="NAIC_CIPR_horz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IC_CIPR_horz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3E69A" w14:textId="77777777" w:rsidR="00391ED2" w:rsidRPr="00A85293" w:rsidRDefault="00391ED2" w:rsidP="0039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24E01" w14:textId="61E01565" w:rsidR="00391ED2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353">
        <w:rPr>
          <w:rFonts w:ascii="Times New Roman" w:hAnsi="Times New Roman" w:cs="Times New Roman"/>
          <w:sz w:val="24"/>
          <w:szCs w:val="24"/>
        </w:rPr>
        <w:t>Property and Casualty Insurance</w:t>
      </w:r>
      <w:r w:rsidR="008B6AF4">
        <w:rPr>
          <w:rFonts w:ascii="Times New Roman" w:hAnsi="Times New Roman" w:cs="Times New Roman"/>
          <w:sz w:val="24"/>
          <w:szCs w:val="24"/>
        </w:rPr>
        <w:t xml:space="preserve"> (C) </w:t>
      </w:r>
      <w:r w:rsidR="00282353">
        <w:rPr>
          <w:rFonts w:ascii="Times New Roman" w:hAnsi="Times New Roman" w:cs="Times New Roman"/>
          <w:sz w:val="24"/>
          <w:szCs w:val="24"/>
        </w:rPr>
        <w:t>Committee</w:t>
      </w:r>
    </w:p>
    <w:p w14:paraId="3DB74EB6" w14:textId="77777777" w:rsid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3677F" w14:textId="77777777" w:rsidR="00706F4D" w:rsidRPr="00A85293" w:rsidRDefault="00A85293" w:rsidP="00DF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C04D4D">
        <w:rPr>
          <w:rFonts w:ascii="Times New Roman" w:hAnsi="Times New Roman" w:cs="Times New Roman"/>
          <w:sz w:val="24"/>
          <w:szCs w:val="24"/>
        </w:rPr>
        <w:t>NAIC Staff</w:t>
      </w:r>
      <w:r w:rsidR="008B6AF4">
        <w:rPr>
          <w:rFonts w:ascii="Times New Roman" w:hAnsi="Times New Roman" w:cs="Times New Roman"/>
          <w:sz w:val="24"/>
          <w:szCs w:val="24"/>
        </w:rPr>
        <w:tab/>
      </w:r>
    </w:p>
    <w:p w14:paraId="66B642A2" w14:textId="77777777" w:rsidR="00A85293" w:rsidRP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73656" w14:textId="5898C4BE" w:rsid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353">
        <w:rPr>
          <w:rFonts w:ascii="Times New Roman" w:hAnsi="Times New Roman" w:cs="Times New Roman"/>
          <w:sz w:val="24"/>
          <w:szCs w:val="24"/>
        </w:rPr>
        <w:t>April</w:t>
      </w:r>
      <w:r w:rsidR="00C04D4D">
        <w:rPr>
          <w:rFonts w:ascii="Times New Roman" w:hAnsi="Times New Roman" w:cs="Times New Roman"/>
          <w:sz w:val="24"/>
          <w:szCs w:val="24"/>
        </w:rPr>
        <w:t xml:space="preserve"> </w:t>
      </w:r>
      <w:r w:rsidR="00C07FE0">
        <w:rPr>
          <w:rFonts w:ascii="Times New Roman" w:hAnsi="Times New Roman" w:cs="Times New Roman"/>
          <w:sz w:val="24"/>
          <w:szCs w:val="24"/>
        </w:rPr>
        <w:t>2</w:t>
      </w:r>
      <w:r w:rsidR="0022128D">
        <w:rPr>
          <w:rFonts w:ascii="Times New Roman" w:hAnsi="Times New Roman" w:cs="Times New Roman"/>
          <w:sz w:val="24"/>
          <w:szCs w:val="24"/>
        </w:rPr>
        <w:t>8</w:t>
      </w:r>
      <w:r w:rsidR="008B6AF4">
        <w:rPr>
          <w:rFonts w:ascii="Times New Roman" w:hAnsi="Times New Roman" w:cs="Times New Roman"/>
          <w:sz w:val="24"/>
          <w:szCs w:val="24"/>
        </w:rPr>
        <w:t>, 20</w:t>
      </w:r>
      <w:r w:rsidR="00381BA4">
        <w:rPr>
          <w:rFonts w:ascii="Times New Roman" w:hAnsi="Times New Roman" w:cs="Times New Roman"/>
          <w:sz w:val="24"/>
          <w:szCs w:val="24"/>
        </w:rPr>
        <w:t>20</w:t>
      </w:r>
    </w:p>
    <w:p w14:paraId="705C7A40" w14:textId="77777777" w:rsid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AD094" w14:textId="77777777" w:rsidR="00A85293" w:rsidRP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Report on </w:t>
      </w:r>
      <w:r w:rsidR="00DF7BF0">
        <w:rPr>
          <w:rFonts w:ascii="Times New Roman" w:hAnsi="Times New Roman" w:cs="Times New Roman"/>
          <w:sz w:val="24"/>
          <w:szCs w:val="24"/>
        </w:rPr>
        <w:t>Private Flood Insurance Data</w:t>
      </w:r>
    </w:p>
    <w:p w14:paraId="4DB083D3" w14:textId="77777777" w:rsidR="00A85293" w:rsidRPr="00A85293" w:rsidRDefault="00A85293" w:rsidP="0039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E0920" w14:textId="77777777" w:rsidR="00391ED2" w:rsidRDefault="00391ED2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0D171" w14:textId="5FB20BB2" w:rsidR="00A85293" w:rsidRDefault="00A85293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report is to inf</w:t>
      </w:r>
      <w:r w:rsidR="00CC39CA">
        <w:rPr>
          <w:rFonts w:ascii="Times New Roman" w:hAnsi="Times New Roman" w:cs="Times New Roman"/>
          <w:sz w:val="24"/>
          <w:szCs w:val="24"/>
        </w:rPr>
        <w:t xml:space="preserve">orm the </w:t>
      </w:r>
      <w:r w:rsidR="00282353">
        <w:rPr>
          <w:rFonts w:ascii="Times New Roman" w:hAnsi="Times New Roman" w:cs="Times New Roman"/>
          <w:sz w:val="24"/>
          <w:szCs w:val="24"/>
        </w:rPr>
        <w:t>Property and Casualty</w:t>
      </w:r>
      <w:r w:rsidR="00C04D4D">
        <w:rPr>
          <w:rFonts w:ascii="Times New Roman" w:hAnsi="Times New Roman" w:cs="Times New Roman"/>
          <w:sz w:val="24"/>
          <w:szCs w:val="24"/>
        </w:rPr>
        <w:t xml:space="preserve"> Insurance (C) </w:t>
      </w:r>
      <w:r w:rsidR="00282353">
        <w:rPr>
          <w:rFonts w:ascii="Times New Roman" w:hAnsi="Times New Roman" w:cs="Times New Roman"/>
          <w:sz w:val="24"/>
          <w:szCs w:val="24"/>
        </w:rPr>
        <w:t>Committee</w:t>
      </w:r>
      <w:r w:rsidR="00C04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 information filed by insurers</w:t>
      </w:r>
      <w:r w:rsidR="00DF7BF0">
        <w:rPr>
          <w:rFonts w:ascii="Times New Roman" w:hAnsi="Times New Roman" w:cs="Times New Roman"/>
          <w:sz w:val="24"/>
          <w:szCs w:val="24"/>
        </w:rPr>
        <w:t xml:space="preserve"> regarding private flood insurance within </w:t>
      </w:r>
      <w:r>
        <w:rPr>
          <w:rFonts w:ascii="Times New Roman" w:hAnsi="Times New Roman" w:cs="Times New Roman"/>
          <w:sz w:val="24"/>
          <w:szCs w:val="24"/>
        </w:rPr>
        <w:t>the Property and Casualty Annual Statement for 201</w:t>
      </w:r>
      <w:r w:rsidR="00381B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BF0">
        <w:rPr>
          <w:rFonts w:ascii="Times New Roman" w:hAnsi="Times New Roman" w:cs="Times New Roman"/>
          <w:sz w:val="24"/>
          <w:szCs w:val="24"/>
        </w:rPr>
        <w:t xml:space="preserve"> Private flood insurance data was previously reported under Allied Lines </w:t>
      </w:r>
      <w:r w:rsidR="00E75772">
        <w:rPr>
          <w:rFonts w:ascii="Times New Roman" w:hAnsi="Times New Roman" w:cs="Times New Roman"/>
          <w:sz w:val="24"/>
          <w:szCs w:val="24"/>
        </w:rPr>
        <w:t xml:space="preserve">(Line 2.0) </w:t>
      </w:r>
      <w:r w:rsidR="00EA3481">
        <w:rPr>
          <w:rFonts w:ascii="Times New Roman" w:hAnsi="Times New Roman" w:cs="Times New Roman"/>
          <w:sz w:val="24"/>
          <w:szCs w:val="24"/>
        </w:rPr>
        <w:t xml:space="preserve">within the State Page </w:t>
      </w:r>
      <w:r w:rsidR="00DF7BF0">
        <w:rPr>
          <w:rFonts w:ascii="Times New Roman" w:hAnsi="Times New Roman" w:cs="Times New Roman"/>
          <w:sz w:val="24"/>
          <w:szCs w:val="24"/>
        </w:rPr>
        <w:t xml:space="preserve">but </w:t>
      </w:r>
      <w:r w:rsidR="00E75772">
        <w:rPr>
          <w:rFonts w:ascii="Times New Roman" w:hAnsi="Times New Roman" w:cs="Times New Roman"/>
          <w:sz w:val="24"/>
          <w:szCs w:val="24"/>
        </w:rPr>
        <w:t>began to be</w:t>
      </w:r>
      <w:r w:rsidR="00DF7BF0">
        <w:rPr>
          <w:rFonts w:ascii="Times New Roman" w:hAnsi="Times New Roman" w:cs="Times New Roman"/>
          <w:sz w:val="24"/>
          <w:szCs w:val="24"/>
        </w:rPr>
        <w:t xml:space="preserve"> reported separately on </w:t>
      </w:r>
      <w:r w:rsidR="00E75772">
        <w:rPr>
          <w:rFonts w:ascii="Times New Roman" w:hAnsi="Times New Roman" w:cs="Times New Roman"/>
          <w:sz w:val="24"/>
          <w:szCs w:val="24"/>
        </w:rPr>
        <w:t>L</w:t>
      </w:r>
      <w:r w:rsidR="00DF7BF0">
        <w:rPr>
          <w:rFonts w:ascii="Times New Roman" w:hAnsi="Times New Roman" w:cs="Times New Roman"/>
          <w:sz w:val="24"/>
          <w:szCs w:val="24"/>
        </w:rPr>
        <w:t xml:space="preserve">ine </w:t>
      </w:r>
      <w:r w:rsidR="00E75772">
        <w:rPr>
          <w:rFonts w:ascii="Times New Roman" w:hAnsi="Times New Roman" w:cs="Times New Roman"/>
          <w:sz w:val="24"/>
          <w:szCs w:val="24"/>
        </w:rPr>
        <w:t xml:space="preserve">2.5 </w:t>
      </w:r>
      <w:r w:rsidR="00DF7BF0">
        <w:rPr>
          <w:rFonts w:ascii="Times New Roman" w:hAnsi="Times New Roman" w:cs="Times New Roman"/>
          <w:sz w:val="24"/>
          <w:szCs w:val="24"/>
        </w:rPr>
        <w:t xml:space="preserve">with </w:t>
      </w:r>
      <w:r w:rsidR="00EA5804">
        <w:rPr>
          <w:rFonts w:ascii="Times New Roman" w:hAnsi="Times New Roman" w:cs="Times New Roman"/>
          <w:sz w:val="24"/>
          <w:szCs w:val="24"/>
        </w:rPr>
        <w:t>the</w:t>
      </w:r>
      <w:r w:rsidR="00EA3481">
        <w:rPr>
          <w:rFonts w:ascii="Times New Roman" w:hAnsi="Times New Roman" w:cs="Times New Roman"/>
          <w:sz w:val="24"/>
          <w:szCs w:val="24"/>
        </w:rPr>
        <w:t xml:space="preserve"> filing of the</w:t>
      </w:r>
      <w:r w:rsidR="00EA5804">
        <w:rPr>
          <w:rFonts w:ascii="Times New Roman" w:hAnsi="Times New Roman" w:cs="Times New Roman"/>
          <w:sz w:val="24"/>
          <w:szCs w:val="24"/>
        </w:rPr>
        <w:t xml:space="preserve"> </w:t>
      </w:r>
      <w:r w:rsidR="00DF7BF0">
        <w:rPr>
          <w:rFonts w:ascii="Times New Roman" w:hAnsi="Times New Roman" w:cs="Times New Roman"/>
          <w:sz w:val="24"/>
          <w:szCs w:val="24"/>
        </w:rPr>
        <w:t xml:space="preserve">2016 </w:t>
      </w:r>
      <w:r w:rsidR="00EA5804">
        <w:rPr>
          <w:rFonts w:ascii="Times New Roman" w:hAnsi="Times New Roman" w:cs="Times New Roman"/>
          <w:sz w:val="24"/>
          <w:szCs w:val="24"/>
        </w:rPr>
        <w:t xml:space="preserve">Annual Statement </w:t>
      </w:r>
      <w:r w:rsidR="00DF7BF0">
        <w:rPr>
          <w:rFonts w:ascii="Times New Roman" w:hAnsi="Times New Roman" w:cs="Times New Roman"/>
          <w:sz w:val="24"/>
          <w:szCs w:val="24"/>
        </w:rPr>
        <w:t xml:space="preserve">data. </w:t>
      </w:r>
      <w:r>
        <w:rPr>
          <w:rFonts w:ascii="Times New Roman" w:hAnsi="Times New Roman" w:cs="Times New Roman"/>
          <w:sz w:val="24"/>
          <w:szCs w:val="24"/>
        </w:rPr>
        <w:t>The report will also address some shortcomings in the data collection process and make some suggestions for future actions.</w:t>
      </w:r>
    </w:p>
    <w:p w14:paraId="231F9419" w14:textId="77777777" w:rsidR="00A85293" w:rsidRDefault="00A85293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157D4" w14:textId="77777777" w:rsidR="00110877" w:rsidRPr="00A85293" w:rsidRDefault="00A85293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3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11047B72" w14:textId="77777777" w:rsidR="00282353" w:rsidRDefault="00282353" w:rsidP="00490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09D9C" w14:textId="18E81AC5" w:rsidR="00FC450A" w:rsidRDefault="00FC450A" w:rsidP="00490C10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Floods continue to be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costly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natural disaster in the United States. </w:t>
      </w:r>
      <w:r w:rsidR="00D04668">
        <w:rPr>
          <w:rFonts w:ascii="Times New Roman" w:hAnsi="Times New Roman" w:cs="Times New Roman"/>
          <w:sz w:val="24"/>
          <w:szCs w:val="24"/>
        </w:rPr>
        <w:t>While t</w:t>
      </w:r>
      <w:r w:rsidR="00D04668" w:rsidRPr="00D04668">
        <w:rPr>
          <w:rFonts w:ascii="Times New Roman" w:hAnsi="Times New Roman" w:cs="Times New Roman"/>
          <w:sz w:val="24"/>
          <w:szCs w:val="24"/>
        </w:rPr>
        <w:t>he National Flood Insurance Program (NFIP) is the main source of flood insurance</w:t>
      </w:r>
      <w:r w:rsidR="00490C10">
        <w:rPr>
          <w:rFonts w:ascii="Times New Roman" w:hAnsi="Times New Roman" w:cs="Times New Roman"/>
          <w:sz w:val="24"/>
          <w:szCs w:val="24"/>
        </w:rPr>
        <w:t xml:space="preserve"> </w:t>
      </w:r>
      <w:r w:rsidR="00D04668" w:rsidRPr="00D04668">
        <w:rPr>
          <w:rFonts w:ascii="Times New Roman" w:hAnsi="Times New Roman" w:cs="Times New Roman"/>
          <w:sz w:val="24"/>
          <w:szCs w:val="24"/>
        </w:rPr>
        <w:t>coverage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668" w:rsidRPr="00D04668">
        <w:rPr>
          <w:rFonts w:ascii="Times New Roman" w:hAnsi="Times New Roman" w:cs="Times New Roman"/>
          <w:color w:val="000000"/>
          <w:sz w:val="23"/>
          <w:szCs w:val="23"/>
        </w:rPr>
        <w:t xml:space="preserve">more sophisticated risk </w:t>
      </w:r>
      <w:r w:rsidR="00F16363">
        <w:rPr>
          <w:rFonts w:ascii="Times New Roman" w:hAnsi="Times New Roman" w:cs="Times New Roman"/>
          <w:color w:val="000000"/>
          <w:sz w:val="23"/>
          <w:szCs w:val="23"/>
        </w:rPr>
        <w:t>assessment</w:t>
      </w:r>
      <w:r w:rsidR="00D04668" w:rsidRPr="00D04668">
        <w:rPr>
          <w:rFonts w:ascii="Times New Roman" w:hAnsi="Times New Roman" w:cs="Times New Roman"/>
          <w:color w:val="000000"/>
          <w:sz w:val="23"/>
          <w:szCs w:val="23"/>
        </w:rPr>
        <w:t xml:space="preserve"> and modeling have developed in recent years enabling the private market to more accurately price the risk and generating new interest among private insurers to provide such coverage.</w:t>
      </w:r>
      <w:r w:rsidR="00490C10" w:rsidRPr="00490C1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08B1E6B" w14:textId="77777777" w:rsidR="00FC450A" w:rsidRDefault="00FC450A" w:rsidP="00490C10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1AEA48" w14:textId="77777777" w:rsidR="00490C10" w:rsidRDefault="00490C10" w:rsidP="00490C10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4668">
        <w:rPr>
          <w:rFonts w:ascii="Times New Roman" w:hAnsi="Times New Roman" w:cs="Times New Roman"/>
          <w:color w:val="000000"/>
          <w:sz w:val="23"/>
          <w:szCs w:val="23"/>
        </w:rPr>
        <w:t xml:space="preserve">State insurance regulators support facilitating increased private sector involvement in the sale of flood insurance as a complement to the NFIP to help provide consumers with more choices and additional coverage features potentially at more affordable prices. </w:t>
      </w:r>
    </w:p>
    <w:p w14:paraId="379A85ED" w14:textId="77777777" w:rsidR="00852DC2" w:rsidRDefault="00852DC2" w:rsidP="00490C10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10B0A9" w14:textId="531DF841" w:rsidR="00FC450A" w:rsidRDefault="00FC450A" w:rsidP="00490C10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C450A">
        <w:rPr>
          <w:rFonts w:ascii="Times New Roman" w:hAnsi="Times New Roman" w:cs="Times New Roman"/>
          <w:color w:val="000000"/>
          <w:sz w:val="23"/>
          <w:szCs w:val="23"/>
        </w:rPr>
        <w:t>As the private flood insurance market grows and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more companies offer coverage,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 xml:space="preserve"> state insurance regulation will continue to evolve to meet the size and breadth of the market as well as the needs of consumers. In recognition of this growing market, </w:t>
      </w:r>
      <w:r>
        <w:rPr>
          <w:rFonts w:ascii="Times New Roman" w:hAnsi="Times New Roman" w:cs="Times New Roman"/>
          <w:color w:val="000000"/>
          <w:sz w:val="23"/>
          <w:szCs w:val="23"/>
        </w:rPr>
        <w:t>state insurance regulators, through the NAIC,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 xml:space="preserve"> developed a requirement for insurers t</w:t>
      </w:r>
      <w:r w:rsidR="00D214B3">
        <w:rPr>
          <w:rFonts w:ascii="Times New Roman" w:hAnsi="Times New Roman" w:cs="Times New Roman"/>
          <w:color w:val="000000"/>
          <w:sz w:val="23"/>
          <w:szCs w:val="23"/>
        </w:rPr>
        <w:t>o include a line item in their A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 xml:space="preserve">nnual </w:t>
      </w:r>
      <w:r w:rsidR="00D214B3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>tatement highlighting their private flood insurance activity. This data will provide state insurance regulators with a</w:t>
      </w:r>
      <w:r w:rsidR="0022128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 xml:space="preserve">overview of the size of the private flood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insurance market and provide </w:t>
      </w:r>
      <w:r w:rsidRPr="00FC450A">
        <w:rPr>
          <w:rFonts w:ascii="Times New Roman" w:hAnsi="Times New Roman" w:cs="Times New Roman"/>
          <w:color w:val="000000"/>
          <w:sz w:val="23"/>
          <w:szCs w:val="23"/>
        </w:rPr>
        <w:t>insights into the market as it grows.</w:t>
      </w:r>
      <w:r w:rsidR="0022128D">
        <w:rPr>
          <w:rFonts w:ascii="Times New Roman" w:hAnsi="Times New Roman" w:cs="Times New Roman"/>
          <w:color w:val="000000"/>
          <w:sz w:val="23"/>
          <w:szCs w:val="23"/>
        </w:rPr>
        <w:t xml:space="preserve"> Future proposed revisions to the Annual Statement are explained later in this memo. </w:t>
      </w:r>
    </w:p>
    <w:p w14:paraId="6B990BE9" w14:textId="3FC9AE8E" w:rsidR="006E4CAA" w:rsidRDefault="006E4CA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A485E" w14:textId="51F6FC43" w:rsidR="0022128D" w:rsidRDefault="0022128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88670" w14:textId="128A1FFA" w:rsidR="0022128D" w:rsidRDefault="0022128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97084" w14:textId="77777777" w:rsidR="0022128D" w:rsidRDefault="0022128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EC01" w14:textId="46536DEB" w:rsidR="00C53D5A" w:rsidRPr="00EA5804" w:rsidRDefault="00EA5804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3D5A" w:rsidRPr="00EA5804">
        <w:rPr>
          <w:rFonts w:ascii="Times New Roman" w:hAnsi="Times New Roman" w:cs="Times New Roman"/>
          <w:b/>
          <w:sz w:val="24"/>
          <w:szCs w:val="24"/>
        </w:rPr>
        <w:t>Data Filed on the Annual Statement</w:t>
      </w:r>
    </w:p>
    <w:p w14:paraId="27489996" w14:textId="77777777" w:rsidR="00EA5804" w:rsidRDefault="00EA5804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B311C" w14:textId="77777777" w:rsidR="00C53D5A" w:rsidRDefault="00C53D5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Page requires the following information on </w:t>
      </w:r>
      <w:r w:rsidR="00EA34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rivate </w:t>
      </w:r>
      <w:r w:rsidR="00EA34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lood policies to be filed on a state-by-state basis:</w:t>
      </w:r>
    </w:p>
    <w:p w14:paraId="1137D09F" w14:textId="77777777" w:rsidR="00C53D5A" w:rsidRDefault="00C53D5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B2840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Premiums Written</w:t>
      </w:r>
    </w:p>
    <w:p w14:paraId="4F53D379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Premiums Earned</w:t>
      </w:r>
    </w:p>
    <w:p w14:paraId="5DE4B9F3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Dividends Paid or Credited to Policyholders on Direct Business</w:t>
      </w:r>
    </w:p>
    <w:p w14:paraId="2ABE75D2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Unearned Premium Reserves</w:t>
      </w:r>
    </w:p>
    <w:p w14:paraId="67BACB42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Losses Paid (deducting salvage)</w:t>
      </w:r>
    </w:p>
    <w:p w14:paraId="0414983E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Losses Incurred</w:t>
      </w:r>
    </w:p>
    <w:p w14:paraId="25214044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Losses Unpaid</w:t>
      </w:r>
    </w:p>
    <w:p w14:paraId="07AB3DF5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Defense and Cost Containment Expense Paid</w:t>
      </w:r>
    </w:p>
    <w:p w14:paraId="4F749DE5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Defense and Cost Containment Expense Incurred</w:t>
      </w:r>
    </w:p>
    <w:p w14:paraId="47DA3561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Direct Defense and Cost Containment Expense Unpaid</w:t>
      </w:r>
    </w:p>
    <w:p w14:paraId="193EA641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Commissions and Brokerage Expenses</w:t>
      </w:r>
    </w:p>
    <w:p w14:paraId="137CC131" w14:textId="77777777" w:rsidR="00C53D5A" w:rsidRPr="00C53D5A" w:rsidRDefault="00C53D5A" w:rsidP="003828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D5A">
        <w:rPr>
          <w:rFonts w:ascii="Times New Roman" w:hAnsi="Times New Roman" w:cs="Times New Roman"/>
          <w:sz w:val="24"/>
          <w:szCs w:val="24"/>
        </w:rPr>
        <w:t>Taxes, Licenses and Fees</w:t>
      </w:r>
    </w:p>
    <w:p w14:paraId="340C2368" w14:textId="77777777" w:rsidR="00EA5804" w:rsidRDefault="00EA5804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725DF" w14:textId="77777777" w:rsidR="006E4CAA" w:rsidRPr="006E4CAA" w:rsidRDefault="006E4CAA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CAA">
        <w:rPr>
          <w:rFonts w:ascii="Times New Roman" w:hAnsi="Times New Roman" w:cs="Times New Roman"/>
          <w:b/>
          <w:sz w:val="24"/>
          <w:szCs w:val="24"/>
        </w:rPr>
        <w:t>Data Findings</w:t>
      </w:r>
    </w:p>
    <w:p w14:paraId="1D34B4BB" w14:textId="77777777" w:rsidR="006E4CAA" w:rsidRDefault="006E4CA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442D9" w14:textId="77777777" w:rsidR="0022128D" w:rsidRDefault="0041535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35D">
        <w:rPr>
          <w:rFonts w:ascii="Times New Roman" w:hAnsi="Times New Roman" w:cs="Times New Roman"/>
          <w:sz w:val="24"/>
          <w:szCs w:val="24"/>
        </w:rPr>
        <w:t>The initial re</w:t>
      </w:r>
      <w:r w:rsidR="00EB2A93">
        <w:rPr>
          <w:rFonts w:ascii="Times New Roman" w:hAnsi="Times New Roman" w:cs="Times New Roman"/>
          <w:sz w:val="24"/>
          <w:szCs w:val="24"/>
        </w:rPr>
        <w:t xml:space="preserve">sults of </w:t>
      </w:r>
      <w:r w:rsidR="00EA5804">
        <w:rPr>
          <w:rFonts w:ascii="Times New Roman" w:hAnsi="Times New Roman" w:cs="Times New Roman"/>
          <w:sz w:val="24"/>
          <w:szCs w:val="24"/>
        </w:rPr>
        <w:t>the 201</w:t>
      </w:r>
      <w:r w:rsidR="00381BA4">
        <w:rPr>
          <w:rFonts w:ascii="Times New Roman" w:hAnsi="Times New Roman" w:cs="Times New Roman"/>
          <w:sz w:val="24"/>
          <w:szCs w:val="24"/>
        </w:rPr>
        <w:t>9</w:t>
      </w:r>
      <w:r w:rsidR="00EA5804">
        <w:rPr>
          <w:rFonts w:ascii="Times New Roman" w:hAnsi="Times New Roman" w:cs="Times New Roman"/>
          <w:sz w:val="24"/>
          <w:szCs w:val="24"/>
        </w:rPr>
        <w:t xml:space="preserve"> private flood</w:t>
      </w:r>
      <w:r w:rsidR="00C46042">
        <w:rPr>
          <w:rFonts w:ascii="Times New Roman" w:hAnsi="Times New Roman" w:cs="Times New Roman"/>
          <w:sz w:val="24"/>
          <w:szCs w:val="24"/>
        </w:rPr>
        <w:t xml:space="preserve"> insurance</w:t>
      </w:r>
      <w:r w:rsidR="00EA5804">
        <w:rPr>
          <w:rFonts w:ascii="Times New Roman" w:hAnsi="Times New Roman" w:cs="Times New Roman"/>
          <w:sz w:val="24"/>
          <w:szCs w:val="24"/>
        </w:rPr>
        <w:t xml:space="preserve"> </w:t>
      </w:r>
      <w:r w:rsidR="00EB2A93">
        <w:rPr>
          <w:rFonts w:ascii="Times New Roman" w:hAnsi="Times New Roman" w:cs="Times New Roman"/>
          <w:sz w:val="24"/>
          <w:szCs w:val="24"/>
        </w:rPr>
        <w:t>filings indicate</w:t>
      </w:r>
      <w:r w:rsidRPr="0041535D">
        <w:rPr>
          <w:rFonts w:ascii="Times New Roman" w:hAnsi="Times New Roman" w:cs="Times New Roman"/>
          <w:sz w:val="24"/>
          <w:szCs w:val="24"/>
        </w:rPr>
        <w:t xml:space="preserve"> </w:t>
      </w:r>
      <w:r w:rsidR="00DF7BF0">
        <w:rPr>
          <w:rFonts w:ascii="Times New Roman" w:hAnsi="Times New Roman" w:cs="Times New Roman"/>
          <w:sz w:val="24"/>
          <w:szCs w:val="24"/>
        </w:rPr>
        <w:t xml:space="preserve">over </w:t>
      </w:r>
      <w:r w:rsidR="00282353">
        <w:rPr>
          <w:rFonts w:ascii="Times New Roman" w:hAnsi="Times New Roman" w:cs="Times New Roman"/>
          <w:sz w:val="24"/>
          <w:szCs w:val="24"/>
        </w:rPr>
        <w:t>1</w:t>
      </w:r>
      <w:r w:rsidR="00381BA4">
        <w:rPr>
          <w:rFonts w:ascii="Times New Roman" w:hAnsi="Times New Roman" w:cs="Times New Roman"/>
          <w:sz w:val="24"/>
          <w:szCs w:val="24"/>
        </w:rPr>
        <w:t>4</w:t>
      </w:r>
      <w:r w:rsidR="009B561C">
        <w:rPr>
          <w:rFonts w:ascii="Times New Roman" w:hAnsi="Times New Roman" w:cs="Times New Roman"/>
          <w:sz w:val="24"/>
          <w:szCs w:val="24"/>
        </w:rPr>
        <w:t>0</w:t>
      </w:r>
      <w:r w:rsidR="00DF7BF0">
        <w:rPr>
          <w:rFonts w:ascii="Times New Roman" w:hAnsi="Times New Roman" w:cs="Times New Roman"/>
          <w:sz w:val="24"/>
          <w:szCs w:val="24"/>
        </w:rPr>
        <w:t xml:space="preserve"> insurers wrote private flood insurance in 201</w:t>
      </w:r>
      <w:r w:rsidR="00381BA4">
        <w:rPr>
          <w:rFonts w:ascii="Times New Roman" w:hAnsi="Times New Roman" w:cs="Times New Roman"/>
          <w:sz w:val="24"/>
          <w:szCs w:val="24"/>
        </w:rPr>
        <w:t>9</w:t>
      </w:r>
      <w:r w:rsidR="00276B93">
        <w:rPr>
          <w:rFonts w:ascii="Times New Roman" w:hAnsi="Times New Roman" w:cs="Times New Roman"/>
          <w:sz w:val="24"/>
          <w:szCs w:val="24"/>
        </w:rPr>
        <w:t xml:space="preserve">, up from </w:t>
      </w:r>
      <w:r w:rsidR="00282353">
        <w:rPr>
          <w:rFonts w:ascii="Times New Roman" w:hAnsi="Times New Roman" w:cs="Times New Roman"/>
          <w:sz w:val="24"/>
          <w:szCs w:val="24"/>
        </w:rPr>
        <w:t xml:space="preserve">around </w:t>
      </w:r>
      <w:r w:rsidR="00381BA4">
        <w:rPr>
          <w:rFonts w:ascii="Times New Roman" w:hAnsi="Times New Roman" w:cs="Times New Roman"/>
          <w:sz w:val="24"/>
          <w:szCs w:val="24"/>
        </w:rPr>
        <w:t xml:space="preserve">120 in 2018, </w:t>
      </w:r>
      <w:r w:rsidR="00282353">
        <w:rPr>
          <w:rFonts w:ascii="Times New Roman" w:hAnsi="Times New Roman" w:cs="Times New Roman"/>
          <w:sz w:val="24"/>
          <w:szCs w:val="24"/>
        </w:rPr>
        <w:t>90</w:t>
      </w:r>
      <w:r w:rsidR="00276B93">
        <w:rPr>
          <w:rFonts w:ascii="Times New Roman" w:hAnsi="Times New Roman" w:cs="Times New Roman"/>
          <w:sz w:val="24"/>
          <w:szCs w:val="24"/>
        </w:rPr>
        <w:t xml:space="preserve"> insurers in 201</w:t>
      </w:r>
      <w:r w:rsidR="00282353">
        <w:rPr>
          <w:rFonts w:ascii="Times New Roman" w:hAnsi="Times New Roman" w:cs="Times New Roman"/>
          <w:sz w:val="24"/>
          <w:szCs w:val="24"/>
        </w:rPr>
        <w:t>7</w:t>
      </w:r>
      <w:r w:rsidR="00DC1C58">
        <w:rPr>
          <w:rFonts w:ascii="Times New Roman" w:hAnsi="Times New Roman" w:cs="Times New Roman"/>
          <w:sz w:val="24"/>
          <w:szCs w:val="24"/>
        </w:rPr>
        <w:t xml:space="preserve"> and 50 in 2016</w:t>
      </w:r>
      <w:r w:rsidR="00DF7BF0">
        <w:rPr>
          <w:rFonts w:ascii="Times New Roman" w:hAnsi="Times New Roman" w:cs="Times New Roman"/>
          <w:sz w:val="24"/>
          <w:szCs w:val="24"/>
        </w:rPr>
        <w:t>.</w:t>
      </w:r>
      <w:r w:rsidR="00CD4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44A9C" w14:textId="77777777" w:rsidR="0022128D" w:rsidRDefault="0022128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2CB87" w14:textId="68A63934" w:rsidR="009C75C0" w:rsidRDefault="00CD431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Totals for prior years are reported in this </w:t>
      </w:r>
      <w:r w:rsidR="006D7E2A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differently tha</w:t>
      </w:r>
      <w:r w:rsidR="002212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 prior reports. See the section titled “</w:t>
      </w:r>
      <w:r w:rsidR="0022128D">
        <w:rPr>
          <w:rFonts w:ascii="Times New Roman" w:hAnsi="Times New Roman" w:cs="Times New Roman"/>
          <w:sz w:val="24"/>
          <w:szCs w:val="24"/>
        </w:rPr>
        <w:t>Caveats”</w:t>
      </w:r>
      <w:r>
        <w:rPr>
          <w:rFonts w:ascii="Times New Roman" w:hAnsi="Times New Roman" w:cs="Times New Roman"/>
          <w:sz w:val="24"/>
          <w:szCs w:val="24"/>
        </w:rPr>
        <w:t xml:space="preserve"> for an explanation.</w:t>
      </w:r>
      <w:r w:rsidR="00DF7BF0">
        <w:rPr>
          <w:rFonts w:ascii="Times New Roman" w:hAnsi="Times New Roman" w:cs="Times New Roman"/>
          <w:sz w:val="24"/>
          <w:szCs w:val="24"/>
        </w:rPr>
        <w:t xml:space="preserve"> </w:t>
      </w:r>
      <w:r w:rsidR="00F929A0">
        <w:rPr>
          <w:rFonts w:ascii="Times New Roman" w:hAnsi="Times New Roman" w:cs="Times New Roman"/>
          <w:sz w:val="24"/>
          <w:szCs w:val="24"/>
        </w:rPr>
        <w:t xml:space="preserve">The total </w:t>
      </w:r>
      <w:r w:rsidR="00C53D5A">
        <w:rPr>
          <w:rFonts w:ascii="Times New Roman" w:hAnsi="Times New Roman" w:cs="Times New Roman"/>
          <w:sz w:val="24"/>
          <w:szCs w:val="24"/>
        </w:rPr>
        <w:t xml:space="preserve">direct </w:t>
      </w:r>
      <w:r w:rsidR="00F929A0">
        <w:rPr>
          <w:rFonts w:ascii="Times New Roman" w:hAnsi="Times New Roman" w:cs="Times New Roman"/>
          <w:sz w:val="24"/>
          <w:szCs w:val="24"/>
        </w:rPr>
        <w:t>premium written</w:t>
      </w:r>
      <w:r w:rsidR="0057251B">
        <w:rPr>
          <w:rFonts w:ascii="Times New Roman" w:hAnsi="Times New Roman" w:cs="Times New Roman"/>
          <w:sz w:val="24"/>
          <w:szCs w:val="24"/>
        </w:rPr>
        <w:t xml:space="preserve"> in states and territories</w:t>
      </w:r>
      <w:r w:rsidR="00F929A0">
        <w:rPr>
          <w:rFonts w:ascii="Times New Roman" w:hAnsi="Times New Roman" w:cs="Times New Roman"/>
          <w:sz w:val="24"/>
          <w:szCs w:val="24"/>
        </w:rPr>
        <w:t xml:space="preserve"> was approximately </w:t>
      </w:r>
      <w:r w:rsidR="00FA23F1">
        <w:rPr>
          <w:rFonts w:ascii="Times New Roman" w:hAnsi="Times New Roman" w:cs="Times New Roman"/>
          <w:sz w:val="24"/>
          <w:szCs w:val="24"/>
        </w:rPr>
        <w:t xml:space="preserve">$523 million in 2019, compared to </w:t>
      </w:r>
      <w:r w:rsidR="00282353">
        <w:rPr>
          <w:rFonts w:ascii="Times New Roman" w:hAnsi="Times New Roman" w:cs="Times New Roman"/>
          <w:sz w:val="24"/>
          <w:szCs w:val="24"/>
        </w:rPr>
        <w:t>$</w:t>
      </w:r>
      <w:r w:rsidR="009B561C">
        <w:rPr>
          <w:rFonts w:ascii="Times New Roman" w:hAnsi="Times New Roman" w:cs="Times New Roman"/>
          <w:sz w:val="24"/>
          <w:szCs w:val="24"/>
        </w:rPr>
        <w:t xml:space="preserve">420 </w:t>
      </w:r>
      <w:r w:rsidR="00282353">
        <w:rPr>
          <w:rFonts w:ascii="Times New Roman" w:hAnsi="Times New Roman" w:cs="Times New Roman"/>
          <w:sz w:val="24"/>
          <w:szCs w:val="24"/>
        </w:rPr>
        <w:t>million</w:t>
      </w:r>
      <w:r w:rsidR="00B8744F">
        <w:rPr>
          <w:rFonts w:ascii="Times New Roman" w:hAnsi="Times New Roman" w:cs="Times New Roman"/>
          <w:sz w:val="24"/>
          <w:szCs w:val="24"/>
        </w:rPr>
        <w:t xml:space="preserve"> in 2018</w:t>
      </w:r>
      <w:r w:rsidR="00282353">
        <w:rPr>
          <w:rFonts w:ascii="Times New Roman" w:hAnsi="Times New Roman" w:cs="Times New Roman"/>
          <w:sz w:val="24"/>
          <w:szCs w:val="24"/>
        </w:rPr>
        <w:t xml:space="preserve">, </w:t>
      </w:r>
      <w:r w:rsidR="00FA23F1">
        <w:rPr>
          <w:rFonts w:ascii="Times New Roman" w:hAnsi="Times New Roman" w:cs="Times New Roman"/>
          <w:sz w:val="24"/>
          <w:szCs w:val="24"/>
        </w:rPr>
        <w:t xml:space="preserve">and </w:t>
      </w:r>
      <w:r w:rsidR="00F929A0">
        <w:rPr>
          <w:rFonts w:ascii="Times New Roman" w:hAnsi="Times New Roman" w:cs="Times New Roman"/>
          <w:sz w:val="24"/>
          <w:szCs w:val="24"/>
        </w:rPr>
        <w:t>$</w:t>
      </w:r>
      <w:r w:rsidR="009B561C">
        <w:rPr>
          <w:rFonts w:ascii="Times New Roman" w:hAnsi="Times New Roman" w:cs="Times New Roman"/>
          <w:sz w:val="24"/>
          <w:szCs w:val="24"/>
        </w:rPr>
        <w:t xml:space="preserve">390 </w:t>
      </w:r>
      <w:r w:rsidR="00F929A0">
        <w:rPr>
          <w:rFonts w:ascii="Times New Roman" w:hAnsi="Times New Roman" w:cs="Times New Roman"/>
          <w:sz w:val="24"/>
          <w:szCs w:val="24"/>
        </w:rPr>
        <w:t>million</w:t>
      </w:r>
      <w:r w:rsidR="00FA23F1">
        <w:rPr>
          <w:rFonts w:ascii="Times New Roman" w:hAnsi="Times New Roman" w:cs="Times New Roman"/>
          <w:sz w:val="24"/>
          <w:szCs w:val="24"/>
        </w:rPr>
        <w:t xml:space="preserve"> in 2017</w:t>
      </w:r>
      <w:r w:rsidR="00F929A0">
        <w:rPr>
          <w:rFonts w:ascii="Times New Roman" w:hAnsi="Times New Roman" w:cs="Times New Roman"/>
          <w:sz w:val="24"/>
          <w:szCs w:val="24"/>
        </w:rPr>
        <w:t xml:space="preserve">. </w:t>
      </w:r>
      <w:r w:rsidR="00F16363">
        <w:rPr>
          <w:rFonts w:ascii="Times New Roman" w:hAnsi="Times New Roman" w:cs="Times New Roman"/>
          <w:sz w:val="24"/>
          <w:szCs w:val="24"/>
        </w:rPr>
        <w:t xml:space="preserve">States saw a </w:t>
      </w:r>
      <w:r w:rsidR="009B561C">
        <w:rPr>
          <w:rFonts w:ascii="Times New Roman" w:hAnsi="Times New Roman" w:cs="Times New Roman"/>
          <w:sz w:val="24"/>
          <w:szCs w:val="24"/>
        </w:rPr>
        <w:t>154</w:t>
      </w:r>
      <w:r w:rsidR="00F16363">
        <w:rPr>
          <w:rFonts w:ascii="Times New Roman" w:hAnsi="Times New Roman" w:cs="Times New Roman"/>
          <w:sz w:val="24"/>
          <w:szCs w:val="24"/>
        </w:rPr>
        <w:t>% growth in private flood insurance written premium from 2016 to 201</w:t>
      </w:r>
      <w:r w:rsidR="009B561C">
        <w:rPr>
          <w:rFonts w:ascii="Times New Roman" w:hAnsi="Times New Roman" w:cs="Times New Roman"/>
          <w:sz w:val="24"/>
          <w:szCs w:val="24"/>
        </w:rPr>
        <w:t>9</w:t>
      </w:r>
      <w:r w:rsidR="00F16363">
        <w:rPr>
          <w:rFonts w:ascii="Times New Roman" w:hAnsi="Times New Roman" w:cs="Times New Roman"/>
          <w:sz w:val="24"/>
          <w:szCs w:val="24"/>
        </w:rPr>
        <w:t xml:space="preserve">, with </w:t>
      </w:r>
      <w:r w:rsidR="009B561C">
        <w:rPr>
          <w:rFonts w:ascii="Times New Roman" w:hAnsi="Times New Roman" w:cs="Times New Roman"/>
          <w:sz w:val="24"/>
          <w:szCs w:val="24"/>
        </w:rPr>
        <w:t xml:space="preserve">nearly all </w:t>
      </w:r>
      <w:r w:rsidR="00F16363">
        <w:rPr>
          <w:rFonts w:ascii="Times New Roman" w:hAnsi="Times New Roman" w:cs="Times New Roman"/>
          <w:sz w:val="24"/>
          <w:szCs w:val="24"/>
        </w:rPr>
        <w:t xml:space="preserve">states experiencing over 100% growth. </w:t>
      </w:r>
    </w:p>
    <w:p w14:paraId="1D84FFB3" w14:textId="77777777" w:rsidR="009C75C0" w:rsidRDefault="009C75C0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61FD0" w14:textId="24B0E8BD" w:rsidR="00C53D5A" w:rsidRDefault="00C53D5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earned premium reported was </w:t>
      </w:r>
      <w:r w:rsidR="00282353">
        <w:rPr>
          <w:rFonts w:ascii="Times New Roman" w:hAnsi="Times New Roman" w:cs="Times New Roman"/>
          <w:sz w:val="24"/>
          <w:szCs w:val="24"/>
        </w:rPr>
        <w:t>$</w:t>
      </w:r>
      <w:r w:rsidR="00FD45F5">
        <w:rPr>
          <w:rFonts w:ascii="Times New Roman" w:hAnsi="Times New Roman" w:cs="Times New Roman"/>
          <w:sz w:val="24"/>
          <w:szCs w:val="24"/>
        </w:rPr>
        <w:t xml:space="preserve">465 </w:t>
      </w:r>
      <w:r w:rsidR="00282353">
        <w:rPr>
          <w:rFonts w:ascii="Times New Roman" w:hAnsi="Times New Roman" w:cs="Times New Roman"/>
          <w:sz w:val="24"/>
          <w:szCs w:val="24"/>
        </w:rPr>
        <w:t>million in 201</w:t>
      </w:r>
      <w:r w:rsidR="00FD45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Having less earned premium than written premium is indicative of a growing market.</w:t>
      </w:r>
      <w:r w:rsidR="00EA5804">
        <w:rPr>
          <w:rFonts w:ascii="Times New Roman" w:hAnsi="Times New Roman" w:cs="Times New Roman"/>
          <w:sz w:val="24"/>
          <w:szCs w:val="24"/>
        </w:rPr>
        <w:t xml:space="preserve"> For perspective, the NFIP had approximately $3.</w:t>
      </w:r>
      <w:r w:rsidR="00A02DAF">
        <w:rPr>
          <w:rFonts w:ascii="Times New Roman" w:hAnsi="Times New Roman" w:cs="Times New Roman"/>
          <w:sz w:val="24"/>
          <w:szCs w:val="24"/>
        </w:rPr>
        <w:t>3</w:t>
      </w:r>
      <w:r w:rsidR="00EA5804">
        <w:rPr>
          <w:rFonts w:ascii="Times New Roman" w:hAnsi="Times New Roman" w:cs="Times New Roman"/>
          <w:sz w:val="24"/>
          <w:szCs w:val="24"/>
        </w:rPr>
        <w:t xml:space="preserve"> billion in earned premium in 201</w:t>
      </w:r>
      <w:r w:rsidR="00C07FE0">
        <w:rPr>
          <w:rFonts w:ascii="Times New Roman" w:hAnsi="Times New Roman" w:cs="Times New Roman"/>
          <w:sz w:val="24"/>
          <w:szCs w:val="24"/>
        </w:rPr>
        <w:t>8</w:t>
      </w:r>
      <w:r w:rsidR="00EA58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F12AE" w14:textId="77777777" w:rsidR="00C53D5A" w:rsidRDefault="00C53D5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C65D0" w14:textId="309EF796" w:rsidR="00F929A0" w:rsidRDefault="00FD45F5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Fifteen </w:t>
      </w:r>
      <w:r w:rsidR="00F929A0">
        <w:rPr>
          <w:rFonts w:ascii="Times New Roman" w:hAnsi="Times New Roman" w:cs="Times New Roman"/>
          <w:sz w:val="24"/>
          <w:szCs w:val="24"/>
        </w:rPr>
        <w:t xml:space="preserve">companies wrote over $10 million </w:t>
      </w:r>
      <w:r w:rsidR="00EA5804">
        <w:rPr>
          <w:rFonts w:ascii="Times New Roman" w:hAnsi="Times New Roman" w:cs="Times New Roman"/>
          <w:sz w:val="24"/>
          <w:szCs w:val="24"/>
        </w:rPr>
        <w:t>in private flood insurance in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04D4D">
        <w:rPr>
          <w:rFonts w:ascii="Times New Roman" w:hAnsi="Times New Roman" w:cs="Times New Roman"/>
          <w:sz w:val="24"/>
          <w:szCs w:val="24"/>
        </w:rPr>
        <w:t xml:space="preserve">, up from </w:t>
      </w:r>
      <w:r w:rsidR="00434C08">
        <w:rPr>
          <w:rFonts w:ascii="Times New Roman" w:hAnsi="Times New Roman" w:cs="Times New Roman"/>
          <w:sz w:val="24"/>
          <w:szCs w:val="24"/>
        </w:rPr>
        <w:t>1</w:t>
      </w:r>
      <w:r w:rsidR="00C07FE0">
        <w:rPr>
          <w:rFonts w:ascii="Times New Roman" w:hAnsi="Times New Roman" w:cs="Times New Roman"/>
          <w:sz w:val="24"/>
          <w:szCs w:val="24"/>
        </w:rPr>
        <w:t>3</w:t>
      </w:r>
      <w:r w:rsidR="00C04D4D">
        <w:rPr>
          <w:rFonts w:ascii="Times New Roman" w:hAnsi="Times New Roman" w:cs="Times New Roman"/>
          <w:sz w:val="24"/>
          <w:szCs w:val="24"/>
        </w:rPr>
        <w:t xml:space="preserve"> 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04D4D">
        <w:rPr>
          <w:rFonts w:ascii="Times New Roman" w:hAnsi="Times New Roman" w:cs="Times New Roman"/>
          <w:sz w:val="24"/>
          <w:szCs w:val="24"/>
        </w:rPr>
        <w:t>,</w:t>
      </w:r>
      <w:r w:rsidR="00EA5804">
        <w:rPr>
          <w:rFonts w:ascii="Times New Roman" w:hAnsi="Times New Roman" w:cs="Times New Roman"/>
          <w:sz w:val="24"/>
          <w:szCs w:val="24"/>
        </w:rPr>
        <w:t xml:space="preserve"> </w:t>
      </w:r>
      <w:r w:rsidR="00F929A0">
        <w:rPr>
          <w:rFonts w:ascii="Times New Roman" w:hAnsi="Times New Roman" w:cs="Times New Roman"/>
          <w:sz w:val="24"/>
          <w:szCs w:val="24"/>
        </w:rPr>
        <w:t xml:space="preserve">while </w:t>
      </w:r>
      <w:r w:rsidR="00434C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29A0">
        <w:rPr>
          <w:rFonts w:ascii="Times New Roman" w:hAnsi="Times New Roman" w:cs="Times New Roman"/>
          <w:sz w:val="24"/>
          <w:szCs w:val="24"/>
        </w:rPr>
        <w:t xml:space="preserve"> companies wrote at least $1 million</w:t>
      </w:r>
      <w:r w:rsidR="00EF4E64">
        <w:rPr>
          <w:rFonts w:ascii="Times New Roman" w:hAnsi="Times New Roman" w:cs="Times New Roman"/>
          <w:sz w:val="24"/>
          <w:szCs w:val="24"/>
        </w:rPr>
        <w:t xml:space="preserve"> in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04D4D">
        <w:rPr>
          <w:rFonts w:ascii="Times New Roman" w:hAnsi="Times New Roman" w:cs="Times New Roman"/>
          <w:sz w:val="24"/>
          <w:szCs w:val="24"/>
        </w:rPr>
        <w:t xml:space="preserve">, up from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04D4D">
        <w:rPr>
          <w:rFonts w:ascii="Times New Roman" w:hAnsi="Times New Roman" w:cs="Times New Roman"/>
          <w:sz w:val="24"/>
          <w:szCs w:val="24"/>
        </w:rPr>
        <w:t xml:space="preserve"> 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929A0">
        <w:rPr>
          <w:rFonts w:ascii="Times New Roman" w:hAnsi="Times New Roman" w:cs="Times New Roman"/>
          <w:sz w:val="24"/>
          <w:szCs w:val="24"/>
        </w:rPr>
        <w:t xml:space="preserve">. </w:t>
      </w:r>
      <w:r w:rsidR="00F929A0" w:rsidRPr="0022128D">
        <w:rPr>
          <w:rFonts w:ascii="Times New Roman" w:hAnsi="Times New Roman" w:cs="Times New Roman"/>
          <w:sz w:val="24"/>
          <w:szCs w:val="24"/>
        </w:rPr>
        <w:t xml:space="preserve">The top </w:t>
      </w:r>
      <w:r w:rsidR="00EA3481" w:rsidRPr="0022128D">
        <w:rPr>
          <w:rFonts w:ascii="Times New Roman" w:hAnsi="Times New Roman" w:cs="Times New Roman"/>
          <w:sz w:val="24"/>
          <w:szCs w:val="24"/>
        </w:rPr>
        <w:t xml:space="preserve">individual company </w:t>
      </w:r>
      <w:r w:rsidR="00F929A0" w:rsidRPr="0022128D">
        <w:rPr>
          <w:rFonts w:ascii="Times New Roman" w:hAnsi="Times New Roman" w:cs="Times New Roman"/>
          <w:sz w:val="24"/>
          <w:szCs w:val="24"/>
        </w:rPr>
        <w:t>wrote</w:t>
      </w:r>
      <w:r w:rsidR="00434C08" w:rsidRPr="0022128D">
        <w:rPr>
          <w:rFonts w:ascii="Times New Roman" w:hAnsi="Times New Roman" w:cs="Times New Roman"/>
          <w:sz w:val="24"/>
          <w:szCs w:val="24"/>
        </w:rPr>
        <w:t xml:space="preserve"> </w:t>
      </w:r>
      <w:r w:rsidRPr="0022128D">
        <w:rPr>
          <w:rFonts w:ascii="Times New Roman" w:hAnsi="Times New Roman" w:cs="Times New Roman"/>
          <w:sz w:val="24"/>
          <w:szCs w:val="24"/>
        </w:rPr>
        <w:t>13</w:t>
      </w:r>
      <w:r w:rsidR="00434C08" w:rsidRPr="0022128D">
        <w:rPr>
          <w:rFonts w:ascii="Times New Roman" w:hAnsi="Times New Roman" w:cs="Times New Roman"/>
          <w:sz w:val="24"/>
          <w:szCs w:val="24"/>
        </w:rPr>
        <w:t>%</w:t>
      </w:r>
      <w:r w:rsidR="00F929A0" w:rsidRPr="0022128D">
        <w:rPr>
          <w:rFonts w:ascii="Times New Roman" w:hAnsi="Times New Roman" w:cs="Times New Roman"/>
          <w:sz w:val="24"/>
          <w:szCs w:val="24"/>
        </w:rPr>
        <w:t xml:space="preserve"> of all business</w:t>
      </w:r>
      <w:r w:rsidR="00C04D4D" w:rsidRPr="0022128D">
        <w:rPr>
          <w:rFonts w:ascii="Times New Roman" w:hAnsi="Times New Roman" w:cs="Times New Roman"/>
          <w:sz w:val="24"/>
          <w:szCs w:val="24"/>
        </w:rPr>
        <w:t xml:space="preserve">, </w:t>
      </w:r>
      <w:r w:rsidR="005055EF" w:rsidRPr="0022128D">
        <w:rPr>
          <w:rFonts w:ascii="Times New Roman" w:hAnsi="Times New Roman" w:cs="Times New Roman"/>
          <w:sz w:val="24"/>
          <w:szCs w:val="24"/>
        </w:rPr>
        <w:t>down from 16% in 2018</w:t>
      </w:r>
      <w:r w:rsidR="00F929A0" w:rsidRPr="0022128D">
        <w:rPr>
          <w:rFonts w:ascii="Times New Roman" w:hAnsi="Times New Roman" w:cs="Times New Roman"/>
          <w:sz w:val="24"/>
          <w:szCs w:val="24"/>
        </w:rPr>
        <w:t xml:space="preserve">. The top ten </w:t>
      </w:r>
      <w:r w:rsidR="00E75772" w:rsidRPr="0022128D">
        <w:rPr>
          <w:rFonts w:ascii="Times New Roman" w:hAnsi="Times New Roman" w:cs="Times New Roman"/>
          <w:sz w:val="24"/>
          <w:szCs w:val="24"/>
        </w:rPr>
        <w:t xml:space="preserve">insurers </w:t>
      </w:r>
      <w:r w:rsidR="00F929A0" w:rsidRPr="0022128D">
        <w:rPr>
          <w:rFonts w:ascii="Times New Roman" w:hAnsi="Times New Roman" w:cs="Times New Roman"/>
          <w:sz w:val="24"/>
          <w:szCs w:val="24"/>
        </w:rPr>
        <w:t xml:space="preserve">wrote over </w:t>
      </w:r>
      <w:r w:rsidRPr="0022128D">
        <w:rPr>
          <w:rFonts w:ascii="Times New Roman" w:hAnsi="Times New Roman" w:cs="Times New Roman"/>
          <w:sz w:val="24"/>
          <w:szCs w:val="24"/>
        </w:rPr>
        <w:t>64</w:t>
      </w:r>
      <w:r w:rsidR="00F929A0" w:rsidRPr="0022128D">
        <w:rPr>
          <w:rFonts w:ascii="Times New Roman" w:hAnsi="Times New Roman" w:cs="Times New Roman"/>
          <w:sz w:val="24"/>
          <w:szCs w:val="24"/>
        </w:rPr>
        <w:t>% of all business</w:t>
      </w:r>
      <w:r w:rsidR="00EF4E64" w:rsidRPr="0022128D">
        <w:rPr>
          <w:rFonts w:ascii="Times New Roman" w:hAnsi="Times New Roman" w:cs="Times New Roman"/>
          <w:sz w:val="24"/>
          <w:szCs w:val="24"/>
        </w:rPr>
        <w:t xml:space="preserve"> in 201</w:t>
      </w:r>
      <w:r w:rsidRPr="0022128D">
        <w:rPr>
          <w:rFonts w:ascii="Times New Roman" w:hAnsi="Times New Roman" w:cs="Times New Roman"/>
          <w:sz w:val="24"/>
          <w:szCs w:val="24"/>
        </w:rPr>
        <w:t>9</w:t>
      </w:r>
      <w:r w:rsidR="00434C08" w:rsidRPr="0022128D">
        <w:rPr>
          <w:rFonts w:ascii="Times New Roman" w:hAnsi="Times New Roman" w:cs="Times New Roman"/>
          <w:sz w:val="24"/>
          <w:szCs w:val="24"/>
        </w:rPr>
        <w:t xml:space="preserve">, slightly </w:t>
      </w:r>
      <w:r w:rsidR="00F16363" w:rsidRPr="0022128D">
        <w:rPr>
          <w:rFonts w:ascii="Times New Roman" w:hAnsi="Times New Roman" w:cs="Times New Roman"/>
          <w:sz w:val="24"/>
          <w:szCs w:val="24"/>
        </w:rPr>
        <w:t>less</w:t>
      </w:r>
      <w:r w:rsidR="00434C08" w:rsidRPr="0022128D">
        <w:rPr>
          <w:rFonts w:ascii="Times New Roman" w:hAnsi="Times New Roman" w:cs="Times New Roman"/>
          <w:sz w:val="24"/>
          <w:szCs w:val="24"/>
        </w:rPr>
        <w:t xml:space="preserve"> than </w:t>
      </w:r>
      <w:r w:rsidR="00E34AEF" w:rsidRPr="0022128D">
        <w:rPr>
          <w:rFonts w:ascii="Times New Roman" w:hAnsi="Times New Roman" w:cs="Times New Roman"/>
          <w:sz w:val="24"/>
          <w:szCs w:val="24"/>
        </w:rPr>
        <w:t xml:space="preserve">in </w:t>
      </w:r>
      <w:r w:rsidR="00434C08" w:rsidRPr="0022128D">
        <w:rPr>
          <w:rFonts w:ascii="Times New Roman" w:hAnsi="Times New Roman" w:cs="Times New Roman"/>
          <w:sz w:val="24"/>
          <w:szCs w:val="24"/>
        </w:rPr>
        <w:t>201</w:t>
      </w:r>
      <w:r w:rsidRPr="0022128D">
        <w:rPr>
          <w:rFonts w:ascii="Times New Roman" w:hAnsi="Times New Roman" w:cs="Times New Roman"/>
          <w:sz w:val="24"/>
          <w:szCs w:val="24"/>
        </w:rPr>
        <w:t>8</w:t>
      </w:r>
      <w:r w:rsidR="00F929A0" w:rsidRPr="0022128D">
        <w:rPr>
          <w:rFonts w:ascii="Times New Roman" w:hAnsi="Times New Roman" w:cs="Times New Roman"/>
          <w:sz w:val="24"/>
          <w:szCs w:val="24"/>
        </w:rPr>
        <w:t>.</w:t>
      </w:r>
      <w:r w:rsidR="00F92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ADD23" w14:textId="77777777" w:rsidR="00C53D5A" w:rsidRDefault="00C53D5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27C3A" w14:textId="279BDEA4" w:rsidR="00F929A0" w:rsidRDefault="00F929A0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AC8">
        <w:rPr>
          <w:rFonts w:ascii="Times New Roman" w:hAnsi="Times New Roman" w:cs="Times New Roman"/>
          <w:sz w:val="24"/>
          <w:szCs w:val="24"/>
        </w:rPr>
        <w:t xml:space="preserve">The national pure loss ratio </w:t>
      </w:r>
      <w:r w:rsidR="00C53D5A" w:rsidRPr="003A5AC8">
        <w:rPr>
          <w:rFonts w:ascii="Times New Roman" w:hAnsi="Times New Roman" w:cs="Times New Roman"/>
          <w:sz w:val="24"/>
          <w:szCs w:val="24"/>
        </w:rPr>
        <w:t xml:space="preserve">(direct loss incurred/direct premium earned) </w:t>
      </w:r>
      <w:r w:rsidRPr="003A5AC8">
        <w:rPr>
          <w:rFonts w:ascii="Times New Roman" w:hAnsi="Times New Roman" w:cs="Times New Roman"/>
          <w:sz w:val="24"/>
          <w:szCs w:val="24"/>
        </w:rPr>
        <w:t xml:space="preserve">was </w:t>
      </w:r>
      <w:r w:rsidR="009B561C">
        <w:rPr>
          <w:rFonts w:ascii="Times New Roman" w:hAnsi="Times New Roman" w:cs="Times New Roman"/>
          <w:sz w:val="24"/>
          <w:szCs w:val="24"/>
        </w:rPr>
        <w:t>28</w:t>
      </w:r>
      <w:r w:rsidR="00434C08">
        <w:rPr>
          <w:rFonts w:ascii="Times New Roman" w:hAnsi="Times New Roman" w:cs="Times New Roman"/>
          <w:sz w:val="24"/>
          <w:szCs w:val="24"/>
        </w:rPr>
        <w:t>% in 201</w:t>
      </w:r>
      <w:r w:rsidR="009B561C">
        <w:rPr>
          <w:rFonts w:ascii="Times New Roman" w:hAnsi="Times New Roman" w:cs="Times New Roman"/>
          <w:sz w:val="24"/>
          <w:szCs w:val="24"/>
        </w:rPr>
        <w:t>9</w:t>
      </w:r>
      <w:r w:rsidR="00434C08">
        <w:rPr>
          <w:rFonts w:ascii="Times New Roman" w:hAnsi="Times New Roman" w:cs="Times New Roman"/>
          <w:sz w:val="24"/>
          <w:szCs w:val="24"/>
        </w:rPr>
        <w:t xml:space="preserve">, compared to </w:t>
      </w:r>
      <w:r w:rsidR="009B561C">
        <w:rPr>
          <w:rFonts w:ascii="Times New Roman" w:hAnsi="Times New Roman" w:cs="Times New Roman"/>
          <w:sz w:val="24"/>
          <w:szCs w:val="24"/>
        </w:rPr>
        <w:t>35</w:t>
      </w:r>
      <w:r w:rsidRPr="003A5AC8">
        <w:rPr>
          <w:rFonts w:ascii="Times New Roman" w:hAnsi="Times New Roman" w:cs="Times New Roman"/>
          <w:sz w:val="24"/>
          <w:szCs w:val="24"/>
        </w:rPr>
        <w:t>%</w:t>
      </w:r>
      <w:r w:rsidR="00434C08">
        <w:rPr>
          <w:rFonts w:ascii="Times New Roman" w:hAnsi="Times New Roman" w:cs="Times New Roman"/>
          <w:sz w:val="24"/>
          <w:szCs w:val="24"/>
        </w:rPr>
        <w:t xml:space="preserve"> in 201</w:t>
      </w:r>
      <w:r w:rsidR="009B561C">
        <w:rPr>
          <w:rFonts w:ascii="Times New Roman" w:hAnsi="Times New Roman" w:cs="Times New Roman"/>
          <w:sz w:val="24"/>
          <w:szCs w:val="24"/>
        </w:rPr>
        <w:t>8</w:t>
      </w:r>
      <w:r w:rsidRPr="003A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State loss ratios ranged from less than 1% to over </w:t>
      </w:r>
      <w:r w:rsidR="009B561C">
        <w:rPr>
          <w:rFonts w:ascii="Times New Roman" w:hAnsi="Times New Roman" w:cs="Times New Roman"/>
          <w:sz w:val="24"/>
          <w:szCs w:val="24"/>
        </w:rPr>
        <w:t>500</w:t>
      </w:r>
      <w:r w:rsidR="00434C0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The largest loss ratios were in </w:t>
      </w:r>
      <w:r w:rsidR="00403E6D">
        <w:rPr>
          <w:rFonts w:ascii="Times New Roman" w:hAnsi="Times New Roman" w:cs="Times New Roman"/>
          <w:sz w:val="24"/>
          <w:szCs w:val="24"/>
        </w:rPr>
        <w:t>jurisdictions</w:t>
      </w:r>
      <w:r>
        <w:rPr>
          <w:rFonts w:ascii="Times New Roman" w:hAnsi="Times New Roman" w:cs="Times New Roman"/>
          <w:sz w:val="24"/>
          <w:szCs w:val="24"/>
        </w:rPr>
        <w:t xml:space="preserve"> that experienced large floods in 201</w:t>
      </w:r>
      <w:r w:rsidR="009B56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4C08">
        <w:rPr>
          <w:rFonts w:ascii="Times New Roman" w:hAnsi="Times New Roman" w:cs="Times New Roman"/>
          <w:sz w:val="24"/>
          <w:szCs w:val="24"/>
        </w:rPr>
        <w:t xml:space="preserve"> </w:t>
      </w:r>
      <w:r w:rsidR="009B561C">
        <w:rPr>
          <w:rFonts w:ascii="Times New Roman" w:hAnsi="Times New Roman" w:cs="Times New Roman"/>
          <w:sz w:val="24"/>
          <w:szCs w:val="24"/>
        </w:rPr>
        <w:t xml:space="preserve">Nebraska, Missouri, Oklahoma, Wisconsin, and Iowa. </w:t>
      </w:r>
      <w:r w:rsidR="003A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392A6" w14:textId="77777777" w:rsidR="00403E6D" w:rsidRDefault="00403E6D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E4DD4" w14:textId="21B901BC" w:rsidR="00CE51DD" w:rsidRDefault="00E34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Private Flood Insurance</w:t>
      </w:r>
      <w:r w:rsidR="00CE51D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Premium Written</w:t>
      </w:r>
      <w:r w:rsidR="00CE51DD">
        <w:rPr>
          <w:rFonts w:ascii="Times New Roman" w:hAnsi="Times New Roman" w:cs="Times New Roman"/>
          <w:b/>
          <w:sz w:val="24"/>
          <w:szCs w:val="24"/>
        </w:rPr>
        <w:t xml:space="preserve"> 2016-201</w:t>
      </w:r>
      <w:r w:rsidR="00C07FE0">
        <w:rPr>
          <w:rFonts w:ascii="Times New Roman" w:hAnsi="Times New Roman" w:cs="Times New Roman"/>
          <w:b/>
          <w:sz w:val="24"/>
          <w:szCs w:val="24"/>
        </w:rPr>
        <w:t>9</w:t>
      </w:r>
    </w:p>
    <w:p w14:paraId="38101BB6" w14:textId="285C4DEA" w:rsidR="00B36D1A" w:rsidRDefault="00B36D1A" w:rsidP="00CE51D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825D5AF" w14:textId="5E8385F2" w:rsidR="00B36D1A" w:rsidRDefault="00B36D1A" w:rsidP="00CE51D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445"/>
        <w:gridCol w:w="1445"/>
        <w:gridCol w:w="1445"/>
        <w:gridCol w:w="1502"/>
        <w:gridCol w:w="1669"/>
        <w:gridCol w:w="1688"/>
      </w:tblGrid>
      <w:tr w:rsidR="000303CB" w:rsidRPr="00B36D1A" w14:paraId="4C869804" w14:textId="77777777" w:rsidTr="0022128D">
        <w:trPr>
          <w:trHeight w:val="1350"/>
        </w:trPr>
        <w:tc>
          <w:tcPr>
            <w:tcW w:w="749" w:type="dxa"/>
            <w:noWrap/>
            <w:hideMark/>
          </w:tcPr>
          <w:p w14:paraId="2F2BDFB3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State</w:t>
            </w:r>
          </w:p>
        </w:tc>
        <w:tc>
          <w:tcPr>
            <w:tcW w:w="1429" w:type="dxa"/>
            <w:hideMark/>
          </w:tcPr>
          <w:p w14:paraId="4131B15D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Direct Premium Written 2019 </w:t>
            </w:r>
          </w:p>
        </w:tc>
        <w:tc>
          <w:tcPr>
            <w:tcW w:w="1429" w:type="dxa"/>
            <w:hideMark/>
          </w:tcPr>
          <w:p w14:paraId="2A6E26BC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Direct Premium Written 2018 </w:t>
            </w:r>
          </w:p>
        </w:tc>
        <w:tc>
          <w:tcPr>
            <w:tcW w:w="1429" w:type="dxa"/>
            <w:hideMark/>
          </w:tcPr>
          <w:p w14:paraId="5ED0CDFD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Direct Premium Written 2017 </w:t>
            </w:r>
          </w:p>
        </w:tc>
        <w:tc>
          <w:tcPr>
            <w:tcW w:w="1502" w:type="dxa"/>
            <w:hideMark/>
          </w:tcPr>
          <w:p w14:paraId="0B7B5EFF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Direct Premium Written 2016 </w:t>
            </w:r>
          </w:p>
        </w:tc>
        <w:tc>
          <w:tcPr>
            <w:tcW w:w="1669" w:type="dxa"/>
            <w:hideMark/>
          </w:tcPr>
          <w:p w14:paraId="16F80853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Percent Change Premium Written 2018 to 2019 </w:t>
            </w:r>
          </w:p>
        </w:tc>
        <w:tc>
          <w:tcPr>
            <w:tcW w:w="1688" w:type="dxa"/>
            <w:hideMark/>
          </w:tcPr>
          <w:p w14:paraId="446407A8" w14:textId="77777777" w:rsidR="00B36D1A" w:rsidRPr="00B36D1A" w:rsidRDefault="00B36D1A" w:rsidP="00B36D1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 xml:space="preserve"> Percent Change Premium 2016 to 2019 </w:t>
            </w:r>
          </w:p>
        </w:tc>
      </w:tr>
      <w:tr w:rsidR="000303CB" w:rsidRPr="00B36D1A" w14:paraId="1F0C24F7" w14:textId="77777777" w:rsidTr="0022128D">
        <w:trPr>
          <w:trHeight w:val="350"/>
        </w:trPr>
        <w:tc>
          <w:tcPr>
            <w:tcW w:w="749" w:type="dxa"/>
            <w:noWrap/>
            <w:hideMark/>
          </w:tcPr>
          <w:p w14:paraId="62829F14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AK</w:t>
            </w:r>
          </w:p>
        </w:tc>
        <w:tc>
          <w:tcPr>
            <w:tcW w:w="1429" w:type="dxa"/>
            <w:noWrap/>
            <w:vAlign w:val="bottom"/>
            <w:hideMark/>
          </w:tcPr>
          <w:p w14:paraId="481DA2FF" w14:textId="2DD6AAF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$733,694</w:t>
            </w:r>
          </w:p>
        </w:tc>
        <w:tc>
          <w:tcPr>
            <w:tcW w:w="1429" w:type="dxa"/>
            <w:noWrap/>
            <w:vAlign w:val="bottom"/>
            <w:hideMark/>
          </w:tcPr>
          <w:p w14:paraId="3402FD95" w14:textId="1F69D52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$456,165</w:t>
            </w:r>
          </w:p>
        </w:tc>
        <w:tc>
          <w:tcPr>
            <w:tcW w:w="1429" w:type="dxa"/>
            <w:noWrap/>
            <w:vAlign w:val="bottom"/>
            <w:hideMark/>
          </w:tcPr>
          <w:p w14:paraId="71C71B03" w14:textId="3A22B93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$710,592</w:t>
            </w:r>
          </w:p>
        </w:tc>
        <w:tc>
          <w:tcPr>
            <w:tcW w:w="1502" w:type="dxa"/>
            <w:noWrap/>
            <w:vAlign w:val="bottom"/>
            <w:hideMark/>
          </w:tcPr>
          <w:p w14:paraId="7E6432C7" w14:textId="6129605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$363,020</w:t>
            </w:r>
          </w:p>
        </w:tc>
        <w:tc>
          <w:tcPr>
            <w:tcW w:w="1669" w:type="dxa"/>
            <w:noWrap/>
            <w:vAlign w:val="bottom"/>
            <w:hideMark/>
          </w:tcPr>
          <w:p w14:paraId="64FD03B0" w14:textId="0B616A6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61%</w:t>
            </w:r>
          </w:p>
        </w:tc>
        <w:tc>
          <w:tcPr>
            <w:tcW w:w="1688" w:type="dxa"/>
            <w:noWrap/>
            <w:vAlign w:val="bottom"/>
            <w:hideMark/>
          </w:tcPr>
          <w:p w14:paraId="59835978" w14:textId="333CD7B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102%</w:t>
            </w:r>
          </w:p>
        </w:tc>
      </w:tr>
      <w:tr w:rsidR="000303CB" w:rsidRPr="00B36D1A" w14:paraId="77989510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FF2DF70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AL</w:t>
            </w:r>
          </w:p>
        </w:tc>
        <w:tc>
          <w:tcPr>
            <w:tcW w:w="1429" w:type="dxa"/>
            <w:noWrap/>
            <w:vAlign w:val="bottom"/>
            <w:hideMark/>
          </w:tcPr>
          <w:p w14:paraId="13729F03" w14:textId="402CC54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$6,175,422</w:t>
            </w:r>
          </w:p>
        </w:tc>
        <w:tc>
          <w:tcPr>
            <w:tcW w:w="1429" w:type="dxa"/>
            <w:noWrap/>
            <w:vAlign w:val="bottom"/>
            <w:hideMark/>
          </w:tcPr>
          <w:p w14:paraId="2F4AE8F8" w14:textId="1098EBF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$4,204,498</w:t>
            </w:r>
          </w:p>
        </w:tc>
        <w:tc>
          <w:tcPr>
            <w:tcW w:w="1429" w:type="dxa"/>
            <w:noWrap/>
            <w:vAlign w:val="bottom"/>
            <w:hideMark/>
          </w:tcPr>
          <w:p w14:paraId="67D83261" w14:textId="55A04A6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$4,097,525</w:t>
            </w:r>
          </w:p>
        </w:tc>
        <w:tc>
          <w:tcPr>
            <w:tcW w:w="1502" w:type="dxa"/>
            <w:noWrap/>
            <w:vAlign w:val="bottom"/>
            <w:hideMark/>
          </w:tcPr>
          <w:p w14:paraId="6C11AD98" w14:textId="015320B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$2,072,373</w:t>
            </w:r>
          </w:p>
        </w:tc>
        <w:tc>
          <w:tcPr>
            <w:tcW w:w="1669" w:type="dxa"/>
            <w:noWrap/>
            <w:vAlign w:val="bottom"/>
            <w:hideMark/>
          </w:tcPr>
          <w:p w14:paraId="7D3D91CE" w14:textId="6D1A06E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47%</w:t>
            </w:r>
          </w:p>
        </w:tc>
        <w:tc>
          <w:tcPr>
            <w:tcW w:w="1688" w:type="dxa"/>
            <w:noWrap/>
            <w:vAlign w:val="bottom"/>
            <w:hideMark/>
          </w:tcPr>
          <w:p w14:paraId="3E0F9A20" w14:textId="1A86EB1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198%</w:t>
            </w:r>
          </w:p>
        </w:tc>
      </w:tr>
      <w:tr w:rsidR="000303CB" w:rsidRPr="00B36D1A" w14:paraId="6DFBE3C7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39B860B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AR</w:t>
            </w:r>
          </w:p>
        </w:tc>
        <w:tc>
          <w:tcPr>
            <w:tcW w:w="1429" w:type="dxa"/>
            <w:noWrap/>
            <w:vAlign w:val="bottom"/>
            <w:hideMark/>
          </w:tcPr>
          <w:p w14:paraId="707217F4" w14:textId="44F682D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$3,161,373</w:t>
            </w:r>
          </w:p>
        </w:tc>
        <w:tc>
          <w:tcPr>
            <w:tcW w:w="1429" w:type="dxa"/>
            <w:noWrap/>
            <w:vAlign w:val="bottom"/>
            <w:hideMark/>
          </w:tcPr>
          <w:p w14:paraId="640DE22D" w14:textId="40063AA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$1,851,158</w:t>
            </w:r>
          </w:p>
        </w:tc>
        <w:tc>
          <w:tcPr>
            <w:tcW w:w="1429" w:type="dxa"/>
            <w:noWrap/>
            <w:vAlign w:val="bottom"/>
            <w:hideMark/>
          </w:tcPr>
          <w:p w14:paraId="03AABFFA" w14:textId="4A04527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$1,827,542</w:t>
            </w:r>
          </w:p>
        </w:tc>
        <w:tc>
          <w:tcPr>
            <w:tcW w:w="1502" w:type="dxa"/>
            <w:noWrap/>
            <w:vAlign w:val="bottom"/>
            <w:hideMark/>
          </w:tcPr>
          <w:p w14:paraId="48939550" w14:textId="22DC4B2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$669,848</w:t>
            </w:r>
          </w:p>
        </w:tc>
        <w:tc>
          <w:tcPr>
            <w:tcW w:w="1669" w:type="dxa"/>
            <w:noWrap/>
            <w:vAlign w:val="bottom"/>
            <w:hideMark/>
          </w:tcPr>
          <w:p w14:paraId="60D40071" w14:textId="783B687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71%</w:t>
            </w:r>
          </w:p>
        </w:tc>
        <w:tc>
          <w:tcPr>
            <w:tcW w:w="1688" w:type="dxa"/>
            <w:noWrap/>
            <w:vAlign w:val="bottom"/>
            <w:hideMark/>
          </w:tcPr>
          <w:p w14:paraId="4021DBD9" w14:textId="1A24570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372%</w:t>
            </w:r>
          </w:p>
        </w:tc>
      </w:tr>
      <w:tr w:rsidR="000303CB" w:rsidRPr="00B36D1A" w14:paraId="41FDD1B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735E4239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AS</w:t>
            </w:r>
          </w:p>
        </w:tc>
        <w:tc>
          <w:tcPr>
            <w:tcW w:w="1429" w:type="dxa"/>
            <w:noWrap/>
            <w:vAlign w:val="bottom"/>
            <w:hideMark/>
          </w:tcPr>
          <w:p w14:paraId="021F8B82" w14:textId="7F2B9CA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$409</w:t>
            </w:r>
          </w:p>
        </w:tc>
        <w:tc>
          <w:tcPr>
            <w:tcW w:w="1429" w:type="dxa"/>
            <w:noWrap/>
            <w:vAlign w:val="bottom"/>
            <w:hideMark/>
          </w:tcPr>
          <w:p w14:paraId="0F37A504" w14:textId="4725AF3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429" w:type="dxa"/>
            <w:noWrap/>
            <w:vAlign w:val="bottom"/>
            <w:hideMark/>
          </w:tcPr>
          <w:p w14:paraId="64C23311" w14:textId="0BBF0D2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D544A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502" w:type="dxa"/>
            <w:noWrap/>
            <w:vAlign w:val="bottom"/>
            <w:hideMark/>
          </w:tcPr>
          <w:p w14:paraId="092DEEE4" w14:textId="3B691C1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D544A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669" w:type="dxa"/>
            <w:noWrap/>
            <w:vAlign w:val="bottom"/>
          </w:tcPr>
          <w:p w14:paraId="423260E4" w14:textId="751D61A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88" w:type="dxa"/>
            <w:noWrap/>
            <w:vAlign w:val="bottom"/>
          </w:tcPr>
          <w:p w14:paraId="21BBF049" w14:textId="7C8E2B3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303CB" w:rsidRPr="00B36D1A" w14:paraId="535051D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1647330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AZ</w:t>
            </w:r>
          </w:p>
        </w:tc>
        <w:tc>
          <w:tcPr>
            <w:tcW w:w="1429" w:type="dxa"/>
            <w:noWrap/>
            <w:vAlign w:val="bottom"/>
            <w:hideMark/>
          </w:tcPr>
          <w:p w14:paraId="45A3DA5E" w14:textId="4EDF31C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$8,944,398</w:t>
            </w:r>
          </w:p>
        </w:tc>
        <w:tc>
          <w:tcPr>
            <w:tcW w:w="1429" w:type="dxa"/>
            <w:noWrap/>
            <w:vAlign w:val="bottom"/>
            <w:hideMark/>
          </w:tcPr>
          <w:p w14:paraId="39FD3180" w14:textId="63856E4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$8,058,005</w:t>
            </w:r>
          </w:p>
        </w:tc>
        <w:tc>
          <w:tcPr>
            <w:tcW w:w="1429" w:type="dxa"/>
            <w:noWrap/>
            <w:vAlign w:val="bottom"/>
            <w:hideMark/>
          </w:tcPr>
          <w:p w14:paraId="4160BDD0" w14:textId="10E411C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$6,311,582</w:t>
            </w:r>
          </w:p>
        </w:tc>
        <w:tc>
          <w:tcPr>
            <w:tcW w:w="1502" w:type="dxa"/>
            <w:noWrap/>
            <w:vAlign w:val="bottom"/>
            <w:hideMark/>
          </w:tcPr>
          <w:p w14:paraId="375EA4E3" w14:textId="188AC86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$2,440,120</w:t>
            </w:r>
          </w:p>
        </w:tc>
        <w:tc>
          <w:tcPr>
            <w:tcW w:w="1669" w:type="dxa"/>
            <w:noWrap/>
            <w:vAlign w:val="bottom"/>
            <w:hideMark/>
          </w:tcPr>
          <w:p w14:paraId="44E86784" w14:textId="1F37BBD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11%</w:t>
            </w:r>
          </w:p>
        </w:tc>
        <w:tc>
          <w:tcPr>
            <w:tcW w:w="1688" w:type="dxa"/>
            <w:noWrap/>
            <w:vAlign w:val="bottom"/>
            <w:hideMark/>
          </w:tcPr>
          <w:p w14:paraId="22D7FEA2" w14:textId="382EE4F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267%</w:t>
            </w:r>
          </w:p>
        </w:tc>
      </w:tr>
      <w:tr w:rsidR="000303CB" w:rsidRPr="00B36D1A" w14:paraId="6529D4AE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B6149ED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CA</w:t>
            </w:r>
          </w:p>
        </w:tc>
        <w:tc>
          <w:tcPr>
            <w:tcW w:w="1429" w:type="dxa"/>
            <w:noWrap/>
            <w:vAlign w:val="bottom"/>
            <w:hideMark/>
          </w:tcPr>
          <w:p w14:paraId="6E5DDD3D" w14:textId="7A122C0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$59,230,476</w:t>
            </w:r>
          </w:p>
        </w:tc>
        <w:tc>
          <w:tcPr>
            <w:tcW w:w="1429" w:type="dxa"/>
            <w:noWrap/>
            <w:vAlign w:val="bottom"/>
            <w:hideMark/>
          </w:tcPr>
          <w:p w14:paraId="21FD6CB1" w14:textId="2630A62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$48,716,733</w:t>
            </w:r>
          </w:p>
        </w:tc>
        <w:tc>
          <w:tcPr>
            <w:tcW w:w="1429" w:type="dxa"/>
            <w:noWrap/>
            <w:vAlign w:val="bottom"/>
            <w:hideMark/>
          </w:tcPr>
          <w:p w14:paraId="123F7BC6" w14:textId="3363A95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$41,342,096</w:t>
            </w:r>
          </w:p>
        </w:tc>
        <w:tc>
          <w:tcPr>
            <w:tcW w:w="1502" w:type="dxa"/>
            <w:noWrap/>
            <w:vAlign w:val="bottom"/>
            <w:hideMark/>
          </w:tcPr>
          <w:p w14:paraId="287C1A9F" w14:textId="11647A2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$23,323,982</w:t>
            </w:r>
          </w:p>
        </w:tc>
        <w:tc>
          <w:tcPr>
            <w:tcW w:w="1669" w:type="dxa"/>
            <w:noWrap/>
            <w:vAlign w:val="bottom"/>
            <w:hideMark/>
          </w:tcPr>
          <w:p w14:paraId="3C160860" w14:textId="56ADD95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22%</w:t>
            </w:r>
          </w:p>
        </w:tc>
        <w:tc>
          <w:tcPr>
            <w:tcW w:w="1688" w:type="dxa"/>
            <w:noWrap/>
            <w:vAlign w:val="bottom"/>
            <w:hideMark/>
          </w:tcPr>
          <w:p w14:paraId="344C10B6" w14:textId="6677D5E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154%</w:t>
            </w:r>
          </w:p>
        </w:tc>
      </w:tr>
      <w:tr w:rsidR="000303CB" w:rsidRPr="00B36D1A" w14:paraId="62F7A718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0D10AC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CO</w:t>
            </w:r>
          </w:p>
        </w:tc>
        <w:tc>
          <w:tcPr>
            <w:tcW w:w="1429" w:type="dxa"/>
            <w:noWrap/>
            <w:vAlign w:val="bottom"/>
            <w:hideMark/>
          </w:tcPr>
          <w:p w14:paraId="3E964509" w14:textId="1E556C4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$8,256,012</w:t>
            </w:r>
          </w:p>
        </w:tc>
        <w:tc>
          <w:tcPr>
            <w:tcW w:w="1429" w:type="dxa"/>
            <w:noWrap/>
            <w:vAlign w:val="bottom"/>
            <w:hideMark/>
          </w:tcPr>
          <w:p w14:paraId="25E34995" w14:textId="4E27176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$4,655,145</w:t>
            </w:r>
          </w:p>
        </w:tc>
        <w:tc>
          <w:tcPr>
            <w:tcW w:w="1429" w:type="dxa"/>
            <w:noWrap/>
            <w:vAlign w:val="bottom"/>
            <w:hideMark/>
          </w:tcPr>
          <w:p w14:paraId="1B8A8E68" w14:textId="4CBA058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$4,302,480</w:t>
            </w:r>
          </w:p>
        </w:tc>
        <w:tc>
          <w:tcPr>
            <w:tcW w:w="1502" w:type="dxa"/>
            <w:noWrap/>
            <w:vAlign w:val="bottom"/>
            <w:hideMark/>
          </w:tcPr>
          <w:p w14:paraId="2D85E4E1" w14:textId="177261C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$2,246,160</w:t>
            </w:r>
          </w:p>
        </w:tc>
        <w:tc>
          <w:tcPr>
            <w:tcW w:w="1669" w:type="dxa"/>
            <w:noWrap/>
            <w:vAlign w:val="bottom"/>
            <w:hideMark/>
          </w:tcPr>
          <w:p w14:paraId="04AA4EF4" w14:textId="1A1E24C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77%</w:t>
            </w:r>
          </w:p>
        </w:tc>
        <w:tc>
          <w:tcPr>
            <w:tcW w:w="1688" w:type="dxa"/>
            <w:noWrap/>
            <w:vAlign w:val="bottom"/>
            <w:hideMark/>
          </w:tcPr>
          <w:p w14:paraId="14A3977F" w14:textId="1175A81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268%</w:t>
            </w:r>
          </w:p>
        </w:tc>
      </w:tr>
      <w:tr w:rsidR="000303CB" w:rsidRPr="00B36D1A" w14:paraId="623F70A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1D23A4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CT</w:t>
            </w:r>
          </w:p>
        </w:tc>
        <w:tc>
          <w:tcPr>
            <w:tcW w:w="1429" w:type="dxa"/>
            <w:noWrap/>
            <w:vAlign w:val="bottom"/>
            <w:hideMark/>
          </w:tcPr>
          <w:p w14:paraId="0911B718" w14:textId="69BDF38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$6,814,606</w:t>
            </w:r>
          </w:p>
        </w:tc>
        <w:tc>
          <w:tcPr>
            <w:tcW w:w="1429" w:type="dxa"/>
            <w:noWrap/>
            <w:vAlign w:val="bottom"/>
            <w:hideMark/>
          </w:tcPr>
          <w:p w14:paraId="07A9C147" w14:textId="3734BAA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$6,021,468</w:t>
            </w:r>
          </w:p>
        </w:tc>
        <w:tc>
          <w:tcPr>
            <w:tcW w:w="1429" w:type="dxa"/>
            <w:noWrap/>
            <w:vAlign w:val="bottom"/>
            <w:hideMark/>
          </w:tcPr>
          <w:p w14:paraId="1668850E" w14:textId="7CE9FB2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$5,240,603</w:t>
            </w:r>
          </w:p>
        </w:tc>
        <w:tc>
          <w:tcPr>
            <w:tcW w:w="1502" w:type="dxa"/>
            <w:noWrap/>
            <w:vAlign w:val="bottom"/>
            <w:hideMark/>
          </w:tcPr>
          <w:p w14:paraId="42C52FC5" w14:textId="3755CB0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$3,384,828</w:t>
            </w:r>
          </w:p>
        </w:tc>
        <w:tc>
          <w:tcPr>
            <w:tcW w:w="1669" w:type="dxa"/>
            <w:noWrap/>
            <w:vAlign w:val="bottom"/>
            <w:hideMark/>
          </w:tcPr>
          <w:p w14:paraId="21C66F8F" w14:textId="7159E7A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13%</w:t>
            </w:r>
          </w:p>
        </w:tc>
        <w:tc>
          <w:tcPr>
            <w:tcW w:w="1688" w:type="dxa"/>
            <w:noWrap/>
            <w:vAlign w:val="bottom"/>
            <w:hideMark/>
          </w:tcPr>
          <w:p w14:paraId="54B2965E" w14:textId="211939B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101%</w:t>
            </w:r>
          </w:p>
        </w:tc>
      </w:tr>
      <w:tr w:rsidR="000303CB" w:rsidRPr="00B36D1A" w14:paraId="09C1B943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6D2CFED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DC</w:t>
            </w:r>
          </w:p>
        </w:tc>
        <w:tc>
          <w:tcPr>
            <w:tcW w:w="1429" w:type="dxa"/>
            <w:noWrap/>
            <w:vAlign w:val="bottom"/>
            <w:hideMark/>
          </w:tcPr>
          <w:p w14:paraId="507F9595" w14:textId="5FC86DC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$1,440,768</w:t>
            </w:r>
          </w:p>
        </w:tc>
        <w:tc>
          <w:tcPr>
            <w:tcW w:w="1429" w:type="dxa"/>
            <w:noWrap/>
            <w:vAlign w:val="bottom"/>
            <w:hideMark/>
          </w:tcPr>
          <w:p w14:paraId="499A50D7" w14:textId="272984D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$1,143,596</w:t>
            </w:r>
          </w:p>
        </w:tc>
        <w:tc>
          <w:tcPr>
            <w:tcW w:w="1429" w:type="dxa"/>
            <w:noWrap/>
            <w:vAlign w:val="bottom"/>
            <w:hideMark/>
          </w:tcPr>
          <w:p w14:paraId="401C2E88" w14:textId="7EDA733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$1,241,085</w:t>
            </w:r>
          </w:p>
        </w:tc>
        <w:tc>
          <w:tcPr>
            <w:tcW w:w="1502" w:type="dxa"/>
            <w:noWrap/>
            <w:vAlign w:val="bottom"/>
            <w:hideMark/>
          </w:tcPr>
          <w:p w14:paraId="1431FCDD" w14:textId="1D81EA0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$691,575</w:t>
            </w:r>
          </w:p>
        </w:tc>
        <w:tc>
          <w:tcPr>
            <w:tcW w:w="1669" w:type="dxa"/>
            <w:noWrap/>
            <w:vAlign w:val="bottom"/>
            <w:hideMark/>
          </w:tcPr>
          <w:p w14:paraId="5CBE5B83" w14:textId="1BFBF67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26%</w:t>
            </w:r>
          </w:p>
        </w:tc>
        <w:tc>
          <w:tcPr>
            <w:tcW w:w="1688" w:type="dxa"/>
            <w:noWrap/>
            <w:vAlign w:val="bottom"/>
            <w:hideMark/>
          </w:tcPr>
          <w:p w14:paraId="0DC99765" w14:textId="2C2B30F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108%</w:t>
            </w:r>
          </w:p>
        </w:tc>
      </w:tr>
      <w:tr w:rsidR="000303CB" w:rsidRPr="00B36D1A" w14:paraId="127B6AA3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67ED0253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DE</w:t>
            </w:r>
          </w:p>
        </w:tc>
        <w:tc>
          <w:tcPr>
            <w:tcW w:w="1429" w:type="dxa"/>
            <w:noWrap/>
            <w:vAlign w:val="bottom"/>
            <w:hideMark/>
          </w:tcPr>
          <w:p w14:paraId="0A7F12D5" w14:textId="10021F4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$1,542,424</w:t>
            </w:r>
          </w:p>
        </w:tc>
        <w:tc>
          <w:tcPr>
            <w:tcW w:w="1429" w:type="dxa"/>
            <w:noWrap/>
            <w:vAlign w:val="bottom"/>
            <w:hideMark/>
          </w:tcPr>
          <w:p w14:paraId="48021F57" w14:textId="3C763BA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$1,369,255</w:t>
            </w:r>
          </w:p>
        </w:tc>
        <w:tc>
          <w:tcPr>
            <w:tcW w:w="1429" w:type="dxa"/>
            <w:noWrap/>
            <w:vAlign w:val="bottom"/>
            <w:hideMark/>
          </w:tcPr>
          <w:p w14:paraId="14791BA8" w14:textId="1EDA9E1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$1,190,084</w:t>
            </w:r>
          </w:p>
        </w:tc>
        <w:tc>
          <w:tcPr>
            <w:tcW w:w="1502" w:type="dxa"/>
            <w:noWrap/>
            <w:vAlign w:val="bottom"/>
            <w:hideMark/>
          </w:tcPr>
          <w:p w14:paraId="0526C7B6" w14:textId="43EF322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$493,124</w:t>
            </w:r>
          </w:p>
        </w:tc>
        <w:tc>
          <w:tcPr>
            <w:tcW w:w="1669" w:type="dxa"/>
            <w:noWrap/>
            <w:vAlign w:val="bottom"/>
            <w:hideMark/>
          </w:tcPr>
          <w:p w14:paraId="3BC85620" w14:textId="4A6376D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13%</w:t>
            </w:r>
          </w:p>
        </w:tc>
        <w:tc>
          <w:tcPr>
            <w:tcW w:w="1688" w:type="dxa"/>
            <w:noWrap/>
            <w:vAlign w:val="bottom"/>
            <w:hideMark/>
          </w:tcPr>
          <w:p w14:paraId="0F9CEEA2" w14:textId="64D378F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213%</w:t>
            </w:r>
          </w:p>
        </w:tc>
      </w:tr>
      <w:tr w:rsidR="000303CB" w:rsidRPr="00B36D1A" w14:paraId="0E9FE467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3B6A205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FL</w:t>
            </w:r>
          </w:p>
        </w:tc>
        <w:tc>
          <w:tcPr>
            <w:tcW w:w="1429" w:type="dxa"/>
            <w:noWrap/>
            <w:vAlign w:val="bottom"/>
            <w:hideMark/>
          </w:tcPr>
          <w:p w14:paraId="30725323" w14:textId="1FD55C0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$88,352,222</w:t>
            </w:r>
          </w:p>
        </w:tc>
        <w:tc>
          <w:tcPr>
            <w:tcW w:w="1429" w:type="dxa"/>
            <w:noWrap/>
            <w:vAlign w:val="bottom"/>
            <w:hideMark/>
          </w:tcPr>
          <w:p w14:paraId="2CEC3DD5" w14:textId="573925E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$65,385,887</w:t>
            </w:r>
          </w:p>
        </w:tc>
        <w:tc>
          <w:tcPr>
            <w:tcW w:w="1429" w:type="dxa"/>
            <w:noWrap/>
            <w:vAlign w:val="bottom"/>
            <w:hideMark/>
          </w:tcPr>
          <w:p w14:paraId="7E0CDF3B" w14:textId="466FFE3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$71,926,024</w:t>
            </w:r>
          </w:p>
        </w:tc>
        <w:tc>
          <w:tcPr>
            <w:tcW w:w="1502" w:type="dxa"/>
            <w:noWrap/>
            <w:vAlign w:val="bottom"/>
            <w:hideMark/>
          </w:tcPr>
          <w:p w14:paraId="4EDCC5E1" w14:textId="5177472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$36,315,229</w:t>
            </w:r>
          </w:p>
        </w:tc>
        <w:tc>
          <w:tcPr>
            <w:tcW w:w="1669" w:type="dxa"/>
            <w:noWrap/>
            <w:vAlign w:val="bottom"/>
            <w:hideMark/>
          </w:tcPr>
          <w:p w14:paraId="06A034DD" w14:textId="67F1D3E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35%</w:t>
            </w:r>
          </w:p>
        </w:tc>
        <w:tc>
          <w:tcPr>
            <w:tcW w:w="1688" w:type="dxa"/>
            <w:noWrap/>
            <w:vAlign w:val="bottom"/>
            <w:hideMark/>
          </w:tcPr>
          <w:p w14:paraId="4B18B9E2" w14:textId="435BF16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143%</w:t>
            </w:r>
          </w:p>
        </w:tc>
      </w:tr>
      <w:tr w:rsidR="000303CB" w:rsidRPr="00B36D1A" w14:paraId="45F4CB0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709F9F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GA</w:t>
            </w:r>
          </w:p>
        </w:tc>
        <w:tc>
          <w:tcPr>
            <w:tcW w:w="1429" w:type="dxa"/>
            <w:noWrap/>
            <w:vAlign w:val="bottom"/>
            <w:hideMark/>
          </w:tcPr>
          <w:p w14:paraId="44C75B90" w14:textId="3947FE9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$11,356,978</w:t>
            </w:r>
          </w:p>
        </w:tc>
        <w:tc>
          <w:tcPr>
            <w:tcW w:w="1429" w:type="dxa"/>
            <w:noWrap/>
            <w:vAlign w:val="bottom"/>
            <w:hideMark/>
          </w:tcPr>
          <w:p w14:paraId="2F106D31" w14:textId="19FFA7D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$8,362,411</w:t>
            </w:r>
          </w:p>
        </w:tc>
        <w:tc>
          <w:tcPr>
            <w:tcW w:w="1429" w:type="dxa"/>
            <w:noWrap/>
            <w:vAlign w:val="bottom"/>
            <w:hideMark/>
          </w:tcPr>
          <w:p w14:paraId="2439CE63" w14:textId="7FD70F5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$8,388,616</w:t>
            </w:r>
          </w:p>
        </w:tc>
        <w:tc>
          <w:tcPr>
            <w:tcW w:w="1502" w:type="dxa"/>
            <w:noWrap/>
            <w:vAlign w:val="bottom"/>
            <w:hideMark/>
          </w:tcPr>
          <w:p w14:paraId="58AF80C8" w14:textId="7875535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$3,860,484</w:t>
            </w:r>
          </w:p>
        </w:tc>
        <w:tc>
          <w:tcPr>
            <w:tcW w:w="1669" w:type="dxa"/>
            <w:noWrap/>
            <w:vAlign w:val="bottom"/>
            <w:hideMark/>
          </w:tcPr>
          <w:p w14:paraId="5FEC6A2C" w14:textId="480A90C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36%</w:t>
            </w:r>
          </w:p>
        </w:tc>
        <w:tc>
          <w:tcPr>
            <w:tcW w:w="1688" w:type="dxa"/>
            <w:noWrap/>
            <w:vAlign w:val="bottom"/>
            <w:hideMark/>
          </w:tcPr>
          <w:p w14:paraId="0BB1FAF2" w14:textId="58605B2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194%</w:t>
            </w:r>
          </w:p>
        </w:tc>
      </w:tr>
      <w:tr w:rsidR="000303CB" w:rsidRPr="00B36D1A" w14:paraId="2EA98BDE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B1E1027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GU</w:t>
            </w:r>
          </w:p>
        </w:tc>
        <w:tc>
          <w:tcPr>
            <w:tcW w:w="1429" w:type="dxa"/>
            <w:noWrap/>
            <w:vAlign w:val="bottom"/>
            <w:hideMark/>
          </w:tcPr>
          <w:p w14:paraId="2B5E99FC" w14:textId="03970BD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-$3,604</w:t>
            </w:r>
          </w:p>
        </w:tc>
        <w:tc>
          <w:tcPr>
            <w:tcW w:w="1429" w:type="dxa"/>
            <w:noWrap/>
            <w:vAlign w:val="bottom"/>
            <w:hideMark/>
          </w:tcPr>
          <w:p w14:paraId="67462F03" w14:textId="54AD206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$17,738</w:t>
            </w:r>
          </w:p>
        </w:tc>
        <w:tc>
          <w:tcPr>
            <w:tcW w:w="1429" w:type="dxa"/>
            <w:noWrap/>
            <w:vAlign w:val="bottom"/>
            <w:hideMark/>
          </w:tcPr>
          <w:p w14:paraId="0A867776" w14:textId="10C1C4B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$31,305</w:t>
            </w:r>
          </w:p>
        </w:tc>
        <w:tc>
          <w:tcPr>
            <w:tcW w:w="1502" w:type="dxa"/>
            <w:noWrap/>
            <w:vAlign w:val="bottom"/>
            <w:hideMark/>
          </w:tcPr>
          <w:p w14:paraId="63A19686" w14:textId="74A4BFD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669" w:type="dxa"/>
            <w:noWrap/>
            <w:vAlign w:val="bottom"/>
            <w:hideMark/>
          </w:tcPr>
          <w:p w14:paraId="49187669" w14:textId="6F60F57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-120%</w:t>
            </w:r>
          </w:p>
        </w:tc>
        <w:tc>
          <w:tcPr>
            <w:tcW w:w="1688" w:type="dxa"/>
            <w:noWrap/>
            <w:vAlign w:val="bottom"/>
          </w:tcPr>
          <w:p w14:paraId="4A836AEB" w14:textId="0338412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303CB" w:rsidRPr="00B36D1A" w14:paraId="3F1BF133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9679CF7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HI</w:t>
            </w:r>
          </w:p>
        </w:tc>
        <w:tc>
          <w:tcPr>
            <w:tcW w:w="1429" w:type="dxa"/>
            <w:noWrap/>
            <w:vAlign w:val="bottom"/>
            <w:hideMark/>
          </w:tcPr>
          <w:p w14:paraId="56FD76FC" w14:textId="3B322B3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$5,370,731</w:t>
            </w:r>
          </w:p>
        </w:tc>
        <w:tc>
          <w:tcPr>
            <w:tcW w:w="1429" w:type="dxa"/>
            <w:noWrap/>
            <w:vAlign w:val="bottom"/>
            <w:hideMark/>
          </w:tcPr>
          <w:p w14:paraId="54CA97C8" w14:textId="0EAF93C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$2,947,861</w:t>
            </w:r>
          </w:p>
        </w:tc>
        <w:tc>
          <w:tcPr>
            <w:tcW w:w="1429" w:type="dxa"/>
            <w:noWrap/>
            <w:vAlign w:val="bottom"/>
            <w:hideMark/>
          </w:tcPr>
          <w:p w14:paraId="7B2DC59E" w14:textId="00C5DE4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$3,641,582</w:t>
            </w:r>
          </w:p>
        </w:tc>
        <w:tc>
          <w:tcPr>
            <w:tcW w:w="1502" w:type="dxa"/>
            <w:noWrap/>
            <w:vAlign w:val="bottom"/>
            <w:hideMark/>
          </w:tcPr>
          <w:p w14:paraId="2603492B" w14:textId="41EC926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$2,398,190</w:t>
            </w:r>
          </w:p>
        </w:tc>
        <w:tc>
          <w:tcPr>
            <w:tcW w:w="1669" w:type="dxa"/>
            <w:noWrap/>
            <w:vAlign w:val="bottom"/>
            <w:hideMark/>
          </w:tcPr>
          <w:p w14:paraId="671AB961" w14:textId="2BBA0A2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82%</w:t>
            </w:r>
          </w:p>
        </w:tc>
        <w:tc>
          <w:tcPr>
            <w:tcW w:w="1688" w:type="dxa"/>
            <w:noWrap/>
            <w:vAlign w:val="bottom"/>
            <w:hideMark/>
          </w:tcPr>
          <w:p w14:paraId="0746B860" w14:textId="1B248C6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124%</w:t>
            </w:r>
          </w:p>
        </w:tc>
      </w:tr>
      <w:tr w:rsidR="000303CB" w:rsidRPr="00B36D1A" w14:paraId="1E0D6615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E00FF74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IA</w:t>
            </w:r>
          </w:p>
        </w:tc>
        <w:tc>
          <w:tcPr>
            <w:tcW w:w="1429" w:type="dxa"/>
            <w:noWrap/>
            <w:vAlign w:val="bottom"/>
            <w:hideMark/>
          </w:tcPr>
          <w:p w14:paraId="7754DB61" w14:textId="642C210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$3,148,917</w:t>
            </w:r>
          </w:p>
        </w:tc>
        <w:tc>
          <w:tcPr>
            <w:tcW w:w="1429" w:type="dxa"/>
            <w:noWrap/>
            <w:vAlign w:val="bottom"/>
            <w:hideMark/>
          </w:tcPr>
          <w:p w14:paraId="0D711B11" w14:textId="0BFB741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$2,373,115</w:t>
            </w:r>
          </w:p>
        </w:tc>
        <w:tc>
          <w:tcPr>
            <w:tcW w:w="1429" w:type="dxa"/>
            <w:noWrap/>
            <w:vAlign w:val="bottom"/>
            <w:hideMark/>
          </w:tcPr>
          <w:p w14:paraId="47281459" w14:textId="48A2585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$2,100,885</w:t>
            </w:r>
          </w:p>
        </w:tc>
        <w:tc>
          <w:tcPr>
            <w:tcW w:w="1502" w:type="dxa"/>
            <w:noWrap/>
            <w:vAlign w:val="bottom"/>
            <w:hideMark/>
          </w:tcPr>
          <w:p w14:paraId="67A16482" w14:textId="17232F3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$939,559</w:t>
            </w:r>
          </w:p>
        </w:tc>
        <w:tc>
          <w:tcPr>
            <w:tcW w:w="1669" w:type="dxa"/>
            <w:noWrap/>
            <w:vAlign w:val="bottom"/>
            <w:hideMark/>
          </w:tcPr>
          <w:p w14:paraId="3599C8B0" w14:textId="3BD5FF6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33%</w:t>
            </w:r>
          </w:p>
        </w:tc>
        <w:tc>
          <w:tcPr>
            <w:tcW w:w="1688" w:type="dxa"/>
            <w:noWrap/>
            <w:vAlign w:val="bottom"/>
            <w:hideMark/>
          </w:tcPr>
          <w:p w14:paraId="67B4CC45" w14:textId="1BB410C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235%</w:t>
            </w:r>
          </w:p>
        </w:tc>
      </w:tr>
      <w:tr w:rsidR="000303CB" w:rsidRPr="00B36D1A" w14:paraId="4EC3C4A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312068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ID</w:t>
            </w:r>
          </w:p>
        </w:tc>
        <w:tc>
          <w:tcPr>
            <w:tcW w:w="1429" w:type="dxa"/>
            <w:noWrap/>
            <w:vAlign w:val="bottom"/>
            <w:hideMark/>
          </w:tcPr>
          <w:p w14:paraId="6590324A" w14:textId="65F352A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$1,740,654</w:t>
            </w:r>
          </w:p>
        </w:tc>
        <w:tc>
          <w:tcPr>
            <w:tcW w:w="1429" w:type="dxa"/>
            <w:noWrap/>
            <w:vAlign w:val="bottom"/>
            <w:hideMark/>
          </w:tcPr>
          <w:p w14:paraId="67E64043" w14:textId="42B7377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$1,177,889</w:t>
            </w:r>
          </w:p>
        </w:tc>
        <w:tc>
          <w:tcPr>
            <w:tcW w:w="1429" w:type="dxa"/>
            <w:noWrap/>
            <w:vAlign w:val="bottom"/>
            <w:hideMark/>
          </w:tcPr>
          <w:p w14:paraId="073C3318" w14:textId="09D6FBA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$1,085,298</w:t>
            </w:r>
          </w:p>
        </w:tc>
        <w:tc>
          <w:tcPr>
            <w:tcW w:w="1502" w:type="dxa"/>
            <w:noWrap/>
            <w:vAlign w:val="bottom"/>
            <w:hideMark/>
          </w:tcPr>
          <w:p w14:paraId="2B80D0A6" w14:textId="1780734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$728,143</w:t>
            </w:r>
          </w:p>
        </w:tc>
        <w:tc>
          <w:tcPr>
            <w:tcW w:w="1669" w:type="dxa"/>
            <w:noWrap/>
            <w:vAlign w:val="bottom"/>
            <w:hideMark/>
          </w:tcPr>
          <w:p w14:paraId="07D13B3D" w14:textId="35D36D8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48%</w:t>
            </w:r>
          </w:p>
        </w:tc>
        <w:tc>
          <w:tcPr>
            <w:tcW w:w="1688" w:type="dxa"/>
            <w:noWrap/>
            <w:vAlign w:val="bottom"/>
            <w:hideMark/>
          </w:tcPr>
          <w:p w14:paraId="00DA38DA" w14:textId="0B1E45E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139%</w:t>
            </w:r>
          </w:p>
        </w:tc>
      </w:tr>
      <w:tr w:rsidR="000303CB" w:rsidRPr="00B36D1A" w14:paraId="4A507A6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75D3DF9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IL</w:t>
            </w:r>
          </w:p>
        </w:tc>
        <w:tc>
          <w:tcPr>
            <w:tcW w:w="1429" w:type="dxa"/>
            <w:noWrap/>
            <w:vAlign w:val="bottom"/>
            <w:hideMark/>
          </w:tcPr>
          <w:p w14:paraId="5F1F5AF0" w14:textId="236CE26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$14,486,502</w:t>
            </w:r>
          </w:p>
        </w:tc>
        <w:tc>
          <w:tcPr>
            <w:tcW w:w="1429" w:type="dxa"/>
            <w:noWrap/>
            <w:vAlign w:val="bottom"/>
            <w:hideMark/>
          </w:tcPr>
          <w:p w14:paraId="50F08F17" w14:textId="2335317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$9,583,150</w:t>
            </w:r>
          </w:p>
        </w:tc>
        <w:tc>
          <w:tcPr>
            <w:tcW w:w="1429" w:type="dxa"/>
            <w:noWrap/>
            <w:vAlign w:val="bottom"/>
            <w:hideMark/>
          </w:tcPr>
          <w:p w14:paraId="37AE4065" w14:textId="4AB7DC6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$8,741,486</w:t>
            </w:r>
          </w:p>
        </w:tc>
        <w:tc>
          <w:tcPr>
            <w:tcW w:w="1502" w:type="dxa"/>
            <w:noWrap/>
            <w:vAlign w:val="bottom"/>
            <w:hideMark/>
          </w:tcPr>
          <w:p w14:paraId="32E930C5" w14:textId="0A9029E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$2,854,433</w:t>
            </w:r>
          </w:p>
        </w:tc>
        <w:tc>
          <w:tcPr>
            <w:tcW w:w="1669" w:type="dxa"/>
            <w:noWrap/>
            <w:vAlign w:val="bottom"/>
            <w:hideMark/>
          </w:tcPr>
          <w:p w14:paraId="3700B362" w14:textId="57A4306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51%</w:t>
            </w:r>
          </w:p>
        </w:tc>
        <w:tc>
          <w:tcPr>
            <w:tcW w:w="1688" w:type="dxa"/>
            <w:noWrap/>
            <w:vAlign w:val="bottom"/>
            <w:hideMark/>
          </w:tcPr>
          <w:p w14:paraId="30EE8AD2" w14:textId="50E19CB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408%</w:t>
            </w:r>
          </w:p>
        </w:tc>
      </w:tr>
      <w:tr w:rsidR="000303CB" w:rsidRPr="00B36D1A" w14:paraId="6CE05C65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C755CCD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IN</w:t>
            </w:r>
          </w:p>
        </w:tc>
        <w:tc>
          <w:tcPr>
            <w:tcW w:w="1429" w:type="dxa"/>
            <w:noWrap/>
            <w:vAlign w:val="bottom"/>
            <w:hideMark/>
          </w:tcPr>
          <w:p w14:paraId="0D75D69A" w14:textId="7A45BBE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$6,272,566</w:t>
            </w:r>
          </w:p>
        </w:tc>
        <w:tc>
          <w:tcPr>
            <w:tcW w:w="1429" w:type="dxa"/>
            <w:noWrap/>
            <w:vAlign w:val="bottom"/>
            <w:hideMark/>
          </w:tcPr>
          <w:p w14:paraId="7CB69946" w14:textId="6047235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$4,089,407</w:t>
            </w:r>
          </w:p>
        </w:tc>
        <w:tc>
          <w:tcPr>
            <w:tcW w:w="1429" w:type="dxa"/>
            <w:noWrap/>
            <w:vAlign w:val="bottom"/>
            <w:hideMark/>
          </w:tcPr>
          <w:p w14:paraId="04230FA4" w14:textId="24240CA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$4,112,701</w:t>
            </w:r>
          </w:p>
        </w:tc>
        <w:tc>
          <w:tcPr>
            <w:tcW w:w="1502" w:type="dxa"/>
            <w:noWrap/>
            <w:vAlign w:val="bottom"/>
            <w:hideMark/>
          </w:tcPr>
          <w:p w14:paraId="501BA7C5" w14:textId="160593F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$2,227,211</w:t>
            </w:r>
          </w:p>
        </w:tc>
        <w:tc>
          <w:tcPr>
            <w:tcW w:w="1669" w:type="dxa"/>
            <w:noWrap/>
            <w:vAlign w:val="bottom"/>
            <w:hideMark/>
          </w:tcPr>
          <w:p w14:paraId="50001C50" w14:textId="6F0B5BC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53%</w:t>
            </w:r>
          </w:p>
        </w:tc>
        <w:tc>
          <w:tcPr>
            <w:tcW w:w="1688" w:type="dxa"/>
            <w:noWrap/>
            <w:vAlign w:val="bottom"/>
            <w:hideMark/>
          </w:tcPr>
          <w:p w14:paraId="2F4B0A8C" w14:textId="21CBC4D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182%</w:t>
            </w:r>
          </w:p>
        </w:tc>
      </w:tr>
      <w:tr w:rsidR="000303CB" w:rsidRPr="00B36D1A" w14:paraId="18B36306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76459017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KS</w:t>
            </w:r>
          </w:p>
        </w:tc>
        <w:tc>
          <w:tcPr>
            <w:tcW w:w="1429" w:type="dxa"/>
            <w:noWrap/>
            <w:vAlign w:val="bottom"/>
            <w:hideMark/>
          </w:tcPr>
          <w:p w14:paraId="65B5B6DE" w14:textId="214B621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$3,722,424</w:t>
            </w:r>
          </w:p>
        </w:tc>
        <w:tc>
          <w:tcPr>
            <w:tcW w:w="1429" w:type="dxa"/>
            <w:noWrap/>
            <w:vAlign w:val="bottom"/>
            <w:hideMark/>
          </w:tcPr>
          <w:p w14:paraId="07354DE0" w14:textId="63FFF5F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$2,517,647</w:t>
            </w:r>
          </w:p>
        </w:tc>
        <w:tc>
          <w:tcPr>
            <w:tcW w:w="1429" w:type="dxa"/>
            <w:noWrap/>
            <w:vAlign w:val="bottom"/>
            <w:hideMark/>
          </w:tcPr>
          <w:p w14:paraId="22F93B15" w14:textId="6D8BA8C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$2,417,887</w:t>
            </w:r>
          </w:p>
        </w:tc>
        <w:tc>
          <w:tcPr>
            <w:tcW w:w="1502" w:type="dxa"/>
            <w:noWrap/>
            <w:vAlign w:val="bottom"/>
            <w:hideMark/>
          </w:tcPr>
          <w:p w14:paraId="4E5C4AA7" w14:textId="21D6759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$1,116,098</w:t>
            </w:r>
          </w:p>
        </w:tc>
        <w:tc>
          <w:tcPr>
            <w:tcW w:w="1669" w:type="dxa"/>
            <w:noWrap/>
            <w:vAlign w:val="bottom"/>
            <w:hideMark/>
          </w:tcPr>
          <w:p w14:paraId="45A8C115" w14:textId="3B691A0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48%</w:t>
            </w:r>
          </w:p>
        </w:tc>
        <w:tc>
          <w:tcPr>
            <w:tcW w:w="1688" w:type="dxa"/>
            <w:noWrap/>
            <w:vAlign w:val="bottom"/>
            <w:hideMark/>
          </w:tcPr>
          <w:p w14:paraId="7604295A" w14:textId="4A17B2D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234%</w:t>
            </w:r>
          </w:p>
        </w:tc>
      </w:tr>
      <w:tr w:rsidR="000303CB" w:rsidRPr="00B36D1A" w14:paraId="37FC36E3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4EAA470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KY</w:t>
            </w:r>
          </w:p>
        </w:tc>
        <w:tc>
          <w:tcPr>
            <w:tcW w:w="1429" w:type="dxa"/>
            <w:noWrap/>
            <w:vAlign w:val="bottom"/>
            <w:hideMark/>
          </w:tcPr>
          <w:p w14:paraId="28B32C90" w14:textId="0A35B6F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$7,070,391</w:t>
            </w:r>
          </w:p>
        </w:tc>
        <w:tc>
          <w:tcPr>
            <w:tcW w:w="1429" w:type="dxa"/>
            <w:noWrap/>
            <w:vAlign w:val="bottom"/>
            <w:hideMark/>
          </w:tcPr>
          <w:p w14:paraId="7CC15BE9" w14:textId="49B8935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$2,867,987</w:t>
            </w:r>
          </w:p>
        </w:tc>
        <w:tc>
          <w:tcPr>
            <w:tcW w:w="1429" w:type="dxa"/>
            <w:noWrap/>
            <w:vAlign w:val="bottom"/>
            <w:hideMark/>
          </w:tcPr>
          <w:p w14:paraId="20F0046A" w14:textId="48F9759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$2,747,999</w:t>
            </w:r>
          </w:p>
        </w:tc>
        <w:tc>
          <w:tcPr>
            <w:tcW w:w="1502" w:type="dxa"/>
            <w:noWrap/>
            <w:vAlign w:val="bottom"/>
            <w:hideMark/>
          </w:tcPr>
          <w:p w14:paraId="32E61945" w14:textId="25217E9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$1,261,315</w:t>
            </w:r>
          </w:p>
        </w:tc>
        <w:tc>
          <w:tcPr>
            <w:tcW w:w="1669" w:type="dxa"/>
            <w:noWrap/>
            <w:vAlign w:val="bottom"/>
            <w:hideMark/>
          </w:tcPr>
          <w:p w14:paraId="40643FD6" w14:textId="11026B6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147%</w:t>
            </w:r>
          </w:p>
        </w:tc>
        <w:tc>
          <w:tcPr>
            <w:tcW w:w="1688" w:type="dxa"/>
            <w:noWrap/>
            <w:vAlign w:val="bottom"/>
            <w:hideMark/>
          </w:tcPr>
          <w:p w14:paraId="60F1D16D" w14:textId="24DF349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461%</w:t>
            </w:r>
          </w:p>
        </w:tc>
      </w:tr>
      <w:tr w:rsidR="000303CB" w:rsidRPr="00B36D1A" w14:paraId="66A5C53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61D278B5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LA</w:t>
            </w:r>
          </w:p>
        </w:tc>
        <w:tc>
          <w:tcPr>
            <w:tcW w:w="1429" w:type="dxa"/>
            <w:noWrap/>
            <w:vAlign w:val="bottom"/>
            <w:hideMark/>
          </w:tcPr>
          <w:p w14:paraId="626D9437" w14:textId="21F2885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$14,665,268</w:t>
            </w:r>
          </w:p>
        </w:tc>
        <w:tc>
          <w:tcPr>
            <w:tcW w:w="1429" w:type="dxa"/>
            <w:noWrap/>
            <w:vAlign w:val="bottom"/>
            <w:hideMark/>
          </w:tcPr>
          <w:p w14:paraId="20DBE15E" w14:textId="706422A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$12,481,175</w:t>
            </w:r>
          </w:p>
        </w:tc>
        <w:tc>
          <w:tcPr>
            <w:tcW w:w="1429" w:type="dxa"/>
            <w:noWrap/>
            <w:vAlign w:val="bottom"/>
            <w:hideMark/>
          </w:tcPr>
          <w:p w14:paraId="2E618F64" w14:textId="4C92465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$10,659,416</w:t>
            </w:r>
          </w:p>
        </w:tc>
        <w:tc>
          <w:tcPr>
            <w:tcW w:w="1502" w:type="dxa"/>
            <w:noWrap/>
            <w:vAlign w:val="bottom"/>
            <w:hideMark/>
          </w:tcPr>
          <w:p w14:paraId="6FC6CAAA" w14:textId="22A18A8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$4,663,623</w:t>
            </w:r>
          </w:p>
        </w:tc>
        <w:tc>
          <w:tcPr>
            <w:tcW w:w="1669" w:type="dxa"/>
            <w:noWrap/>
            <w:vAlign w:val="bottom"/>
            <w:hideMark/>
          </w:tcPr>
          <w:p w14:paraId="3859C5B5" w14:textId="2A4CB18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17%</w:t>
            </w:r>
          </w:p>
        </w:tc>
        <w:tc>
          <w:tcPr>
            <w:tcW w:w="1688" w:type="dxa"/>
            <w:noWrap/>
            <w:vAlign w:val="bottom"/>
            <w:hideMark/>
          </w:tcPr>
          <w:p w14:paraId="67028499" w14:textId="5B43DA1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214%</w:t>
            </w:r>
          </w:p>
        </w:tc>
      </w:tr>
      <w:tr w:rsidR="000303CB" w:rsidRPr="00B36D1A" w14:paraId="371872B1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08C7EF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MA</w:t>
            </w:r>
          </w:p>
        </w:tc>
        <w:tc>
          <w:tcPr>
            <w:tcW w:w="1429" w:type="dxa"/>
            <w:noWrap/>
            <w:vAlign w:val="bottom"/>
            <w:hideMark/>
          </w:tcPr>
          <w:p w14:paraId="28EFA059" w14:textId="55119D5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$11,528,999</w:t>
            </w:r>
          </w:p>
        </w:tc>
        <w:tc>
          <w:tcPr>
            <w:tcW w:w="1429" w:type="dxa"/>
            <w:noWrap/>
            <w:vAlign w:val="bottom"/>
            <w:hideMark/>
          </w:tcPr>
          <w:p w14:paraId="0BE74F47" w14:textId="1FCDB9F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$11,503,188</w:t>
            </w:r>
          </w:p>
        </w:tc>
        <w:tc>
          <w:tcPr>
            <w:tcW w:w="1429" w:type="dxa"/>
            <w:noWrap/>
            <w:vAlign w:val="bottom"/>
            <w:hideMark/>
          </w:tcPr>
          <w:p w14:paraId="43D906B6" w14:textId="32633A4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$10,023,679</w:t>
            </w:r>
          </w:p>
        </w:tc>
        <w:tc>
          <w:tcPr>
            <w:tcW w:w="1502" w:type="dxa"/>
            <w:noWrap/>
            <w:vAlign w:val="bottom"/>
            <w:hideMark/>
          </w:tcPr>
          <w:p w14:paraId="77E340E1" w14:textId="23BE921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$5,238,783</w:t>
            </w:r>
          </w:p>
        </w:tc>
        <w:tc>
          <w:tcPr>
            <w:tcW w:w="1669" w:type="dxa"/>
            <w:noWrap/>
            <w:vAlign w:val="bottom"/>
            <w:hideMark/>
          </w:tcPr>
          <w:p w14:paraId="643CE847" w14:textId="60F6C12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0%</w:t>
            </w:r>
          </w:p>
        </w:tc>
        <w:tc>
          <w:tcPr>
            <w:tcW w:w="1688" w:type="dxa"/>
            <w:noWrap/>
            <w:vAlign w:val="bottom"/>
            <w:hideMark/>
          </w:tcPr>
          <w:p w14:paraId="0FA7E568" w14:textId="755D2F1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120%</w:t>
            </w:r>
          </w:p>
        </w:tc>
      </w:tr>
      <w:tr w:rsidR="000303CB" w:rsidRPr="00B36D1A" w14:paraId="0C29183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FF4B4B6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MD</w:t>
            </w:r>
          </w:p>
        </w:tc>
        <w:tc>
          <w:tcPr>
            <w:tcW w:w="1429" w:type="dxa"/>
            <w:noWrap/>
            <w:vAlign w:val="bottom"/>
            <w:hideMark/>
          </w:tcPr>
          <w:p w14:paraId="29C57DBD" w14:textId="12E36B9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$5,706,648</w:t>
            </w:r>
          </w:p>
        </w:tc>
        <w:tc>
          <w:tcPr>
            <w:tcW w:w="1429" w:type="dxa"/>
            <w:noWrap/>
            <w:vAlign w:val="bottom"/>
            <w:hideMark/>
          </w:tcPr>
          <w:p w14:paraId="18758A6A" w14:textId="39A3D74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$5,184,225</w:t>
            </w:r>
          </w:p>
        </w:tc>
        <w:tc>
          <w:tcPr>
            <w:tcW w:w="1429" w:type="dxa"/>
            <w:noWrap/>
            <w:vAlign w:val="bottom"/>
            <w:hideMark/>
          </w:tcPr>
          <w:p w14:paraId="704BB44F" w14:textId="5D867A9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$3,956,899</w:t>
            </w:r>
          </w:p>
        </w:tc>
        <w:tc>
          <w:tcPr>
            <w:tcW w:w="1502" w:type="dxa"/>
            <w:noWrap/>
            <w:vAlign w:val="bottom"/>
            <w:hideMark/>
          </w:tcPr>
          <w:p w14:paraId="2351368F" w14:textId="0B19A46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$2,366,532</w:t>
            </w:r>
          </w:p>
        </w:tc>
        <w:tc>
          <w:tcPr>
            <w:tcW w:w="1669" w:type="dxa"/>
            <w:noWrap/>
            <w:vAlign w:val="bottom"/>
            <w:hideMark/>
          </w:tcPr>
          <w:p w14:paraId="7DA6C92A" w14:textId="71C41FE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10%</w:t>
            </w:r>
          </w:p>
        </w:tc>
        <w:tc>
          <w:tcPr>
            <w:tcW w:w="1688" w:type="dxa"/>
            <w:noWrap/>
            <w:vAlign w:val="bottom"/>
            <w:hideMark/>
          </w:tcPr>
          <w:p w14:paraId="02803976" w14:textId="0C09257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141%</w:t>
            </w:r>
          </w:p>
        </w:tc>
      </w:tr>
      <w:tr w:rsidR="000303CB" w:rsidRPr="00B36D1A" w14:paraId="3B4713FD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F93DB1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ME</w:t>
            </w:r>
          </w:p>
        </w:tc>
        <w:tc>
          <w:tcPr>
            <w:tcW w:w="1429" w:type="dxa"/>
            <w:noWrap/>
            <w:vAlign w:val="bottom"/>
            <w:hideMark/>
          </w:tcPr>
          <w:p w14:paraId="0648E6A7" w14:textId="55EEBE1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$1,510,503</w:t>
            </w:r>
          </w:p>
        </w:tc>
        <w:tc>
          <w:tcPr>
            <w:tcW w:w="1429" w:type="dxa"/>
            <w:noWrap/>
            <w:vAlign w:val="bottom"/>
            <w:hideMark/>
          </w:tcPr>
          <w:p w14:paraId="35C54F13" w14:textId="42FE4D5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$1,230,202</w:t>
            </w:r>
          </w:p>
        </w:tc>
        <w:tc>
          <w:tcPr>
            <w:tcW w:w="1429" w:type="dxa"/>
            <w:noWrap/>
            <w:vAlign w:val="bottom"/>
            <w:hideMark/>
          </w:tcPr>
          <w:p w14:paraId="6D776926" w14:textId="30EAFC0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$1,044,042</w:t>
            </w:r>
          </w:p>
        </w:tc>
        <w:tc>
          <w:tcPr>
            <w:tcW w:w="1502" w:type="dxa"/>
            <w:noWrap/>
            <w:vAlign w:val="bottom"/>
            <w:hideMark/>
          </w:tcPr>
          <w:p w14:paraId="1909C5DA" w14:textId="41D322B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$1,140,991</w:t>
            </w:r>
          </w:p>
        </w:tc>
        <w:tc>
          <w:tcPr>
            <w:tcW w:w="1669" w:type="dxa"/>
            <w:noWrap/>
            <w:vAlign w:val="bottom"/>
            <w:hideMark/>
          </w:tcPr>
          <w:p w14:paraId="26F7F72A" w14:textId="5BE854B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23%</w:t>
            </w:r>
          </w:p>
        </w:tc>
        <w:tc>
          <w:tcPr>
            <w:tcW w:w="1688" w:type="dxa"/>
            <w:noWrap/>
            <w:vAlign w:val="bottom"/>
            <w:hideMark/>
          </w:tcPr>
          <w:p w14:paraId="11D1DE3A" w14:textId="7B08040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32%</w:t>
            </w:r>
          </w:p>
        </w:tc>
      </w:tr>
      <w:tr w:rsidR="000303CB" w:rsidRPr="00B36D1A" w14:paraId="4303A0F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0D69E3D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MI</w:t>
            </w:r>
          </w:p>
        </w:tc>
        <w:tc>
          <w:tcPr>
            <w:tcW w:w="1429" w:type="dxa"/>
            <w:noWrap/>
            <w:vAlign w:val="bottom"/>
            <w:hideMark/>
          </w:tcPr>
          <w:p w14:paraId="34814F05" w14:textId="7D8FFFF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$7,572,956</w:t>
            </w:r>
          </w:p>
        </w:tc>
        <w:tc>
          <w:tcPr>
            <w:tcW w:w="1429" w:type="dxa"/>
            <w:noWrap/>
            <w:vAlign w:val="bottom"/>
            <w:hideMark/>
          </w:tcPr>
          <w:p w14:paraId="5FC149E2" w14:textId="185BD58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$5,333,956</w:t>
            </w:r>
          </w:p>
        </w:tc>
        <w:tc>
          <w:tcPr>
            <w:tcW w:w="1429" w:type="dxa"/>
            <w:noWrap/>
            <w:vAlign w:val="bottom"/>
            <w:hideMark/>
          </w:tcPr>
          <w:p w14:paraId="153C3F7E" w14:textId="161BE02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$4,420,140</w:t>
            </w:r>
          </w:p>
        </w:tc>
        <w:tc>
          <w:tcPr>
            <w:tcW w:w="1502" w:type="dxa"/>
            <w:noWrap/>
            <w:vAlign w:val="bottom"/>
            <w:hideMark/>
          </w:tcPr>
          <w:p w14:paraId="435C76D3" w14:textId="4672396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$1,495,522</w:t>
            </w:r>
          </w:p>
        </w:tc>
        <w:tc>
          <w:tcPr>
            <w:tcW w:w="1669" w:type="dxa"/>
            <w:noWrap/>
            <w:vAlign w:val="bottom"/>
            <w:hideMark/>
          </w:tcPr>
          <w:p w14:paraId="4D476361" w14:textId="27107E4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42%</w:t>
            </w:r>
          </w:p>
        </w:tc>
        <w:tc>
          <w:tcPr>
            <w:tcW w:w="1688" w:type="dxa"/>
            <w:noWrap/>
            <w:vAlign w:val="bottom"/>
            <w:hideMark/>
          </w:tcPr>
          <w:p w14:paraId="46BC5B33" w14:textId="3EC9588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406%</w:t>
            </w:r>
          </w:p>
        </w:tc>
      </w:tr>
      <w:tr w:rsidR="000303CB" w:rsidRPr="00B36D1A" w14:paraId="51B56E8E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7D443EEF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MN</w:t>
            </w:r>
          </w:p>
        </w:tc>
        <w:tc>
          <w:tcPr>
            <w:tcW w:w="1429" w:type="dxa"/>
            <w:noWrap/>
            <w:vAlign w:val="bottom"/>
            <w:hideMark/>
          </w:tcPr>
          <w:p w14:paraId="3E2F5108" w14:textId="4D566B7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$4,557,746</w:t>
            </w:r>
          </w:p>
        </w:tc>
        <w:tc>
          <w:tcPr>
            <w:tcW w:w="1429" w:type="dxa"/>
            <w:noWrap/>
            <w:vAlign w:val="bottom"/>
            <w:hideMark/>
          </w:tcPr>
          <w:p w14:paraId="384483A3" w14:textId="0764A89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$3,056,080</w:t>
            </w:r>
          </w:p>
        </w:tc>
        <w:tc>
          <w:tcPr>
            <w:tcW w:w="1429" w:type="dxa"/>
            <w:noWrap/>
            <w:vAlign w:val="bottom"/>
            <w:hideMark/>
          </w:tcPr>
          <w:p w14:paraId="377AD4FD" w14:textId="3BA3865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$2,943,051</w:t>
            </w:r>
          </w:p>
        </w:tc>
        <w:tc>
          <w:tcPr>
            <w:tcW w:w="1502" w:type="dxa"/>
            <w:noWrap/>
            <w:vAlign w:val="bottom"/>
            <w:hideMark/>
          </w:tcPr>
          <w:p w14:paraId="7E49C067" w14:textId="0B656BE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$1,393,694</w:t>
            </w:r>
          </w:p>
        </w:tc>
        <w:tc>
          <w:tcPr>
            <w:tcW w:w="1669" w:type="dxa"/>
            <w:noWrap/>
            <w:vAlign w:val="bottom"/>
            <w:hideMark/>
          </w:tcPr>
          <w:p w14:paraId="6E672F18" w14:textId="4CE974E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49%</w:t>
            </w:r>
          </w:p>
        </w:tc>
        <w:tc>
          <w:tcPr>
            <w:tcW w:w="1688" w:type="dxa"/>
            <w:noWrap/>
            <w:vAlign w:val="bottom"/>
            <w:hideMark/>
          </w:tcPr>
          <w:p w14:paraId="07869958" w14:textId="3335AE2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227%</w:t>
            </w:r>
          </w:p>
        </w:tc>
      </w:tr>
      <w:tr w:rsidR="000303CB" w:rsidRPr="00B36D1A" w14:paraId="0C8736C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85F102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MO</w:t>
            </w:r>
          </w:p>
        </w:tc>
        <w:tc>
          <w:tcPr>
            <w:tcW w:w="1429" w:type="dxa"/>
            <w:noWrap/>
            <w:vAlign w:val="bottom"/>
            <w:hideMark/>
          </w:tcPr>
          <w:p w14:paraId="31FBAED1" w14:textId="2D672D3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$5,781,100</w:t>
            </w:r>
          </w:p>
        </w:tc>
        <w:tc>
          <w:tcPr>
            <w:tcW w:w="1429" w:type="dxa"/>
            <w:noWrap/>
            <w:vAlign w:val="bottom"/>
            <w:hideMark/>
          </w:tcPr>
          <w:p w14:paraId="1F6E4B10" w14:textId="6A3F6EE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$5,903,307</w:t>
            </w:r>
          </w:p>
        </w:tc>
        <w:tc>
          <w:tcPr>
            <w:tcW w:w="1429" w:type="dxa"/>
            <w:noWrap/>
            <w:vAlign w:val="bottom"/>
            <w:hideMark/>
          </w:tcPr>
          <w:p w14:paraId="6542750F" w14:textId="1E8E636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$5,421,485</w:t>
            </w:r>
          </w:p>
        </w:tc>
        <w:tc>
          <w:tcPr>
            <w:tcW w:w="1502" w:type="dxa"/>
            <w:noWrap/>
            <w:vAlign w:val="bottom"/>
            <w:hideMark/>
          </w:tcPr>
          <w:p w14:paraId="4191AEE5" w14:textId="5788CEF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$2,519,193</w:t>
            </w:r>
          </w:p>
        </w:tc>
        <w:tc>
          <w:tcPr>
            <w:tcW w:w="1669" w:type="dxa"/>
            <w:noWrap/>
            <w:vAlign w:val="bottom"/>
            <w:hideMark/>
          </w:tcPr>
          <w:p w14:paraId="0CEF56FE" w14:textId="3679DF4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-2%</w:t>
            </w:r>
          </w:p>
        </w:tc>
        <w:tc>
          <w:tcPr>
            <w:tcW w:w="1688" w:type="dxa"/>
            <w:noWrap/>
            <w:vAlign w:val="bottom"/>
            <w:hideMark/>
          </w:tcPr>
          <w:p w14:paraId="54E912E8" w14:textId="7C77B46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129%</w:t>
            </w:r>
          </w:p>
        </w:tc>
      </w:tr>
      <w:tr w:rsidR="000303CB" w:rsidRPr="00B36D1A" w14:paraId="33CC184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A4E6596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MP</w:t>
            </w:r>
          </w:p>
        </w:tc>
        <w:tc>
          <w:tcPr>
            <w:tcW w:w="1429" w:type="dxa"/>
            <w:noWrap/>
            <w:vAlign w:val="bottom"/>
            <w:hideMark/>
          </w:tcPr>
          <w:p w14:paraId="6C9C02C8" w14:textId="77777777" w:rsidR="00182BA8" w:rsidRPr="000303C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3823A3F3" w14:textId="1750DF2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429" w:type="dxa"/>
            <w:noWrap/>
            <w:vAlign w:val="bottom"/>
            <w:hideMark/>
          </w:tcPr>
          <w:p w14:paraId="4A556D54" w14:textId="148DF89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502" w:type="dxa"/>
            <w:noWrap/>
            <w:vAlign w:val="bottom"/>
            <w:hideMark/>
          </w:tcPr>
          <w:p w14:paraId="4A50175E" w14:textId="2586AAC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669" w:type="dxa"/>
            <w:noWrap/>
            <w:vAlign w:val="bottom"/>
          </w:tcPr>
          <w:p w14:paraId="7D9D418B" w14:textId="639A75C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88" w:type="dxa"/>
            <w:noWrap/>
            <w:vAlign w:val="bottom"/>
          </w:tcPr>
          <w:p w14:paraId="14E86DE1" w14:textId="2029186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303CB" w:rsidRPr="00B36D1A" w14:paraId="464764D5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7CCE0FE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MS</w:t>
            </w:r>
          </w:p>
        </w:tc>
        <w:tc>
          <w:tcPr>
            <w:tcW w:w="1429" w:type="dxa"/>
            <w:noWrap/>
            <w:vAlign w:val="bottom"/>
            <w:hideMark/>
          </w:tcPr>
          <w:p w14:paraId="49E051C1" w14:textId="17CFBA2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$3,929,809</w:t>
            </w:r>
          </w:p>
        </w:tc>
        <w:tc>
          <w:tcPr>
            <w:tcW w:w="1429" w:type="dxa"/>
            <w:noWrap/>
            <w:vAlign w:val="bottom"/>
            <w:hideMark/>
          </w:tcPr>
          <w:p w14:paraId="3DAD3F04" w14:textId="1725BD7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$2,910,699</w:t>
            </w:r>
          </w:p>
        </w:tc>
        <w:tc>
          <w:tcPr>
            <w:tcW w:w="1429" w:type="dxa"/>
            <w:noWrap/>
            <w:vAlign w:val="bottom"/>
            <w:hideMark/>
          </w:tcPr>
          <w:p w14:paraId="3A57577E" w14:textId="1DE260C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$2,793,900</w:t>
            </w:r>
          </w:p>
        </w:tc>
        <w:tc>
          <w:tcPr>
            <w:tcW w:w="1502" w:type="dxa"/>
            <w:noWrap/>
            <w:vAlign w:val="bottom"/>
            <w:hideMark/>
          </w:tcPr>
          <w:p w14:paraId="43C44AD9" w14:textId="10A6ED3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$1,275,756</w:t>
            </w:r>
          </w:p>
        </w:tc>
        <w:tc>
          <w:tcPr>
            <w:tcW w:w="1669" w:type="dxa"/>
            <w:noWrap/>
            <w:vAlign w:val="bottom"/>
            <w:hideMark/>
          </w:tcPr>
          <w:p w14:paraId="5C784B02" w14:textId="6EE6F85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35%</w:t>
            </w:r>
          </w:p>
        </w:tc>
        <w:tc>
          <w:tcPr>
            <w:tcW w:w="1688" w:type="dxa"/>
            <w:noWrap/>
            <w:vAlign w:val="bottom"/>
            <w:hideMark/>
          </w:tcPr>
          <w:p w14:paraId="0DE28650" w14:textId="2DD15B7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208%</w:t>
            </w:r>
          </w:p>
        </w:tc>
      </w:tr>
      <w:tr w:rsidR="000303CB" w:rsidRPr="00B36D1A" w14:paraId="6E736082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BF41AF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MT</w:t>
            </w:r>
          </w:p>
        </w:tc>
        <w:tc>
          <w:tcPr>
            <w:tcW w:w="1429" w:type="dxa"/>
            <w:noWrap/>
            <w:vAlign w:val="bottom"/>
            <w:hideMark/>
          </w:tcPr>
          <w:p w14:paraId="1EBA680B" w14:textId="53AF0A3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$828,503</w:t>
            </w:r>
          </w:p>
        </w:tc>
        <w:tc>
          <w:tcPr>
            <w:tcW w:w="1429" w:type="dxa"/>
            <w:noWrap/>
            <w:vAlign w:val="bottom"/>
            <w:hideMark/>
          </w:tcPr>
          <w:p w14:paraId="70363553" w14:textId="7D2706D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$758,878</w:t>
            </w:r>
          </w:p>
        </w:tc>
        <w:tc>
          <w:tcPr>
            <w:tcW w:w="1429" w:type="dxa"/>
            <w:noWrap/>
            <w:vAlign w:val="bottom"/>
            <w:hideMark/>
          </w:tcPr>
          <w:p w14:paraId="6AA8AE5B" w14:textId="5D3D53E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$652,391</w:t>
            </w:r>
          </w:p>
        </w:tc>
        <w:tc>
          <w:tcPr>
            <w:tcW w:w="1502" w:type="dxa"/>
            <w:noWrap/>
            <w:vAlign w:val="bottom"/>
            <w:hideMark/>
          </w:tcPr>
          <w:p w14:paraId="6435C6FA" w14:textId="14C9500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$302,566</w:t>
            </w:r>
          </w:p>
        </w:tc>
        <w:tc>
          <w:tcPr>
            <w:tcW w:w="1669" w:type="dxa"/>
            <w:noWrap/>
            <w:vAlign w:val="bottom"/>
            <w:hideMark/>
          </w:tcPr>
          <w:p w14:paraId="7E1F5090" w14:textId="0A10582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9%</w:t>
            </w:r>
          </w:p>
        </w:tc>
        <w:tc>
          <w:tcPr>
            <w:tcW w:w="1688" w:type="dxa"/>
            <w:noWrap/>
            <w:vAlign w:val="bottom"/>
            <w:hideMark/>
          </w:tcPr>
          <w:p w14:paraId="1262AC29" w14:textId="3013168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174%</w:t>
            </w:r>
          </w:p>
        </w:tc>
      </w:tr>
      <w:tr w:rsidR="000303CB" w:rsidRPr="00B36D1A" w14:paraId="7493676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B4A3D3B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NC</w:t>
            </w:r>
          </w:p>
        </w:tc>
        <w:tc>
          <w:tcPr>
            <w:tcW w:w="1429" w:type="dxa"/>
            <w:noWrap/>
            <w:vAlign w:val="bottom"/>
            <w:hideMark/>
          </w:tcPr>
          <w:p w14:paraId="4A1BF0C0" w14:textId="6753252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$10,171,284</w:t>
            </w:r>
          </w:p>
        </w:tc>
        <w:tc>
          <w:tcPr>
            <w:tcW w:w="1429" w:type="dxa"/>
            <w:noWrap/>
            <w:vAlign w:val="bottom"/>
            <w:hideMark/>
          </w:tcPr>
          <w:p w14:paraId="2CEFDA4E" w14:textId="7BC4741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$8,318,046</w:t>
            </w:r>
          </w:p>
        </w:tc>
        <w:tc>
          <w:tcPr>
            <w:tcW w:w="1429" w:type="dxa"/>
            <w:noWrap/>
            <w:vAlign w:val="bottom"/>
            <w:hideMark/>
          </w:tcPr>
          <w:p w14:paraId="0896B30A" w14:textId="3AA7C33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$7,379,256</w:t>
            </w:r>
          </w:p>
        </w:tc>
        <w:tc>
          <w:tcPr>
            <w:tcW w:w="1502" w:type="dxa"/>
            <w:noWrap/>
            <w:vAlign w:val="bottom"/>
            <w:hideMark/>
          </w:tcPr>
          <w:p w14:paraId="185F2BCD" w14:textId="50FA16A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$3,603,422</w:t>
            </w:r>
          </w:p>
        </w:tc>
        <w:tc>
          <w:tcPr>
            <w:tcW w:w="1669" w:type="dxa"/>
            <w:noWrap/>
            <w:vAlign w:val="bottom"/>
            <w:hideMark/>
          </w:tcPr>
          <w:p w14:paraId="16200E8C" w14:textId="2543416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22%</w:t>
            </w:r>
          </w:p>
        </w:tc>
        <w:tc>
          <w:tcPr>
            <w:tcW w:w="1688" w:type="dxa"/>
            <w:noWrap/>
            <w:vAlign w:val="bottom"/>
            <w:hideMark/>
          </w:tcPr>
          <w:p w14:paraId="66DAD7BD" w14:textId="2030221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182%</w:t>
            </w:r>
          </w:p>
        </w:tc>
      </w:tr>
      <w:tr w:rsidR="000303CB" w:rsidRPr="00B36D1A" w14:paraId="7656D089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5F35414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ND</w:t>
            </w:r>
          </w:p>
        </w:tc>
        <w:tc>
          <w:tcPr>
            <w:tcW w:w="1429" w:type="dxa"/>
            <w:noWrap/>
            <w:vAlign w:val="bottom"/>
            <w:hideMark/>
          </w:tcPr>
          <w:p w14:paraId="72ED65CB" w14:textId="7198D63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$694,503</w:t>
            </w:r>
          </w:p>
        </w:tc>
        <w:tc>
          <w:tcPr>
            <w:tcW w:w="1429" w:type="dxa"/>
            <w:noWrap/>
            <w:vAlign w:val="bottom"/>
            <w:hideMark/>
          </w:tcPr>
          <w:p w14:paraId="1867177B" w14:textId="0F5F2AF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$704,772</w:t>
            </w:r>
          </w:p>
        </w:tc>
        <w:tc>
          <w:tcPr>
            <w:tcW w:w="1429" w:type="dxa"/>
            <w:noWrap/>
            <w:vAlign w:val="bottom"/>
            <w:hideMark/>
          </w:tcPr>
          <w:p w14:paraId="45FC918A" w14:textId="50FF181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$554,712</w:t>
            </w:r>
          </w:p>
        </w:tc>
        <w:tc>
          <w:tcPr>
            <w:tcW w:w="1502" w:type="dxa"/>
            <w:noWrap/>
            <w:vAlign w:val="bottom"/>
            <w:hideMark/>
          </w:tcPr>
          <w:p w14:paraId="05683C65" w14:textId="654D3C6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$307,520</w:t>
            </w:r>
          </w:p>
        </w:tc>
        <w:tc>
          <w:tcPr>
            <w:tcW w:w="1669" w:type="dxa"/>
            <w:noWrap/>
            <w:vAlign w:val="bottom"/>
            <w:hideMark/>
          </w:tcPr>
          <w:p w14:paraId="0AE19954" w14:textId="5F13C8E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-1%</w:t>
            </w:r>
          </w:p>
        </w:tc>
        <w:tc>
          <w:tcPr>
            <w:tcW w:w="1688" w:type="dxa"/>
            <w:noWrap/>
            <w:vAlign w:val="bottom"/>
            <w:hideMark/>
          </w:tcPr>
          <w:p w14:paraId="0BC3EC8F" w14:textId="1510608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126%</w:t>
            </w:r>
          </w:p>
        </w:tc>
      </w:tr>
      <w:tr w:rsidR="000303CB" w:rsidRPr="00B36D1A" w14:paraId="338A5BF7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7B8B0683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  <w:tc>
          <w:tcPr>
            <w:tcW w:w="1429" w:type="dxa"/>
            <w:noWrap/>
            <w:vAlign w:val="bottom"/>
            <w:hideMark/>
          </w:tcPr>
          <w:p w14:paraId="1F85BB6A" w14:textId="3053DD8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$2,380,408</w:t>
            </w:r>
          </w:p>
        </w:tc>
        <w:tc>
          <w:tcPr>
            <w:tcW w:w="1429" w:type="dxa"/>
            <w:noWrap/>
            <w:vAlign w:val="bottom"/>
            <w:hideMark/>
          </w:tcPr>
          <w:p w14:paraId="687393AB" w14:textId="1C657C2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$2,085,226</w:t>
            </w:r>
          </w:p>
        </w:tc>
        <w:tc>
          <w:tcPr>
            <w:tcW w:w="1429" w:type="dxa"/>
            <w:noWrap/>
            <w:vAlign w:val="bottom"/>
            <w:hideMark/>
          </w:tcPr>
          <w:p w14:paraId="34F4EFDF" w14:textId="7C579E6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$1,363,592</w:t>
            </w:r>
          </w:p>
        </w:tc>
        <w:tc>
          <w:tcPr>
            <w:tcW w:w="1502" w:type="dxa"/>
            <w:noWrap/>
            <w:vAlign w:val="bottom"/>
            <w:hideMark/>
          </w:tcPr>
          <w:p w14:paraId="33A3154E" w14:textId="4865D4C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$471,233</w:t>
            </w:r>
          </w:p>
        </w:tc>
        <w:tc>
          <w:tcPr>
            <w:tcW w:w="1669" w:type="dxa"/>
            <w:noWrap/>
            <w:vAlign w:val="bottom"/>
            <w:hideMark/>
          </w:tcPr>
          <w:p w14:paraId="12751C44" w14:textId="059FAE1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14%</w:t>
            </w:r>
          </w:p>
        </w:tc>
        <w:tc>
          <w:tcPr>
            <w:tcW w:w="1688" w:type="dxa"/>
            <w:noWrap/>
            <w:vAlign w:val="bottom"/>
            <w:hideMark/>
          </w:tcPr>
          <w:p w14:paraId="31CA28C2" w14:textId="59E6176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405%</w:t>
            </w:r>
          </w:p>
        </w:tc>
      </w:tr>
      <w:tr w:rsidR="000303CB" w:rsidRPr="00B36D1A" w14:paraId="0219E74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DF6E32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NH</w:t>
            </w:r>
          </w:p>
        </w:tc>
        <w:tc>
          <w:tcPr>
            <w:tcW w:w="1429" w:type="dxa"/>
            <w:noWrap/>
            <w:vAlign w:val="bottom"/>
            <w:hideMark/>
          </w:tcPr>
          <w:p w14:paraId="63743F01" w14:textId="6B1D621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$1,457,279</w:t>
            </w:r>
          </w:p>
        </w:tc>
        <w:tc>
          <w:tcPr>
            <w:tcW w:w="1429" w:type="dxa"/>
            <w:noWrap/>
            <w:vAlign w:val="bottom"/>
            <w:hideMark/>
          </w:tcPr>
          <w:p w14:paraId="7DA1F748" w14:textId="614A41E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$1,047,287</w:t>
            </w:r>
          </w:p>
        </w:tc>
        <w:tc>
          <w:tcPr>
            <w:tcW w:w="1429" w:type="dxa"/>
            <w:noWrap/>
            <w:vAlign w:val="bottom"/>
            <w:hideMark/>
          </w:tcPr>
          <w:p w14:paraId="499870E7" w14:textId="78D065A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$881,648</w:t>
            </w:r>
          </w:p>
        </w:tc>
        <w:tc>
          <w:tcPr>
            <w:tcW w:w="1502" w:type="dxa"/>
            <w:noWrap/>
            <w:vAlign w:val="bottom"/>
            <w:hideMark/>
          </w:tcPr>
          <w:p w14:paraId="78302F8C" w14:textId="6DD7E2B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$319,395</w:t>
            </w:r>
          </w:p>
        </w:tc>
        <w:tc>
          <w:tcPr>
            <w:tcW w:w="1669" w:type="dxa"/>
            <w:noWrap/>
            <w:vAlign w:val="bottom"/>
            <w:hideMark/>
          </w:tcPr>
          <w:p w14:paraId="6B9D01B2" w14:textId="0E20C7C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39%</w:t>
            </w:r>
          </w:p>
        </w:tc>
        <w:tc>
          <w:tcPr>
            <w:tcW w:w="1688" w:type="dxa"/>
            <w:noWrap/>
            <w:vAlign w:val="bottom"/>
            <w:hideMark/>
          </w:tcPr>
          <w:p w14:paraId="015702FA" w14:textId="1A9C82D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356%</w:t>
            </w:r>
          </w:p>
        </w:tc>
      </w:tr>
      <w:tr w:rsidR="000303CB" w:rsidRPr="00B36D1A" w14:paraId="18657D06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6CB041C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NJ</w:t>
            </w:r>
          </w:p>
        </w:tc>
        <w:tc>
          <w:tcPr>
            <w:tcW w:w="1429" w:type="dxa"/>
            <w:noWrap/>
            <w:vAlign w:val="bottom"/>
            <w:hideMark/>
          </w:tcPr>
          <w:p w14:paraId="25697FAC" w14:textId="01546DB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$27,176,563</w:t>
            </w:r>
          </w:p>
        </w:tc>
        <w:tc>
          <w:tcPr>
            <w:tcW w:w="1429" w:type="dxa"/>
            <w:noWrap/>
            <w:vAlign w:val="bottom"/>
            <w:hideMark/>
          </w:tcPr>
          <w:p w14:paraId="5B53BE60" w14:textId="1F02BA4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$22,956,942</w:t>
            </w:r>
          </w:p>
        </w:tc>
        <w:tc>
          <w:tcPr>
            <w:tcW w:w="1429" w:type="dxa"/>
            <w:noWrap/>
            <w:vAlign w:val="bottom"/>
            <w:hideMark/>
          </w:tcPr>
          <w:p w14:paraId="36BB615C" w14:textId="46B0649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$19,006,062</w:t>
            </w:r>
          </w:p>
        </w:tc>
        <w:tc>
          <w:tcPr>
            <w:tcW w:w="1502" w:type="dxa"/>
            <w:noWrap/>
            <w:vAlign w:val="bottom"/>
            <w:hideMark/>
          </w:tcPr>
          <w:p w14:paraId="4D92E342" w14:textId="780F1E4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$8,964,469</w:t>
            </w:r>
          </w:p>
        </w:tc>
        <w:tc>
          <w:tcPr>
            <w:tcW w:w="1669" w:type="dxa"/>
            <w:noWrap/>
            <w:vAlign w:val="bottom"/>
            <w:hideMark/>
          </w:tcPr>
          <w:p w14:paraId="172536D7" w14:textId="770954D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18%</w:t>
            </w:r>
          </w:p>
        </w:tc>
        <w:tc>
          <w:tcPr>
            <w:tcW w:w="1688" w:type="dxa"/>
            <w:noWrap/>
            <w:vAlign w:val="bottom"/>
            <w:hideMark/>
          </w:tcPr>
          <w:p w14:paraId="09B5A41C" w14:textId="3C09C92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203%</w:t>
            </w:r>
          </w:p>
        </w:tc>
      </w:tr>
      <w:tr w:rsidR="000303CB" w:rsidRPr="00B36D1A" w14:paraId="118ABAB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87A0129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NM</w:t>
            </w:r>
          </w:p>
        </w:tc>
        <w:tc>
          <w:tcPr>
            <w:tcW w:w="1429" w:type="dxa"/>
            <w:noWrap/>
            <w:vAlign w:val="bottom"/>
            <w:hideMark/>
          </w:tcPr>
          <w:p w14:paraId="4B8B3B4A" w14:textId="5E76A46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$2,706,083</w:t>
            </w:r>
          </w:p>
        </w:tc>
        <w:tc>
          <w:tcPr>
            <w:tcW w:w="1429" w:type="dxa"/>
            <w:noWrap/>
            <w:vAlign w:val="bottom"/>
            <w:hideMark/>
          </w:tcPr>
          <w:p w14:paraId="376E64F8" w14:textId="088EB97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$1,585,113</w:t>
            </w:r>
          </w:p>
        </w:tc>
        <w:tc>
          <w:tcPr>
            <w:tcW w:w="1429" w:type="dxa"/>
            <w:noWrap/>
            <w:vAlign w:val="bottom"/>
            <w:hideMark/>
          </w:tcPr>
          <w:p w14:paraId="212444D4" w14:textId="666E228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$1,353,377</w:t>
            </w:r>
          </w:p>
        </w:tc>
        <w:tc>
          <w:tcPr>
            <w:tcW w:w="1502" w:type="dxa"/>
            <w:noWrap/>
            <w:vAlign w:val="bottom"/>
            <w:hideMark/>
          </w:tcPr>
          <w:p w14:paraId="07713E7A" w14:textId="2A30AC5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$472,615</w:t>
            </w:r>
          </w:p>
        </w:tc>
        <w:tc>
          <w:tcPr>
            <w:tcW w:w="1669" w:type="dxa"/>
            <w:noWrap/>
            <w:vAlign w:val="bottom"/>
            <w:hideMark/>
          </w:tcPr>
          <w:p w14:paraId="1E769069" w14:textId="2850E1D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71%</w:t>
            </w:r>
          </w:p>
        </w:tc>
        <w:tc>
          <w:tcPr>
            <w:tcW w:w="1688" w:type="dxa"/>
            <w:noWrap/>
            <w:vAlign w:val="bottom"/>
            <w:hideMark/>
          </w:tcPr>
          <w:p w14:paraId="458EC790" w14:textId="41F4090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473%</w:t>
            </w:r>
          </w:p>
        </w:tc>
      </w:tr>
      <w:tr w:rsidR="000303CB" w:rsidRPr="00B36D1A" w14:paraId="2050CF14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22A3C2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lastRenderedPageBreak/>
              <w:t>NV</w:t>
            </w:r>
          </w:p>
        </w:tc>
        <w:tc>
          <w:tcPr>
            <w:tcW w:w="1429" w:type="dxa"/>
            <w:noWrap/>
            <w:vAlign w:val="bottom"/>
            <w:hideMark/>
          </w:tcPr>
          <w:p w14:paraId="79516732" w14:textId="4A0C612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$3,651,919</w:t>
            </w:r>
          </w:p>
        </w:tc>
        <w:tc>
          <w:tcPr>
            <w:tcW w:w="1429" w:type="dxa"/>
            <w:noWrap/>
            <w:vAlign w:val="bottom"/>
            <w:hideMark/>
          </w:tcPr>
          <w:p w14:paraId="42F0E59F" w14:textId="57F749A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$3,037,955</w:t>
            </w:r>
          </w:p>
        </w:tc>
        <w:tc>
          <w:tcPr>
            <w:tcW w:w="1429" w:type="dxa"/>
            <w:noWrap/>
            <w:vAlign w:val="bottom"/>
            <w:hideMark/>
          </w:tcPr>
          <w:p w14:paraId="2EA5D35D" w14:textId="44D0EED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$3,199,731</w:t>
            </w:r>
          </w:p>
        </w:tc>
        <w:tc>
          <w:tcPr>
            <w:tcW w:w="1502" w:type="dxa"/>
            <w:noWrap/>
            <w:vAlign w:val="bottom"/>
            <w:hideMark/>
          </w:tcPr>
          <w:p w14:paraId="2AAA5F05" w14:textId="1E66CAC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$1,342,137</w:t>
            </w:r>
          </w:p>
        </w:tc>
        <w:tc>
          <w:tcPr>
            <w:tcW w:w="1669" w:type="dxa"/>
            <w:noWrap/>
            <w:vAlign w:val="bottom"/>
            <w:hideMark/>
          </w:tcPr>
          <w:p w14:paraId="650BFA30" w14:textId="687D072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688" w:type="dxa"/>
            <w:noWrap/>
            <w:vAlign w:val="bottom"/>
            <w:hideMark/>
          </w:tcPr>
          <w:p w14:paraId="1789E632" w14:textId="1F8785F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172%</w:t>
            </w:r>
          </w:p>
        </w:tc>
      </w:tr>
      <w:tr w:rsidR="000303CB" w:rsidRPr="00B36D1A" w14:paraId="794A94E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724ED9C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NY</w:t>
            </w:r>
          </w:p>
        </w:tc>
        <w:tc>
          <w:tcPr>
            <w:tcW w:w="1429" w:type="dxa"/>
            <w:noWrap/>
            <w:vAlign w:val="bottom"/>
            <w:hideMark/>
          </w:tcPr>
          <w:p w14:paraId="3EBC4E1E" w14:textId="2D2AE35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$42,085,797</w:t>
            </w:r>
          </w:p>
        </w:tc>
        <w:tc>
          <w:tcPr>
            <w:tcW w:w="1429" w:type="dxa"/>
            <w:noWrap/>
            <w:vAlign w:val="bottom"/>
            <w:hideMark/>
          </w:tcPr>
          <w:p w14:paraId="590DA392" w14:textId="61606A8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$34,263,872</w:t>
            </w:r>
          </w:p>
        </w:tc>
        <w:tc>
          <w:tcPr>
            <w:tcW w:w="1429" w:type="dxa"/>
            <w:noWrap/>
            <w:vAlign w:val="bottom"/>
            <w:hideMark/>
          </w:tcPr>
          <w:p w14:paraId="7B490D99" w14:textId="4AE49D4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$33,106,579</w:t>
            </w:r>
          </w:p>
        </w:tc>
        <w:tc>
          <w:tcPr>
            <w:tcW w:w="1502" w:type="dxa"/>
            <w:noWrap/>
            <w:vAlign w:val="bottom"/>
            <w:hideMark/>
          </w:tcPr>
          <w:p w14:paraId="3C9BA68F" w14:textId="3F72A8E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$21,334,173</w:t>
            </w:r>
          </w:p>
        </w:tc>
        <w:tc>
          <w:tcPr>
            <w:tcW w:w="1669" w:type="dxa"/>
            <w:noWrap/>
            <w:vAlign w:val="bottom"/>
            <w:hideMark/>
          </w:tcPr>
          <w:p w14:paraId="3A519F14" w14:textId="2CC56B6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23%</w:t>
            </w:r>
          </w:p>
        </w:tc>
        <w:tc>
          <w:tcPr>
            <w:tcW w:w="1688" w:type="dxa"/>
            <w:noWrap/>
            <w:vAlign w:val="bottom"/>
            <w:hideMark/>
          </w:tcPr>
          <w:p w14:paraId="6850A804" w14:textId="2CB6E41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97%</w:t>
            </w:r>
          </w:p>
        </w:tc>
      </w:tr>
      <w:tr w:rsidR="000303CB" w:rsidRPr="00B36D1A" w14:paraId="0F63E5A8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D3FD1B0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OH</w:t>
            </w:r>
          </w:p>
        </w:tc>
        <w:tc>
          <w:tcPr>
            <w:tcW w:w="1429" w:type="dxa"/>
            <w:noWrap/>
            <w:vAlign w:val="bottom"/>
            <w:hideMark/>
          </w:tcPr>
          <w:p w14:paraId="545C305E" w14:textId="7F59996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$10,512,806</w:t>
            </w:r>
          </w:p>
        </w:tc>
        <w:tc>
          <w:tcPr>
            <w:tcW w:w="1429" w:type="dxa"/>
            <w:noWrap/>
            <w:vAlign w:val="bottom"/>
            <w:hideMark/>
          </w:tcPr>
          <w:p w14:paraId="6FB86169" w14:textId="2B5FDE9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$8,452,465</w:t>
            </w:r>
          </w:p>
        </w:tc>
        <w:tc>
          <w:tcPr>
            <w:tcW w:w="1429" w:type="dxa"/>
            <w:noWrap/>
            <w:vAlign w:val="bottom"/>
            <w:hideMark/>
          </w:tcPr>
          <w:p w14:paraId="0F7DDC21" w14:textId="17EB013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$7,631,914</w:t>
            </w:r>
          </w:p>
        </w:tc>
        <w:tc>
          <w:tcPr>
            <w:tcW w:w="1502" w:type="dxa"/>
            <w:noWrap/>
            <w:vAlign w:val="bottom"/>
            <w:hideMark/>
          </w:tcPr>
          <w:p w14:paraId="6A728F83" w14:textId="2D9AD4A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$2,806,824</w:t>
            </w:r>
          </w:p>
        </w:tc>
        <w:tc>
          <w:tcPr>
            <w:tcW w:w="1669" w:type="dxa"/>
            <w:noWrap/>
            <w:vAlign w:val="bottom"/>
            <w:hideMark/>
          </w:tcPr>
          <w:p w14:paraId="47F89744" w14:textId="27DCE88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24%</w:t>
            </w:r>
          </w:p>
        </w:tc>
        <w:tc>
          <w:tcPr>
            <w:tcW w:w="1688" w:type="dxa"/>
            <w:noWrap/>
            <w:vAlign w:val="bottom"/>
            <w:hideMark/>
          </w:tcPr>
          <w:p w14:paraId="26CFDD27" w14:textId="60D259E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275%</w:t>
            </w:r>
          </w:p>
        </w:tc>
      </w:tr>
      <w:tr w:rsidR="000303CB" w:rsidRPr="00B36D1A" w14:paraId="59FB7C4D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66E1243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OK</w:t>
            </w:r>
          </w:p>
        </w:tc>
        <w:tc>
          <w:tcPr>
            <w:tcW w:w="1429" w:type="dxa"/>
            <w:noWrap/>
            <w:vAlign w:val="bottom"/>
            <w:hideMark/>
          </w:tcPr>
          <w:p w14:paraId="47BF389B" w14:textId="00D0470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$4,041,875</w:t>
            </w:r>
          </w:p>
        </w:tc>
        <w:tc>
          <w:tcPr>
            <w:tcW w:w="1429" w:type="dxa"/>
            <w:noWrap/>
            <w:vAlign w:val="bottom"/>
            <w:hideMark/>
          </w:tcPr>
          <w:p w14:paraId="0DEB68DB" w14:textId="51422D1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$2,317,432</w:t>
            </w:r>
          </w:p>
        </w:tc>
        <w:tc>
          <w:tcPr>
            <w:tcW w:w="1429" w:type="dxa"/>
            <w:noWrap/>
            <w:vAlign w:val="bottom"/>
            <w:hideMark/>
          </w:tcPr>
          <w:p w14:paraId="1B22452B" w14:textId="72C898C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$2,664,130</w:t>
            </w:r>
          </w:p>
        </w:tc>
        <w:tc>
          <w:tcPr>
            <w:tcW w:w="1502" w:type="dxa"/>
            <w:noWrap/>
            <w:vAlign w:val="bottom"/>
            <w:hideMark/>
          </w:tcPr>
          <w:p w14:paraId="0CC45186" w14:textId="149921C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$910,087</w:t>
            </w:r>
          </w:p>
        </w:tc>
        <w:tc>
          <w:tcPr>
            <w:tcW w:w="1669" w:type="dxa"/>
            <w:noWrap/>
            <w:vAlign w:val="bottom"/>
            <w:hideMark/>
          </w:tcPr>
          <w:p w14:paraId="62783F6B" w14:textId="51B14D9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74%</w:t>
            </w:r>
          </w:p>
        </w:tc>
        <w:tc>
          <w:tcPr>
            <w:tcW w:w="1688" w:type="dxa"/>
            <w:noWrap/>
            <w:vAlign w:val="bottom"/>
            <w:hideMark/>
          </w:tcPr>
          <w:p w14:paraId="3A25DF7C" w14:textId="19F9AD1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344%</w:t>
            </w:r>
          </w:p>
        </w:tc>
      </w:tr>
      <w:tr w:rsidR="000303CB" w:rsidRPr="00B36D1A" w14:paraId="7CA0B215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FDC712A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OR</w:t>
            </w:r>
          </w:p>
        </w:tc>
        <w:tc>
          <w:tcPr>
            <w:tcW w:w="1429" w:type="dxa"/>
            <w:noWrap/>
            <w:vAlign w:val="bottom"/>
            <w:hideMark/>
          </w:tcPr>
          <w:p w14:paraId="66EE0DE8" w14:textId="1A70FC2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$6,053,109</w:t>
            </w:r>
          </w:p>
        </w:tc>
        <w:tc>
          <w:tcPr>
            <w:tcW w:w="1429" w:type="dxa"/>
            <w:noWrap/>
            <w:vAlign w:val="bottom"/>
            <w:hideMark/>
          </w:tcPr>
          <w:p w14:paraId="55985938" w14:textId="7B87417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$3,987,629</w:t>
            </w:r>
          </w:p>
        </w:tc>
        <w:tc>
          <w:tcPr>
            <w:tcW w:w="1429" w:type="dxa"/>
            <w:noWrap/>
            <w:vAlign w:val="bottom"/>
            <w:hideMark/>
          </w:tcPr>
          <w:p w14:paraId="50A38E50" w14:textId="0EE8048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$2,986,831</w:t>
            </w:r>
          </w:p>
        </w:tc>
        <w:tc>
          <w:tcPr>
            <w:tcW w:w="1502" w:type="dxa"/>
            <w:noWrap/>
            <w:vAlign w:val="bottom"/>
            <w:hideMark/>
          </w:tcPr>
          <w:p w14:paraId="2D976C27" w14:textId="760321E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$1,277,509</w:t>
            </w:r>
          </w:p>
        </w:tc>
        <w:tc>
          <w:tcPr>
            <w:tcW w:w="1669" w:type="dxa"/>
            <w:noWrap/>
            <w:vAlign w:val="bottom"/>
            <w:hideMark/>
          </w:tcPr>
          <w:p w14:paraId="251CECE3" w14:textId="7137CFB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52%</w:t>
            </w:r>
          </w:p>
        </w:tc>
        <w:tc>
          <w:tcPr>
            <w:tcW w:w="1688" w:type="dxa"/>
            <w:noWrap/>
            <w:vAlign w:val="bottom"/>
            <w:hideMark/>
          </w:tcPr>
          <w:p w14:paraId="61B87656" w14:textId="0527850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374%</w:t>
            </w:r>
          </w:p>
        </w:tc>
      </w:tr>
      <w:tr w:rsidR="000303CB" w:rsidRPr="00B36D1A" w14:paraId="61C4A1FD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BDCBE99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PA</w:t>
            </w:r>
          </w:p>
        </w:tc>
        <w:tc>
          <w:tcPr>
            <w:tcW w:w="1429" w:type="dxa"/>
            <w:noWrap/>
            <w:vAlign w:val="bottom"/>
            <w:hideMark/>
          </w:tcPr>
          <w:p w14:paraId="1E88CDDF" w14:textId="5828362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$15,252,227</w:t>
            </w:r>
          </w:p>
        </w:tc>
        <w:tc>
          <w:tcPr>
            <w:tcW w:w="1429" w:type="dxa"/>
            <w:noWrap/>
            <w:vAlign w:val="bottom"/>
            <w:hideMark/>
          </w:tcPr>
          <w:p w14:paraId="014EB922" w14:textId="19B1C49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$10,576,515</w:t>
            </w:r>
          </w:p>
        </w:tc>
        <w:tc>
          <w:tcPr>
            <w:tcW w:w="1429" w:type="dxa"/>
            <w:noWrap/>
            <w:vAlign w:val="bottom"/>
            <w:hideMark/>
          </w:tcPr>
          <w:p w14:paraId="44210E04" w14:textId="53CEBF1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$9,460,411</w:t>
            </w:r>
          </w:p>
        </w:tc>
        <w:tc>
          <w:tcPr>
            <w:tcW w:w="1502" w:type="dxa"/>
            <w:noWrap/>
            <w:vAlign w:val="bottom"/>
            <w:hideMark/>
          </w:tcPr>
          <w:p w14:paraId="43237FED" w14:textId="3D8511E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$4,112,366</w:t>
            </w:r>
          </w:p>
        </w:tc>
        <w:tc>
          <w:tcPr>
            <w:tcW w:w="1669" w:type="dxa"/>
            <w:noWrap/>
            <w:vAlign w:val="bottom"/>
            <w:hideMark/>
          </w:tcPr>
          <w:p w14:paraId="43EF8F8C" w14:textId="350D524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44%</w:t>
            </w:r>
          </w:p>
        </w:tc>
        <w:tc>
          <w:tcPr>
            <w:tcW w:w="1688" w:type="dxa"/>
            <w:noWrap/>
            <w:vAlign w:val="bottom"/>
            <w:hideMark/>
          </w:tcPr>
          <w:p w14:paraId="5862CFA4" w14:textId="5B1ACCA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271%</w:t>
            </w:r>
          </w:p>
        </w:tc>
      </w:tr>
      <w:tr w:rsidR="000303CB" w:rsidRPr="00B36D1A" w14:paraId="0BDFC97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F8757D4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PR</w:t>
            </w:r>
          </w:p>
        </w:tc>
        <w:tc>
          <w:tcPr>
            <w:tcW w:w="1429" w:type="dxa"/>
            <w:noWrap/>
            <w:vAlign w:val="bottom"/>
            <w:hideMark/>
          </w:tcPr>
          <w:p w14:paraId="16412F98" w14:textId="2E291DF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$568,697</w:t>
            </w:r>
          </w:p>
        </w:tc>
        <w:tc>
          <w:tcPr>
            <w:tcW w:w="1429" w:type="dxa"/>
            <w:noWrap/>
            <w:vAlign w:val="bottom"/>
            <w:hideMark/>
          </w:tcPr>
          <w:p w14:paraId="5DCB89F2" w14:textId="7A6F98F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$21,067,895</w:t>
            </w:r>
          </w:p>
        </w:tc>
        <w:tc>
          <w:tcPr>
            <w:tcW w:w="1429" w:type="dxa"/>
            <w:noWrap/>
            <w:vAlign w:val="bottom"/>
            <w:hideMark/>
          </w:tcPr>
          <w:p w14:paraId="6477FDCD" w14:textId="264D49A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$18,856,123</w:t>
            </w:r>
          </w:p>
        </w:tc>
        <w:tc>
          <w:tcPr>
            <w:tcW w:w="1502" w:type="dxa"/>
            <w:noWrap/>
            <w:vAlign w:val="bottom"/>
            <w:hideMark/>
          </w:tcPr>
          <w:p w14:paraId="6A508919" w14:textId="7E103FF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$18,717,913</w:t>
            </w:r>
          </w:p>
        </w:tc>
        <w:tc>
          <w:tcPr>
            <w:tcW w:w="1669" w:type="dxa"/>
            <w:noWrap/>
            <w:vAlign w:val="bottom"/>
            <w:hideMark/>
          </w:tcPr>
          <w:p w14:paraId="2EA865F1" w14:textId="507404C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-97%</w:t>
            </w:r>
          </w:p>
        </w:tc>
        <w:tc>
          <w:tcPr>
            <w:tcW w:w="1688" w:type="dxa"/>
            <w:noWrap/>
            <w:vAlign w:val="bottom"/>
            <w:hideMark/>
          </w:tcPr>
          <w:p w14:paraId="0D5B8A92" w14:textId="0DE8634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-97%</w:t>
            </w:r>
          </w:p>
        </w:tc>
      </w:tr>
      <w:tr w:rsidR="000303CB" w:rsidRPr="00B36D1A" w14:paraId="2B6F084B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340F6E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RI</w:t>
            </w:r>
          </w:p>
        </w:tc>
        <w:tc>
          <w:tcPr>
            <w:tcW w:w="1429" w:type="dxa"/>
            <w:noWrap/>
            <w:vAlign w:val="bottom"/>
            <w:hideMark/>
          </w:tcPr>
          <w:p w14:paraId="0E4CF4DB" w14:textId="2735162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$1,818,492</w:t>
            </w:r>
          </w:p>
        </w:tc>
        <w:tc>
          <w:tcPr>
            <w:tcW w:w="1429" w:type="dxa"/>
            <w:noWrap/>
            <w:vAlign w:val="bottom"/>
            <w:hideMark/>
          </w:tcPr>
          <w:p w14:paraId="395A2F7B" w14:textId="3A9F7F9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$1,621,319</w:t>
            </w:r>
          </w:p>
        </w:tc>
        <w:tc>
          <w:tcPr>
            <w:tcW w:w="1429" w:type="dxa"/>
            <w:noWrap/>
            <w:vAlign w:val="bottom"/>
            <w:hideMark/>
          </w:tcPr>
          <w:p w14:paraId="53DC44D2" w14:textId="13EF21F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$1,528,962</w:t>
            </w:r>
          </w:p>
        </w:tc>
        <w:tc>
          <w:tcPr>
            <w:tcW w:w="1502" w:type="dxa"/>
            <w:noWrap/>
            <w:vAlign w:val="bottom"/>
            <w:hideMark/>
          </w:tcPr>
          <w:p w14:paraId="4448FC8A" w14:textId="57F6031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$549,775</w:t>
            </w:r>
          </w:p>
        </w:tc>
        <w:tc>
          <w:tcPr>
            <w:tcW w:w="1669" w:type="dxa"/>
            <w:noWrap/>
            <w:vAlign w:val="bottom"/>
            <w:hideMark/>
          </w:tcPr>
          <w:p w14:paraId="3F0D0237" w14:textId="13E0D8A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12%</w:t>
            </w:r>
          </w:p>
        </w:tc>
        <w:tc>
          <w:tcPr>
            <w:tcW w:w="1688" w:type="dxa"/>
            <w:noWrap/>
            <w:vAlign w:val="bottom"/>
            <w:hideMark/>
          </w:tcPr>
          <w:p w14:paraId="711AC7C7" w14:textId="33E455F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231%</w:t>
            </w:r>
          </w:p>
        </w:tc>
      </w:tr>
      <w:tr w:rsidR="000303CB" w:rsidRPr="00B36D1A" w14:paraId="334A3041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5D9DE76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SC</w:t>
            </w:r>
          </w:p>
        </w:tc>
        <w:tc>
          <w:tcPr>
            <w:tcW w:w="1429" w:type="dxa"/>
            <w:noWrap/>
            <w:vAlign w:val="bottom"/>
            <w:hideMark/>
          </w:tcPr>
          <w:p w14:paraId="0DC36989" w14:textId="59C2894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$14,681,383</w:t>
            </w:r>
          </w:p>
        </w:tc>
        <w:tc>
          <w:tcPr>
            <w:tcW w:w="1429" w:type="dxa"/>
            <w:noWrap/>
            <w:vAlign w:val="bottom"/>
            <w:hideMark/>
          </w:tcPr>
          <w:p w14:paraId="1CB45DB3" w14:textId="1719F4A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$9,699,213</w:t>
            </w:r>
          </w:p>
        </w:tc>
        <w:tc>
          <w:tcPr>
            <w:tcW w:w="1429" w:type="dxa"/>
            <w:noWrap/>
            <w:vAlign w:val="bottom"/>
            <w:hideMark/>
          </w:tcPr>
          <w:p w14:paraId="4E7B66F5" w14:textId="59CBDF3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$9,584,031</w:t>
            </w:r>
          </w:p>
        </w:tc>
        <w:tc>
          <w:tcPr>
            <w:tcW w:w="1502" w:type="dxa"/>
            <w:noWrap/>
            <w:vAlign w:val="bottom"/>
            <w:hideMark/>
          </w:tcPr>
          <w:p w14:paraId="6F29910E" w14:textId="7D40444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$7,519,711</w:t>
            </w:r>
          </w:p>
        </w:tc>
        <w:tc>
          <w:tcPr>
            <w:tcW w:w="1669" w:type="dxa"/>
            <w:noWrap/>
            <w:vAlign w:val="bottom"/>
            <w:hideMark/>
          </w:tcPr>
          <w:p w14:paraId="28AEADF0" w14:textId="25887A8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51%</w:t>
            </w:r>
          </w:p>
        </w:tc>
        <w:tc>
          <w:tcPr>
            <w:tcW w:w="1688" w:type="dxa"/>
            <w:noWrap/>
            <w:vAlign w:val="bottom"/>
            <w:hideMark/>
          </w:tcPr>
          <w:p w14:paraId="5053A0BC" w14:textId="7FD1C7B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95%</w:t>
            </w:r>
          </w:p>
        </w:tc>
      </w:tr>
      <w:tr w:rsidR="000303CB" w:rsidRPr="00B36D1A" w14:paraId="0648E10A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029ECEE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SD</w:t>
            </w:r>
          </w:p>
        </w:tc>
        <w:tc>
          <w:tcPr>
            <w:tcW w:w="1429" w:type="dxa"/>
            <w:noWrap/>
            <w:vAlign w:val="bottom"/>
            <w:hideMark/>
          </w:tcPr>
          <w:p w14:paraId="23732C99" w14:textId="2DE696B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$558,429</w:t>
            </w:r>
          </w:p>
        </w:tc>
        <w:tc>
          <w:tcPr>
            <w:tcW w:w="1429" w:type="dxa"/>
            <w:noWrap/>
            <w:vAlign w:val="bottom"/>
            <w:hideMark/>
          </w:tcPr>
          <w:p w14:paraId="14829DA9" w14:textId="022F993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$375,113</w:t>
            </w:r>
          </w:p>
        </w:tc>
        <w:tc>
          <w:tcPr>
            <w:tcW w:w="1429" w:type="dxa"/>
            <w:noWrap/>
            <w:vAlign w:val="bottom"/>
            <w:hideMark/>
          </w:tcPr>
          <w:p w14:paraId="71E71915" w14:textId="771553B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$325,147</w:t>
            </w:r>
          </w:p>
        </w:tc>
        <w:tc>
          <w:tcPr>
            <w:tcW w:w="1502" w:type="dxa"/>
            <w:noWrap/>
            <w:vAlign w:val="bottom"/>
            <w:hideMark/>
          </w:tcPr>
          <w:p w14:paraId="49BA3FC7" w14:textId="0839FFB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$222,703</w:t>
            </w:r>
          </w:p>
        </w:tc>
        <w:tc>
          <w:tcPr>
            <w:tcW w:w="1669" w:type="dxa"/>
            <w:noWrap/>
            <w:vAlign w:val="bottom"/>
            <w:hideMark/>
          </w:tcPr>
          <w:p w14:paraId="092D8698" w14:textId="34148EC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49%</w:t>
            </w:r>
          </w:p>
        </w:tc>
        <w:tc>
          <w:tcPr>
            <w:tcW w:w="1688" w:type="dxa"/>
            <w:noWrap/>
            <w:vAlign w:val="bottom"/>
            <w:hideMark/>
          </w:tcPr>
          <w:p w14:paraId="32912BC5" w14:textId="13B5A2E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151%</w:t>
            </w:r>
          </w:p>
        </w:tc>
      </w:tr>
      <w:tr w:rsidR="000303CB" w:rsidRPr="00B36D1A" w14:paraId="37CEF349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4EDE026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TN</w:t>
            </w:r>
          </w:p>
        </w:tc>
        <w:tc>
          <w:tcPr>
            <w:tcW w:w="1429" w:type="dxa"/>
            <w:noWrap/>
            <w:vAlign w:val="bottom"/>
            <w:hideMark/>
          </w:tcPr>
          <w:p w14:paraId="24BCEF64" w14:textId="3A3796D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$7,702,168</w:t>
            </w:r>
          </w:p>
        </w:tc>
        <w:tc>
          <w:tcPr>
            <w:tcW w:w="1429" w:type="dxa"/>
            <w:noWrap/>
            <w:vAlign w:val="bottom"/>
            <w:hideMark/>
          </w:tcPr>
          <w:p w14:paraId="7F38A425" w14:textId="01A299E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$5,343,827</w:t>
            </w:r>
          </w:p>
        </w:tc>
        <w:tc>
          <w:tcPr>
            <w:tcW w:w="1429" w:type="dxa"/>
            <w:noWrap/>
            <w:vAlign w:val="bottom"/>
            <w:hideMark/>
          </w:tcPr>
          <w:p w14:paraId="3AFE10F5" w14:textId="55F7576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$4,346,069</w:t>
            </w:r>
          </w:p>
        </w:tc>
        <w:tc>
          <w:tcPr>
            <w:tcW w:w="1502" w:type="dxa"/>
            <w:noWrap/>
            <w:vAlign w:val="bottom"/>
            <w:hideMark/>
          </w:tcPr>
          <w:p w14:paraId="3FDD6809" w14:textId="0CE03F5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$2,103,754</w:t>
            </w:r>
          </w:p>
        </w:tc>
        <w:tc>
          <w:tcPr>
            <w:tcW w:w="1669" w:type="dxa"/>
            <w:noWrap/>
            <w:vAlign w:val="bottom"/>
            <w:hideMark/>
          </w:tcPr>
          <w:p w14:paraId="2BED03BA" w14:textId="11EAD1C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44%</w:t>
            </w:r>
          </w:p>
        </w:tc>
        <w:tc>
          <w:tcPr>
            <w:tcW w:w="1688" w:type="dxa"/>
            <w:noWrap/>
            <w:vAlign w:val="bottom"/>
            <w:hideMark/>
          </w:tcPr>
          <w:p w14:paraId="3EB4C3F9" w14:textId="787DE18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266%</w:t>
            </w:r>
          </w:p>
        </w:tc>
      </w:tr>
      <w:tr w:rsidR="000303CB" w:rsidRPr="00B36D1A" w14:paraId="0BE2D908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9580A7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TX</w:t>
            </w:r>
          </w:p>
        </w:tc>
        <w:tc>
          <w:tcPr>
            <w:tcW w:w="1429" w:type="dxa"/>
            <w:noWrap/>
            <w:vAlign w:val="bottom"/>
            <w:hideMark/>
          </w:tcPr>
          <w:p w14:paraId="619653FD" w14:textId="1042FBE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$49,027,163</w:t>
            </w:r>
          </w:p>
        </w:tc>
        <w:tc>
          <w:tcPr>
            <w:tcW w:w="1429" w:type="dxa"/>
            <w:noWrap/>
            <w:vAlign w:val="bottom"/>
            <w:hideMark/>
          </w:tcPr>
          <w:p w14:paraId="5F210C2A" w14:textId="74C57A7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$37,149,608</w:t>
            </w:r>
          </w:p>
        </w:tc>
        <w:tc>
          <w:tcPr>
            <w:tcW w:w="1429" w:type="dxa"/>
            <w:noWrap/>
            <w:vAlign w:val="bottom"/>
            <w:hideMark/>
          </w:tcPr>
          <w:p w14:paraId="11DC9FBF" w14:textId="56F7387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$33,122,112</w:t>
            </w:r>
          </w:p>
        </w:tc>
        <w:tc>
          <w:tcPr>
            <w:tcW w:w="1502" w:type="dxa"/>
            <w:noWrap/>
            <w:vAlign w:val="bottom"/>
            <w:hideMark/>
          </w:tcPr>
          <w:p w14:paraId="57E918DC" w14:textId="653EDB9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$14,081,217</w:t>
            </w:r>
          </w:p>
        </w:tc>
        <w:tc>
          <w:tcPr>
            <w:tcW w:w="1669" w:type="dxa"/>
            <w:noWrap/>
            <w:vAlign w:val="bottom"/>
            <w:hideMark/>
          </w:tcPr>
          <w:p w14:paraId="246B8BC9" w14:textId="377A207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32%</w:t>
            </w:r>
          </w:p>
        </w:tc>
        <w:tc>
          <w:tcPr>
            <w:tcW w:w="1688" w:type="dxa"/>
            <w:noWrap/>
            <w:vAlign w:val="bottom"/>
            <w:hideMark/>
          </w:tcPr>
          <w:p w14:paraId="4CDE6C05" w14:textId="633B75E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248%</w:t>
            </w:r>
          </w:p>
        </w:tc>
      </w:tr>
      <w:tr w:rsidR="000303CB" w:rsidRPr="00B36D1A" w14:paraId="33B547FC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8ACB9E3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UT</w:t>
            </w:r>
          </w:p>
        </w:tc>
        <w:tc>
          <w:tcPr>
            <w:tcW w:w="1429" w:type="dxa"/>
            <w:noWrap/>
            <w:vAlign w:val="bottom"/>
            <w:hideMark/>
          </w:tcPr>
          <w:p w14:paraId="3563F2DC" w14:textId="7B27EDF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$2,072,264</w:t>
            </w:r>
          </w:p>
        </w:tc>
        <w:tc>
          <w:tcPr>
            <w:tcW w:w="1429" w:type="dxa"/>
            <w:noWrap/>
            <w:vAlign w:val="bottom"/>
            <w:hideMark/>
          </w:tcPr>
          <w:p w14:paraId="5668C101" w14:textId="45E234D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$1,755,704</w:t>
            </w:r>
          </w:p>
        </w:tc>
        <w:tc>
          <w:tcPr>
            <w:tcW w:w="1429" w:type="dxa"/>
            <w:noWrap/>
            <w:vAlign w:val="bottom"/>
            <w:hideMark/>
          </w:tcPr>
          <w:p w14:paraId="0BC13076" w14:textId="1212EB6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$1,495,392</w:t>
            </w:r>
          </w:p>
        </w:tc>
        <w:tc>
          <w:tcPr>
            <w:tcW w:w="1502" w:type="dxa"/>
            <w:noWrap/>
            <w:vAlign w:val="bottom"/>
            <w:hideMark/>
          </w:tcPr>
          <w:p w14:paraId="0D6CE454" w14:textId="7ADDEEE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$794,551</w:t>
            </w:r>
          </w:p>
        </w:tc>
        <w:tc>
          <w:tcPr>
            <w:tcW w:w="1669" w:type="dxa"/>
            <w:noWrap/>
            <w:vAlign w:val="bottom"/>
            <w:hideMark/>
          </w:tcPr>
          <w:p w14:paraId="25802C9B" w14:textId="2F2363B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18%</w:t>
            </w:r>
          </w:p>
        </w:tc>
        <w:tc>
          <w:tcPr>
            <w:tcW w:w="1688" w:type="dxa"/>
            <w:noWrap/>
            <w:vAlign w:val="bottom"/>
            <w:hideMark/>
          </w:tcPr>
          <w:p w14:paraId="413BF1BA" w14:textId="7BB471A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161%</w:t>
            </w:r>
          </w:p>
        </w:tc>
      </w:tr>
      <w:tr w:rsidR="000303CB" w:rsidRPr="00B36D1A" w14:paraId="17947E37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C97591A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VA</w:t>
            </w:r>
          </w:p>
        </w:tc>
        <w:tc>
          <w:tcPr>
            <w:tcW w:w="1429" w:type="dxa"/>
            <w:noWrap/>
            <w:vAlign w:val="bottom"/>
            <w:hideMark/>
          </w:tcPr>
          <w:p w14:paraId="65420A04" w14:textId="547963F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$10,152,262</w:t>
            </w:r>
          </w:p>
        </w:tc>
        <w:tc>
          <w:tcPr>
            <w:tcW w:w="1429" w:type="dxa"/>
            <w:noWrap/>
            <w:vAlign w:val="bottom"/>
            <w:hideMark/>
          </w:tcPr>
          <w:p w14:paraId="318737E9" w14:textId="4FFCF96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$5,685,468</w:t>
            </w:r>
          </w:p>
        </w:tc>
        <w:tc>
          <w:tcPr>
            <w:tcW w:w="1429" w:type="dxa"/>
            <w:noWrap/>
            <w:vAlign w:val="bottom"/>
            <w:hideMark/>
          </w:tcPr>
          <w:p w14:paraId="2B78B42C" w14:textId="36F9F71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$5,824,289</w:t>
            </w:r>
          </w:p>
        </w:tc>
        <w:tc>
          <w:tcPr>
            <w:tcW w:w="1502" w:type="dxa"/>
            <w:noWrap/>
            <w:vAlign w:val="bottom"/>
            <w:hideMark/>
          </w:tcPr>
          <w:p w14:paraId="50A4BD3F" w14:textId="2E88BFB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$1,828,678</w:t>
            </w:r>
          </w:p>
        </w:tc>
        <w:tc>
          <w:tcPr>
            <w:tcW w:w="1669" w:type="dxa"/>
            <w:noWrap/>
            <w:vAlign w:val="bottom"/>
            <w:hideMark/>
          </w:tcPr>
          <w:p w14:paraId="5AFCFBBE" w14:textId="4F2F963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79%</w:t>
            </w:r>
          </w:p>
        </w:tc>
        <w:tc>
          <w:tcPr>
            <w:tcW w:w="1688" w:type="dxa"/>
            <w:noWrap/>
            <w:vAlign w:val="bottom"/>
            <w:hideMark/>
          </w:tcPr>
          <w:p w14:paraId="36528A68" w14:textId="6FA2817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455%</w:t>
            </w:r>
          </w:p>
        </w:tc>
      </w:tr>
      <w:tr w:rsidR="000303CB" w:rsidRPr="00B36D1A" w14:paraId="17140038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6BAD3EE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</w:tc>
        <w:tc>
          <w:tcPr>
            <w:tcW w:w="1429" w:type="dxa"/>
            <w:noWrap/>
            <w:vAlign w:val="bottom"/>
            <w:hideMark/>
          </w:tcPr>
          <w:p w14:paraId="38612408" w14:textId="484C8E23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$322,270</w:t>
            </w:r>
          </w:p>
        </w:tc>
        <w:tc>
          <w:tcPr>
            <w:tcW w:w="1429" w:type="dxa"/>
            <w:noWrap/>
            <w:vAlign w:val="bottom"/>
            <w:hideMark/>
          </w:tcPr>
          <w:p w14:paraId="01B02731" w14:textId="3BF5B6A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$22,078</w:t>
            </w:r>
          </w:p>
        </w:tc>
        <w:tc>
          <w:tcPr>
            <w:tcW w:w="1429" w:type="dxa"/>
            <w:noWrap/>
            <w:vAlign w:val="bottom"/>
            <w:hideMark/>
          </w:tcPr>
          <w:p w14:paraId="5DDC45EF" w14:textId="5C6CC14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$43,054</w:t>
            </w:r>
          </w:p>
        </w:tc>
        <w:tc>
          <w:tcPr>
            <w:tcW w:w="1502" w:type="dxa"/>
            <w:noWrap/>
            <w:vAlign w:val="bottom"/>
            <w:hideMark/>
          </w:tcPr>
          <w:p w14:paraId="6673D870" w14:textId="53401C8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$122,374</w:t>
            </w:r>
          </w:p>
        </w:tc>
        <w:tc>
          <w:tcPr>
            <w:tcW w:w="1669" w:type="dxa"/>
            <w:noWrap/>
            <w:vAlign w:val="bottom"/>
            <w:hideMark/>
          </w:tcPr>
          <w:p w14:paraId="05431FC7" w14:textId="5D946A4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1360%</w:t>
            </w:r>
          </w:p>
        </w:tc>
        <w:tc>
          <w:tcPr>
            <w:tcW w:w="1688" w:type="dxa"/>
            <w:noWrap/>
            <w:vAlign w:val="bottom"/>
            <w:hideMark/>
          </w:tcPr>
          <w:p w14:paraId="7B26B5A9" w14:textId="21BDCE7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163%</w:t>
            </w:r>
          </w:p>
        </w:tc>
      </w:tr>
      <w:tr w:rsidR="000303CB" w:rsidRPr="00B36D1A" w14:paraId="1306B1BF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75592681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VT</w:t>
            </w:r>
          </w:p>
        </w:tc>
        <w:tc>
          <w:tcPr>
            <w:tcW w:w="1429" w:type="dxa"/>
            <w:noWrap/>
            <w:vAlign w:val="bottom"/>
            <w:hideMark/>
          </w:tcPr>
          <w:p w14:paraId="78270B9C" w14:textId="09A7105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$585,711</w:t>
            </w:r>
          </w:p>
        </w:tc>
        <w:tc>
          <w:tcPr>
            <w:tcW w:w="1429" w:type="dxa"/>
            <w:noWrap/>
            <w:vAlign w:val="bottom"/>
            <w:hideMark/>
          </w:tcPr>
          <w:p w14:paraId="0CF55D7B" w14:textId="692B84C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$489,548</w:t>
            </w:r>
          </w:p>
        </w:tc>
        <w:tc>
          <w:tcPr>
            <w:tcW w:w="1429" w:type="dxa"/>
            <w:noWrap/>
            <w:vAlign w:val="bottom"/>
            <w:hideMark/>
          </w:tcPr>
          <w:p w14:paraId="3C0FEA43" w14:textId="459244C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$334,370</w:t>
            </w:r>
          </w:p>
        </w:tc>
        <w:tc>
          <w:tcPr>
            <w:tcW w:w="1502" w:type="dxa"/>
            <w:noWrap/>
            <w:vAlign w:val="bottom"/>
            <w:hideMark/>
          </w:tcPr>
          <w:p w14:paraId="499AD71E" w14:textId="17644DE6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$163,608</w:t>
            </w:r>
          </w:p>
        </w:tc>
        <w:tc>
          <w:tcPr>
            <w:tcW w:w="1669" w:type="dxa"/>
            <w:noWrap/>
            <w:vAlign w:val="bottom"/>
            <w:hideMark/>
          </w:tcPr>
          <w:p w14:paraId="543B7E60" w14:textId="7E0D235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688" w:type="dxa"/>
            <w:noWrap/>
            <w:vAlign w:val="bottom"/>
            <w:hideMark/>
          </w:tcPr>
          <w:p w14:paraId="096C18F9" w14:textId="591239B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258%</w:t>
            </w:r>
          </w:p>
        </w:tc>
      </w:tr>
      <w:tr w:rsidR="000303CB" w:rsidRPr="00B36D1A" w14:paraId="0A671684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02DDA317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WA</w:t>
            </w:r>
          </w:p>
        </w:tc>
        <w:tc>
          <w:tcPr>
            <w:tcW w:w="1429" w:type="dxa"/>
            <w:noWrap/>
            <w:vAlign w:val="bottom"/>
            <w:hideMark/>
          </w:tcPr>
          <w:p w14:paraId="0BC64D66" w14:textId="2B3E063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$8,729,057</w:t>
            </w:r>
          </w:p>
        </w:tc>
        <w:tc>
          <w:tcPr>
            <w:tcW w:w="1429" w:type="dxa"/>
            <w:noWrap/>
            <w:vAlign w:val="bottom"/>
            <w:hideMark/>
          </w:tcPr>
          <w:p w14:paraId="519403B2" w14:textId="05813DCE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$7,796,452</w:t>
            </w:r>
          </w:p>
        </w:tc>
        <w:tc>
          <w:tcPr>
            <w:tcW w:w="1429" w:type="dxa"/>
            <w:noWrap/>
            <w:vAlign w:val="bottom"/>
            <w:hideMark/>
          </w:tcPr>
          <w:p w14:paraId="365E92A1" w14:textId="4A2CC8C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$6,900,133</w:t>
            </w:r>
          </w:p>
        </w:tc>
        <w:tc>
          <w:tcPr>
            <w:tcW w:w="1502" w:type="dxa"/>
            <w:noWrap/>
            <w:vAlign w:val="bottom"/>
            <w:hideMark/>
          </w:tcPr>
          <w:p w14:paraId="652C0646" w14:textId="33202675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$4,112,747</w:t>
            </w:r>
          </w:p>
        </w:tc>
        <w:tc>
          <w:tcPr>
            <w:tcW w:w="1669" w:type="dxa"/>
            <w:noWrap/>
            <w:vAlign w:val="bottom"/>
            <w:hideMark/>
          </w:tcPr>
          <w:p w14:paraId="64F998D3" w14:textId="7370230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12%</w:t>
            </w:r>
          </w:p>
        </w:tc>
        <w:tc>
          <w:tcPr>
            <w:tcW w:w="1688" w:type="dxa"/>
            <w:noWrap/>
            <w:vAlign w:val="bottom"/>
            <w:hideMark/>
          </w:tcPr>
          <w:p w14:paraId="5668B7FC" w14:textId="2FFBC8A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112%</w:t>
            </w:r>
          </w:p>
        </w:tc>
      </w:tr>
      <w:tr w:rsidR="000303CB" w:rsidRPr="00B36D1A" w14:paraId="473D741E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2FD782DF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WI</w:t>
            </w:r>
          </w:p>
        </w:tc>
        <w:tc>
          <w:tcPr>
            <w:tcW w:w="1429" w:type="dxa"/>
            <w:noWrap/>
            <w:vAlign w:val="bottom"/>
            <w:hideMark/>
          </w:tcPr>
          <w:p w14:paraId="79C47256" w14:textId="694DD96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$4,537,869</w:t>
            </w:r>
          </w:p>
        </w:tc>
        <w:tc>
          <w:tcPr>
            <w:tcW w:w="1429" w:type="dxa"/>
            <w:noWrap/>
            <w:vAlign w:val="bottom"/>
            <w:hideMark/>
          </w:tcPr>
          <w:p w14:paraId="00633878" w14:textId="6A9B293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$3,300,764</w:t>
            </w:r>
          </w:p>
        </w:tc>
        <w:tc>
          <w:tcPr>
            <w:tcW w:w="1429" w:type="dxa"/>
            <w:noWrap/>
            <w:vAlign w:val="bottom"/>
            <w:hideMark/>
          </w:tcPr>
          <w:p w14:paraId="797A045E" w14:textId="5D896EDC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$2,485,586</w:t>
            </w:r>
          </w:p>
        </w:tc>
        <w:tc>
          <w:tcPr>
            <w:tcW w:w="1502" w:type="dxa"/>
            <w:noWrap/>
            <w:vAlign w:val="bottom"/>
            <w:hideMark/>
          </w:tcPr>
          <w:p w14:paraId="590693DE" w14:textId="7C6ED12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$1,002,919</w:t>
            </w:r>
          </w:p>
        </w:tc>
        <w:tc>
          <w:tcPr>
            <w:tcW w:w="1669" w:type="dxa"/>
            <w:noWrap/>
            <w:vAlign w:val="bottom"/>
            <w:hideMark/>
          </w:tcPr>
          <w:p w14:paraId="6C638E54" w14:textId="4259A559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37%</w:t>
            </w:r>
          </w:p>
        </w:tc>
        <w:tc>
          <w:tcPr>
            <w:tcW w:w="1688" w:type="dxa"/>
            <w:noWrap/>
            <w:vAlign w:val="bottom"/>
            <w:hideMark/>
          </w:tcPr>
          <w:p w14:paraId="42580ED2" w14:textId="0429106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352%</w:t>
            </w:r>
          </w:p>
        </w:tc>
      </w:tr>
      <w:tr w:rsidR="000303CB" w:rsidRPr="00B36D1A" w14:paraId="780DB8D4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1B9C76F8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WV</w:t>
            </w:r>
          </w:p>
        </w:tc>
        <w:tc>
          <w:tcPr>
            <w:tcW w:w="1429" w:type="dxa"/>
            <w:noWrap/>
            <w:vAlign w:val="bottom"/>
            <w:hideMark/>
          </w:tcPr>
          <w:p w14:paraId="5C8CDA4A" w14:textId="366683A0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$1,733,021</w:t>
            </w:r>
          </w:p>
        </w:tc>
        <w:tc>
          <w:tcPr>
            <w:tcW w:w="1429" w:type="dxa"/>
            <w:noWrap/>
            <w:vAlign w:val="bottom"/>
            <w:hideMark/>
          </w:tcPr>
          <w:p w14:paraId="229F2CB0" w14:textId="15D46CEA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$1,268,229</w:t>
            </w:r>
          </w:p>
        </w:tc>
        <w:tc>
          <w:tcPr>
            <w:tcW w:w="1429" w:type="dxa"/>
            <w:noWrap/>
            <w:vAlign w:val="bottom"/>
            <w:hideMark/>
          </w:tcPr>
          <w:p w14:paraId="4F8233AE" w14:textId="1163140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$1,259,779</w:t>
            </w:r>
          </w:p>
        </w:tc>
        <w:tc>
          <w:tcPr>
            <w:tcW w:w="1502" w:type="dxa"/>
            <w:noWrap/>
            <w:vAlign w:val="bottom"/>
            <w:hideMark/>
          </w:tcPr>
          <w:p w14:paraId="51056896" w14:textId="2104A4F8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$883,632</w:t>
            </w:r>
          </w:p>
        </w:tc>
        <w:tc>
          <w:tcPr>
            <w:tcW w:w="1669" w:type="dxa"/>
            <w:noWrap/>
            <w:vAlign w:val="bottom"/>
            <w:hideMark/>
          </w:tcPr>
          <w:p w14:paraId="578A1C2E" w14:textId="4A396FB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37%</w:t>
            </w:r>
          </w:p>
        </w:tc>
        <w:tc>
          <w:tcPr>
            <w:tcW w:w="1688" w:type="dxa"/>
            <w:noWrap/>
            <w:vAlign w:val="bottom"/>
            <w:hideMark/>
          </w:tcPr>
          <w:p w14:paraId="6867FACF" w14:textId="187EE2F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96%</w:t>
            </w:r>
          </w:p>
        </w:tc>
      </w:tr>
      <w:tr w:rsidR="000303CB" w:rsidRPr="00B36D1A" w14:paraId="1A686700" w14:textId="77777777" w:rsidTr="0022128D">
        <w:trPr>
          <w:trHeight w:val="315"/>
        </w:trPr>
        <w:tc>
          <w:tcPr>
            <w:tcW w:w="749" w:type="dxa"/>
            <w:noWrap/>
            <w:hideMark/>
          </w:tcPr>
          <w:p w14:paraId="417890DB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szCs w:val="24"/>
              </w:rPr>
              <w:t>WY</w:t>
            </w:r>
          </w:p>
        </w:tc>
        <w:tc>
          <w:tcPr>
            <w:tcW w:w="1429" w:type="dxa"/>
            <w:noWrap/>
            <w:vAlign w:val="bottom"/>
            <w:hideMark/>
          </w:tcPr>
          <w:p w14:paraId="4959F481" w14:textId="56D52B3D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$921,378</w:t>
            </w:r>
          </w:p>
        </w:tc>
        <w:tc>
          <w:tcPr>
            <w:tcW w:w="1429" w:type="dxa"/>
            <w:noWrap/>
            <w:vAlign w:val="bottom"/>
            <w:hideMark/>
          </w:tcPr>
          <w:p w14:paraId="1B05D5A1" w14:textId="4AE8AE62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$638,402</w:t>
            </w:r>
          </w:p>
        </w:tc>
        <w:tc>
          <w:tcPr>
            <w:tcW w:w="1429" w:type="dxa"/>
            <w:noWrap/>
            <w:vAlign w:val="bottom"/>
            <w:hideMark/>
          </w:tcPr>
          <w:p w14:paraId="49E13005" w14:textId="5B76BCAB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$625,382</w:t>
            </w:r>
          </w:p>
        </w:tc>
        <w:tc>
          <w:tcPr>
            <w:tcW w:w="1502" w:type="dxa"/>
            <w:noWrap/>
            <w:vAlign w:val="bottom"/>
            <w:hideMark/>
          </w:tcPr>
          <w:p w14:paraId="5EFC01F0" w14:textId="7530C881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$442,129</w:t>
            </w:r>
          </w:p>
        </w:tc>
        <w:tc>
          <w:tcPr>
            <w:tcW w:w="1669" w:type="dxa"/>
            <w:noWrap/>
            <w:vAlign w:val="bottom"/>
            <w:hideMark/>
          </w:tcPr>
          <w:p w14:paraId="04E33107" w14:textId="6B88FBA4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44%</w:t>
            </w:r>
          </w:p>
        </w:tc>
        <w:tc>
          <w:tcPr>
            <w:tcW w:w="1688" w:type="dxa"/>
            <w:noWrap/>
            <w:vAlign w:val="bottom"/>
            <w:hideMark/>
          </w:tcPr>
          <w:p w14:paraId="1ADC8F0B" w14:textId="012AA94F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108%</w:t>
            </w:r>
          </w:p>
        </w:tc>
      </w:tr>
      <w:tr w:rsidR="000303CB" w:rsidRPr="00B36D1A" w14:paraId="617E3B79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324421D9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7AD35A2B" w14:textId="77777777" w:rsidR="00182BA8" w:rsidRPr="000303C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193729BF" w14:textId="7777777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14:paraId="74493D41" w14:textId="7777777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14:paraId="38BFE1A5" w14:textId="7777777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69" w:type="dxa"/>
            <w:noWrap/>
            <w:vAlign w:val="bottom"/>
            <w:hideMark/>
          </w:tcPr>
          <w:p w14:paraId="34405AAC" w14:textId="7777777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88" w:type="dxa"/>
            <w:noWrap/>
            <w:vAlign w:val="bottom"/>
            <w:hideMark/>
          </w:tcPr>
          <w:p w14:paraId="23E34942" w14:textId="77777777" w:rsidR="00182BA8" w:rsidRPr="0022128D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303CB" w:rsidRPr="00B36D1A" w14:paraId="003879F6" w14:textId="77777777" w:rsidTr="0022128D">
        <w:trPr>
          <w:trHeight w:val="300"/>
        </w:trPr>
        <w:tc>
          <w:tcPr>
            <w:tcW w:w="749" w:type="dxa"/>
            <w:noWrap/>
            <w:hideMark/>
          </w:tcPr>
          <w:p w14:paraId="42BC6A46" w14:textId="77777777" w:rsidR="00182BA8" w:rsidRPr="00B36D1A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36D1A">
              <w:rPr>
                <w:rFonts w:ascii="Times New Roman" w:hAnsi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1429" w:type="dxa"/>
            <w:noWrap/>
            <w:vAlign w:val="bottom"/>
            <w:hideMark/>
          </w:tcPr>
          <w:p w14:paraId="5145C6B0" w14:textId="5CADF05F" w:rsidR="00182BA8" w:rsidRPr="00425F7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28D">
              <w:rPr>
                <w:rFonts w:ascii="Calibri" w:hAnsi="Calibri" w:cs="Calibri"/>
                <w:b/>
                <w:bCs/>
                <w:color w:val="000000"/>
              </w:rPr>
              <w:t>$523,492,912</w:t>
            </w:r>
          </w:p>
        </w:tc>
        <w:tc>
          <w:tcPr>
            <w:tcW w:w="1429" w:type="dxa"/>
            <w:noWrap/>
            <w:vAlign w:val="bottom"/>
            <w:hideMark/>
          </w:tcPr>
          <w:p w14:paraId="7CE41DCF" w14:textId="17EB60F4" w:rsidR="00182BA8" w:rsidRPr="00425F7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7B">
              <w:rPr>
                <w:rFonts w:ascii="Calibri" w:hAnsi="Calibri" w:cs="Calibri"/>
                <w:b/>
                <w:bCs/>
                <w:color w:val="000000"/>
              </w:rPr>
              <w:t>$419,707,699</w:t>
            </w:r>
          </w:p>
        </w:tc>
        <w:tc>
          <w:tcPr>
            <w:tcW w:w="1429" w:type="dxa"/>
            <w:noWrap/>
            <w:vAlign w:val="bottom"/>
            <w:hideMark/>
          </w:tcPr>
          <w:p w14:paraId="5658802A" w14:textId="3BF339EC" w:rsidR="00182BA8" w:rsidRPr="00425F7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7B">
              <w:rPr>
                <w:rFonts w:ascii="Calibri" w:hAnsi="Calibri" w:cs="Calibri"/>
                <w:b/>
                <w:bCs/>
                <w:color w:val="000000"/>
              </w:rPr>
              <w:t>$389,691,047</w:t>
            </w:r>
          </w:p>
        </w:tc>
        <w:tc>
          <w:tcPr>
            <w:tcW w:w="1502" w:type="dxa"/>
            <w:noWrap/>
            <w:vAlign w:val="bottom"/>
            <w:hideMark/>
          </w:tcPr>
          <w:p w14:paraId="1C39AFBD" w14:textId="7D01DEEF" w:rsidR="00182BA8" w:rsidRPr="00425F7B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7B">
              <w:rPr>
                <w:rFonts w:ascii="Calibri" w:hAnsi="Calibri" w:cs="Calibri"/>
                <w:b/>
                <w:bCs/>
                <w:color w:val="000000"/>
              </w:rPr>
              <w:t>$206,249,813</w:t>
            </w:r>
          </w:p>
        </w:tc>
        <w:tc>
          <w:tcPr>
            <w:tcW w:w="1669" w:type="dxa"/>
            <w:noWrap/>
            <w:vAlign w:val="bottom"/>
            <w:hideMark/>
          </w:tcPr>
          <w:p w14:paraId="6C17AF63" w14:textId="4BD26C9C" w:rsidR="00182BA8" w:rsidRPr="00182BA8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BA8">
              <w:rPr>
                <w:rFonts w:ascii="Calibri" w:hAnsi="Calibri" w:cs="Calibri"/>
                <w:b/>
                <w:bCs/>
                <w:color w:val="000000"/>
              </w:rPr>
              <w:t>25%</w:t>
            </w:r>
          </w:p>
        </w:tc>
        <w:tc>
          <w:tcPr>
            <w:tcW w:w="1688" w:type="dxa"/>
            <w:noWrap/>
            <w:vAlign w:val="bottom"/>
            <w:hideMark/>
          </w:tcPr>
          <w:p w14:paraId="63B05EFA" w14:textId="629D8B30" w:rsidR="00182BA8" w:rsidRPr="00182BA8" w:rsidRDefault="00182BA8" w:rsidP="00182B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BA8">
              <w:rPr>
                <w:rFonts w:ascii="Calibri" w:hAnsi="Calibri" w:cs="Calibri"/>
                <w:b/>
                <w:bCs/>
                <w:color w:val="000000"/>
              </w:rPr>
              <w:t>154%</w:t>
            </w:r>
          </w:p>
        </w:tc>
      </w:tr>
    </w:tbl>
    <w:p w14:paraId="76B679FD" w14:textId="77777777" w:rsidR="00B36D1A" w:rsidRDefault="00B36D1A" w:rsidP="00CE51D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D436311" w14:textId="7FAE43A3" w:rsidR="00CE51DD" w:rsidRDefault="00CE51DD" w:rsidP="00CE51D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51DD">
        <w:rPr>
          <w:rFonts w:ascii="Times New Roman" w:hAnsi="Times New Roman" w:cs="Times New Roman"/>
          <w:b/>
          <w:szCs w:val="24"/>
        </w:rPr>
        <w:t xml:space="preserve">As reported on Property &amp; Casualty Annual Statement Blank, </w:t>
      </w:r>
    </w:p>
    <w:p w14:paraId="2AA9717A" w14:textId="77777777" w:rsidR="00157FF9" w:rsidRDefault="00CE51DD" w:rsidP="00CE51D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51DD">
        <w:rPr>
          <w:rFonts w:ascii="Times New Roman" w:hAnsi="Times New Roman" w:cs="Times New Roman"/>
          <w:b/>
          <w:szCs w:val="24"/>
        </w:rPr>
        <w:t>State Page, as of April 1, 2019</w:t>
      </w:r>
    </w:p>
    <w:p w14:paraId="2029E879" w14:textId="77777777" w:rsidR="00157FF9" w:rsidRDefault="00157FF9" w:rsidP="00CE5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C1B4A" w14:textId="0BF11FA2" w:rsidR="00157FF9" w:rsidRDefault="00C07FE0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C5746EB" wp14:editId="7B4880A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CC2E98B-406E-4AF3-8CDC-67BE959DE1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6E45E1" w14:textId="77777777" w:rsidR="00157FF9" w:rsidRDefault="00157FF9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2A455" w14:textId="77777777" w:rsidR="0022128D" w:rsidRDefault="0022128D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00B2C" w14:textId="77777777" w:rsidR="0022128D" w:rsidRDefault="0022128D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1B188" w14:textId="77777777" w:rsidR="0022128D" w:rsidRDefault="0022128D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8E9F8" w14:textId="77777777" w:rsidR="0022128D" w:rsidRDefault="0022128D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63C70" w14:textId="48B4ADB6" w:rsidR="00A95723" w:rsidRPr="00A95723" w:rsidRDefault="00A95723" w:rsidP="0015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23">
        <w:rPr>
          <w:rFonts w:ascii="Times New Roman" w:hAnsi="Times New Roman" w:cs="Times New Roman"/>
          <w:b/>
          <w:sz w:val="24"/>
          <w:szCs w:val="24"/>
        </w:rPr>
        <w:lastRenderedPageBreak/>
        <w:t>Caveats</w:t>
      </w:r>
    </w:p>
    <w:p w14:paraId="24734C0E" w14:textId="77777777" w:rsidR="00466C80" w:rsidRDefault="00466C80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DC45F" w14:textId="088F584C" w:rsidR="00CD431A" w:rsidRDefault="00CD431A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commercial writer had previously reported on the Private Flood line of the State Page. This data was included in totals in prior iterations of this </w:t>
      </w:r>
      <w:r w:rsidR="00261E3C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for data years 2016, 2017 and 2018, That </w:t>
      </w:r>
      <w:r w:rsidR="0099132E">
        <w:rPr>
          <w:rFonts w:ascii="Times New Roman" w:hAnsi="Times New Roman" w:cs="Times New Roman"/>
          <w:sz w:val="24"/>
          <w:szCs w:val="24"/>
        </w:rPr>
        <w:t>insurer</w:t>
      </w:r>
      <w:r>
        <w:rPr>
          <w:rFonts w:ascii="Times New Roman" w:hAnsi="Times New Roman" w:cs="Times New Roman"/>
          <w:sz w:val="24"/>
          <w:szCs w:val="24"/>
        </w:rPr>
        <w:t xml:space="preserve"> did not report </w:t>
      </w:r>
      <w:r w:rsidR="0099132E">
        <w:rPr>
          <w:rFonts w:ascii="Times New Roman" w:hAnsi="Times New Roman" w:cs="Times New Roman"/>
          <w:sz w:val="24"/>
          <w:szCs w:val="24"/>
        </w:rPr>
        <w:t>data on the Private Flood line in</w:t>
      </w:r>
      <w:r>
        <w:rPr>
          <w:rFonts w:ascii="Times New Roman" w:hAnsi="Times New Roman" w:cs="Times New Roman"/>
          <w:sz w:val="24"/>
          <w:szCs w:val="24"/>
        </w:rPr>
        <w:t xml:space="preserve"> 2019 as it felt its writings should not be included under the Private Flood line</w:t>
      </w:r>
      <w:r w:rsidR="006E3E0E">
        <w:rPr>
          <w:rFonts w:ascii="Times New Roman" w:hAnsi="Times New Roman" w:cs="Times New Roman"/>
          <w:sz w:val="24"/>
          <w:szCs w:val="24"/>
        </w:rPr>
        <w:t xml:space="preserve"> </w:t>
      </w:r>
      <w:r w:rsidR="0099132E">
        <w:rPr>
          <w:rFonts w:ascii="Times New Roman" w:hAnsi="Times New Roman" w:cs="Times New Roman"/>
          <w:sz w:val="24"/>
          <w:szCs w:val="24"/>
        </w:rPr>
        <w:t>because</w:t>
      </w:r>
      <w:r w:rsidR="006E3E0E">
        <w:rPr>
          <w:rFonts w:ascii="Times New Roman" w:hAnsi="Times New Roman" w:cs="Times New Roman"/>
          <w:sz w:val="24"/>
          <w:szCs w:val="24"/>
        </w:rPr>
        <w:t xml:space="preserve"> its policies were “all</w:t>
      </w:r>
      <w:r w:rsidR="0022128D">
        <w:rPr>
          <w:rFonts w:ascii="Times New Roman" w:hAnsi="Times New Roman" w:cs="Times New Roman"/>
          <w:sz w:val="24"/>
          <w:szCs w:val="24"/>
        </w:rPr>
        <w:t>-</w:t>
      </w:r>
      <w:r w:rsidR="006E3E0E">
        <w:rPr>
          <w:rFonts w:ascii="Times New Roman" w:hAnsi="Times New Roman" w:cs="Times New Roman"/>
          <w:sz w:val="24"/>
          <w:szCs w:val="24"/>
        </w:rPr>
        <w:t>risk” and not specific to the flood peril</w:t>
      </w:r>
      <w:r>
        <w:rPr>
          <w:rFonts w:ascii="Times New Roman" w:hAnsi="Times New Roman" w:cs="Times New Roman"/>
          <w:sz w:val="24"/>
          <w:szCs w:val="24"/>
        </w:rPr>
        <w:t xml:space="preserve">. In order to show meaningful comparisons, that company’s data was removed for years 2016, 2017 and 2018. </w:t>
      </w:r>
    </w:p>
    <w:p w14:paraId="5012EFF9" w14:textId="77777777" w:rsidR="0022128D" w:rsidRDefault="0022128D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28826" w14:textId="181E0351" w:rsidR="009E6119" w:rsidRDefault="00AB2E34" w:rsidP="009E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understand a number of limitations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within the Annual Statement data. </w:t>
      </w:r>
      <w:r w:rsidR="00B55FCD">
        <w:rPr>
          <w:rFonts w:ascii="Times New Roman" w:hAnsi="Times New Roman" w:cs="Times New Roman"/>
          <w:sz w:val="24"/>
          <w:szCs w:val="24"/>
        </w:rPr>
        <w:t xml:space="preserve">The reported information is limited to only those insurers required to file a Property and Casualty Annual Statement with the NAIC. </w:t>
      </w:r>
      <w:r w:rsidR="00EA3481">
        <w:rPr>
          <w:rFonts w:ascii="Times New Roman" w:hAnsi="Times New Roman" w:cs="Times New Roman"/>
          <w:sz w:val="24"/>
          <w:szCs w:val="24"/>
        </w:rPr>
        <w:t>I</w:t>
      </w:r>
      <w:r w:rsidR="006F76D1">
        <w:rPr>
          <w:rFonts w:ascii="Times New Roman" w:hAnsi="Times New Roman" w:cs="Times New Roman"/>
          <w:sz w:val="24"/>
          <w:szCs w:val="24"/>
        </w:rPr>
        <w:t xml:space="preserve">nsurers doing business as non-licensed or non-admitted insurers are known as surplus lines insurers. They serve as an alternative marketplace to provide coverage for unique exposures and often serve as a testing ground for product innovations before they </w:t>
      </w:r>
      <w:r w:rsidR="00EA5804">
        <w:rPr>
          <w:rFonts w:ascii="Times New Roman" w:hAnsi="Times New Roman" w:cs="Times New Roman"/>
          <w:sz w:val="24"/>
          <w:szCs w:val="24"/>
        </w:rPr>
        <w:t>are written by the admitted market</w:t>
      </w:r>
      <w:r w:rsidR="006F76D1">
        <w:rPr>
          <w:rFonts w:ascii="Times New Roman" w:hAnsi="Times New Roman" w:cs="Times New Roman"/>
          <w:sz w:val="24"/>
          <w:szCs w:val="24"/>
        </w:rPr>
        <w:t>.</w:t>
      </w:r>
      <w:r w:rsidR="00EA5804">
        <w:rPr>
          <w:rFonts w:ascii="Times New Roman" w:hAnsi="Times New Roman" w:cs="Times New Roman"/>
          <w:sz w:val="24"/>
          <w:szCs w:val="24"/>
        </w:rPr>
        <w:t xml:space="preserve"> D</w:t>
      </w:r>
      <w:r w:rsidR="006E4CAA">
        <w:rPr>
          <w:rFonts w:ascii="Times New Roman" w:hAnsi="Times New Roman" w:cs="Times New Roman"/>
          <w:sz w:val="24"/>
          <w:szCs w:val="24"/>
        </w:rPr>
        <w:t xml:space="preserve">omestic and foreign insurers are required to file the Annual Statement as they </w:t>
      </w:r>
      <w:r w:rsidR="00EA5804">
        <w:rPr>
          <w:rFonts w:ascii="Times New Roman" w:hAnsi="Times New Roman" w:cs="Times New Roman"/>
          <w:sz w:val="24"/>
          <w:szCs w:val="24"/>
        </w:rPr>
        <w:t>are</w:t>
      </w:r>
      <w:r w:rsidR="006E4CAA">
        <w:rPr>
          <w:rFonts w:ascii="Times New Roman" w:hAnsi="Times New Roman" w:cs="Times New Roman"/>
          <w:sz w:val="24"/>
          <w:szCs w:val="24"/>
        </w:rPr>
        <w:t xml:space="preserve"> considered an admitted insurer in at least one state. </w:t>
      </w:r>
      <w:r w:rsidR="009E6119">
        <w:rPr>
          <w:rFonts w:ascii="Times New Roman" w:hAnsi="Times New Roman" w:cs="Times New Roman"/>
          <w:sz w:val="24"/>
          <w:szCs w:val="24"/>
        </w:rPr>
        <w:t xml:space="preserve">Alien insurers, which are domiciled outside the U.S., can choose to be licensed or admitted in one or more states if they become </w:t>
      </w:r>
      <w:r w:rsidR="00475329">
        <w:rPr>
          <w:rFonts w:ascii="Times New Roman" w:hAnsi="Times New Roman" w:cs="Times New Roman"/>
          <w:sz w:val="24"/>
          <w:szCs w:val="24"/>
        </w:rPr>
        <w:t>a</w:t>
      </w:r>
      <w:r w:rsidR="009E6119">
        <w:rPr>
          <w:rFonts w:ascii="Times New Roman" w:hAnsi="Times New Roman" w:cs="Times New Roman"/>
          <w:sz w:val="24"/>
          <w:szCs w:val="24"/>
        </w:rPr>
        <w:t xml:space="preserve"> U.S. branch. If they do choose to be licensed or admitted, they must file an Annual Statement. Premium writings by alien surplus lines insurers on the NAIC’s </w:t>
      </w:r>
      <w:r w:rsidR="009E6119">
        <w:rPr>
          <w:rFonts w:ascii="Times New Roman" w:hAnsi="Times New Roman" w:cs="Times New Roman"/>
          <w:i/>
          <w:iCs/>
          <w:sz w:val="24"/>
          <w:szCs w:val="24"/>
        </w:rPr>
        <w:t>Quarterly Listing of Alien Insurer,</w:t>
      </w:r>
      <w:r w:rsidR="009E6119">
        <w:rPr>
          <w:rFonts w:ascii="Times New Roman" w:hAnsi="Times New Roman" w:cs="Times New Roman"/>
          <w:sz w:val="24"/>
          <w:szCs w:val="24"/>
        </w:rPr>
        <w:t xml:space="preserve"> began </w:t>
      </w:r>
      <w:r w:rsidR="0019448F">
        <w:rPr>
          <w:rFonts w:ascii="Times New Roman" w:hAnsi="Times New Roman" w:cs="Times New Roman"/>
          <w:sz w:val="24"/>
          <w:szCs w:val="24"/>
        </w:rPr>
        <w:t>to be collected for</w:t>
      </w:r>
      <w:r w:rsidR="009E6119">
        <w:rPr>
          <w:rFonts w:ascii="Times New Roman" w:hAnsi="Times New Roman" w:cs="Times New Roman"/>
          <w:sz w:val="24"/>
          <w:szCs w:val="24"/>
        </w:rPr>
        <w:t xml:space="preserve"> private flood data as of year-end 2019. </w:t>
      </w:r>
    </w:p>
    <w:p w14:paraId="634D983B" w14:textId="77777777" w:rsidR="00EA5804" w:rsidRDefault="00EA5804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5212B" w14:textId="005068CC" w:rsidR="002C18B4" w:rsidRPr="002C18B4" w:rsidRDefault="00CD431A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Analysis of the Private Flood Market</w:t>
      </w:r>
    </w:p>
    <w:p w14:paraId="29466C21" w14:textId="77777777" w:rsidR="00A95723" w:rsidRDefault="00A95723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7E505" w14:textId="478DF6DC" w:rsidR="00381BA4" w:rsidRDefault="00381BA4" w:rsidP="00EE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proposal from the Pr</w:t>
      </w:r>
      <w:r w:rsidR="009913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perty and Casualty Insurance</w:t>
      </w:r>
      <w:r w:rsidR="0099132E"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Committee is currently before the Blanks (E) Working Group that would significantly expand the collection of private flood insurance data. This </w:t>
      </w:r>
      <w:r w:rsidR="0022128D">
        <w:rPr>
          <w:rFonts w:ascii="Times New Roman" w:hAnsi="Times New Roman" w:cs="Times New Roman"/>
          <w:sz w:val="24"/>
          <w:szCs w:val="24"/>
        </w:rPr>
        <w:t>Private Flood Supplement</w:t>
      </w:r>
      <w:r>
        <w:rPr>
          <w:rFonts w:ascii="Times New Roman" w:hAnsi="Times New Roman" w:cs="Times New Roman"/>
          <w:sz w:val="24"/>
          <w:szCs w:val="24"/>
        </w:rPr>
        <w:t xml:space="preserve"> would differentiate between commercial and residential private flood coverage and would separate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first-dollar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excess and standalone from endorsement policies. If adopted, that new Supplement would be required in 2021, collecting 2020 data. </w:t>
      </w:r>
      <w:r w:rsidR="009913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meantime, all states and the District of Columbia have embarked on a data call that would collect data similar to what would be collected in the Private Flood Sup</w:t>
      </w:r>
      <w:r w:rsidR="0099132E">
        <w:rPr>
          <w:rFonts w:ascii="Times New Roman" w:hAnsi="Times New Roman" w:cs="Times New Roman"/>
          <w:sz w:val="24"/>
          <w:szCs w:val="24"/>
        </w:rPr>
        <w:t>plement</w:t>
      </w:r>
      <w:r>
        <w:rPr>
          <w:rFonts w:ascii="Times New Roman" w:hAnsi="Times New Roman" w:cs="Times New Roman"/>
          <w:sz w:val="24"/>
          <w:szCs w:val="24"/>
        </w:rPr>
        <w:t>. This data was to be due to states in June 2020, but due to insurer and state regulator responsibilities in responding to the COVID-19 pandemic, the due date for data submission was pushed back to Aug. 15, 2020.</w:t>
      </w:r>
      <w:r w:rsidR="0019448F">
        <w:rPr>
          <w:rFonts w:ascii="Times New Roman" w:hAnsi="Times New Roman" w:cs="Times New Roman"/>
          <w:sz w:val="24"/>
          <w:szCs w:val="24"/>
        </w:rPr>
        <w:t xml:space="preserve"> Analysis of this more granular data will be included in future versions of this report. </w:t>
      </w:r>
    </w:p>
    <w:p w14:paraId="1CDACB97" w14:textId="77777777" w:rsidR="006E3E0E" w:rsidRDefault="006E3E0E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66050" w14:textId="7DAC23A4" w:rsidR="00AA419E" w:rsidRPr="00352A78" w:rsidRDefault="00352A78" w:rsidP="00382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78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EBCFD5B" w14:textId="77777777" w:rsidR="00466C80" w:rsidRDefault="00466C80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CF116" w14:textId="3C931319" w:rsidR="00706F4D" w:rsidRDefault="00352A78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summarizes findings</w:t>
      </w:r>
      <w:r w:rsidR="00382808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22128D">
        <w:rPr>
          <w:rFonts w:ascii="Times New Roman" w:hAnsi="Times New Roman" w:cs="Times New Roman"/>
          <w:sz w:val="24"/>
          <w:szCs w:val="24"/>
        </w:rPr>
        <w:t>fourth</w:t>
      </w:r>
      <w:r w:rsidR="00EE6718">
        <w:rPr>
          <w:rFonts w:ascii="Times New Roman" w:hAnsi="Times New Roman" w:cs="Times New Roman"/>
          <w:sz w:val="24"/>
          <w:szCs w:val="24"/>
        </w:rPr>
        <w:t xml:space="preserve"> </w:t>
      </w:r>
      <w:r w:rsidR="00382808">
        <w:rPr>
          <w:rFonts w:ascii="Times New Roman" w:hAnsi="Times New Roman" w:cs="Times New Roman"/>
          <w:sz w:val="24"/>
          <w:szCs w:val="24"/>
        </w:rPr>
        <w:t>submission</w:t>
      </w:r>
      <w:r w:rsidR="00EA3481">
        <w:rPr>
          <w:rFonts w:ascii="Times New Roman" w:hAnsi="Times New Roman" w:cs="Times New Roman"/>
          <w:sz w:val="24"/>
          <w:szCs w:val="24"/>
        </w:rPr>
        <w:t xml:space="preserve"> of private flood insurance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1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 obtained from the alien surplus lines insurers</w:t>
      </w:r>
      <w:r w:rsidR="009E6119">
        <w:rPr>
          <w:rFonts w:ascii="Times New Roman" w:hAnsi="Times New Roman" w:cs="Times New Roman"/>
          <w:sz w:val="24"/>
          <w:szCs w:val="24"/>
        </w:rPr>
        <w:t xml:space="preserve"> will provide</w:t>
      </w:r>
      <w:r>
        <w:rPr>
          <w:rFonts w:ascii="Times New Roman" w:hAnsi="Times New Roman" w:cs="Times New Roman"/>
          <w:sz w:val="24"/>
          <w:szCs w:val="24"/>
        </w:rPr>
        <w:t xml:space="preserve"> a more complete picture of the U.S. </w:t>
      </w:r>
      <w:r w:rsidR="00E75772">
        <w:rPr>
          <w:rFonts w:ascii="Times New Roman" w:hAnsi="Times New Roman" w:cs="Times New Roman"/>
          <w:sz w:val="24"/>
          <w:szCs w:val="24"/>
        </w:rPr>
        <w:t xml:space="preserve">private flood </w:t>
      </w:r>
      <w:r>
        <w:rPr>
          <w:rFonts w:ascii="Times New Roman" w:hAnsi="Times New Roman" w:cs="Times New Roman"/>
          <w:sz w:val="24"/>
          <w:szCs w:val="24"/>
        </w:rPr>
        <w:t xml:space="preserve">insurance market. </w:t>
      </w:r>
      <w:r w:rsidR="00EA5804">
        <w:rPr>
          <w:rFonts w:ascii="Times New Roman" w:hAnsi="Times New Roman" w:cs="Times New Roman"/>
          <w:sz w:val="24"/>
          <w:szCs w:val="24"/>
        </w:rPr>
        <w:t>The quality of the data collected should also improve in subsequent years</w:t>
      </w:r>
      <w:r w:rsidR="0022128D">
        <w:rPr>
          <w:rFonts w:ascii="Times New Roman" w:hAnsi="Times New Roman" w:cs="Times New Roman"/>
          <w:sz w:val="24"/>
          <w:szCs w:val="24"/>
        </w:rPr>
        <w:t xml:space="preserve"> as additional data points are collected</w:t>
      </w:r>
      <w:r w:rsidR="00EA5804">
        <w:rPr>
          <w:rFonts w:ascii="Times New Roman" w:hAnsi="Times New Roman" w:cs="Times New Roman"/>
          <w:sz w:val="24"/>
          <w:szCs w:val="24"/>
        </w:rPr>
        <w:t xml:space="preserve">. </w:t>
      </w:r>
      <w:r w:rsidR="00E75772">
        <w:rPr>
          <w:rFonts w:ascii="Times New Roman" w:hAnsi="Times New Roman" w:cs="Times New Roman"/>
          <w:sz w:val="24"/>
          <w:szCs w:val="24"/>
        </w:rPr>
        <w:t xml:space="preserve">It is expected the private flood insurance market will continue to grow, first in the surplus lines market, and then in the admitted market. </w:t>
      </w:r>
      <w:r w:rsidR="00382808">
        <w:rPr>
          <w:rFonts w:ascii="Times New Roman" w:hAnsi="Times New Roman" w:cs="Times New Roman"/>
          <w:sz w:val="24"/>
          <w:szCs w:val="24"/>
        </w:rPr>
        <w:t xml:space="preserve">Having more complete </w:t>
      </w:r>
      <w:r w:rsidR="00EA5804">
        <w:rPr>
          <w:rFonts w:ascii="Times New Roman" w:hAnsi="Times New Roman" w:cs="Times New Roman"/>
          <w:sz w:val="24"/>
          <w:szCs w:val="24"/>
        </w:rPr>
        <w:t xml:space="preserve">and accurate </w:t>
      </w:r>
      <w:r w:rsidR="00382808">
        <w:rPr>
          <w:rFonts w:ascii="Times New Roman" w:hAnsi="Times New Roman" w:cs="Times New Roman"/>
          <w:sz w:val="24"/>
          <w:szCs w:val="24"/>
        </w:rPr>
        <w:t xml:space="preserve">data will </w:t>
      </w:r>
      <w:r w:rsidR="005A3420">
        <w:rPr>
          <w:rFonts w:ascii="Times New Roman" w:hAnsi="Times New Roman" w:cs="Times New Roman"/>
          <w:sz w:val="24"/>
          <w:szCs w:val="24"/>
        </w:rPr>
        <w:t>provide</w:t>
      </w:r>
      <w:r w:rsidR="00382808">
        <w:rPr>
          <w:rFonts w:ascii="Times New Roman" w:hAnsi="Times New Roman" w:cs="Times New Roman"/>
          <w:sz w:val="24"/>
          <w:szCs w:val="24"/>
        </w:rPr>
        <w:t xml:space="preserve"> regulators</w:t>
      </w:r>
      <w:r w:rsidR="005A3420">
        <w:rPr>
          <w:rFonts w:ascii="Times New Roman" w:hAnsi="Times New Roman" w:cs="Times New Roman"/>
          <w:sz w:val="24"/>
          <w:szCs w:val="24"/>
        </w:rPr>
        <w:t xml:space="preserve"> with important insight into the private market as it grows. </w:t>
      </w:r>
    </w:p>
    <w:p w14:paraId="4E1C83A3" w14:textId="77777777" w:rsidR="006E3E0E" w:rsidRDefault="006E3E0E" w:rsidP="0038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AD0A4" w14:textId="4A71BDDE" w:rsidR="004D4F93" w:rsidRPr="00E47429" w:rsidRDefault="00E47429" w:rsidP="00382808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fldChar w:fldCharType="begin"/>
      </w:r>
      <w:r>
        <w:rPr>
          <w:rFonts w:ascii="Times New Roman" w:hAnsi="Times New Roman" w:cs="Times New Roman"/>
          <w:sz w:val="16"/>
          <w:szCs w:val="24"/>
        </w:rPr>
        <w:instrText xml:space="preserve"> FILENAME  \* FirstCap \p  \* MERGEFORMAT </w:instrText>
      </w:r>
      <w:r>
        <w:rPr>
          <w:rFonts w:ascii="Times New Roman" w:hAnsi="Times New Roman" w:cs="Times New Roman"/>
          <w:sz w:val="16"/>
          <w:szCs w:val="24"/>
        </w:rPr>
        <w:fldChar w:fldCharType="separate"/>
      </w:r>
      <w:r w:rsidR="00EF358F">
        <w:rPr>
          <w:rFonts w:ascii="Times New Roman" w:hAnsi="Times New Roman" w:cs="Times New Roman"/>
          <w:noProof/>
          <w:sz w:val="16"/>
          <w:szCs w:val="24"/>
        </w:rPr>
        <w:t>W:\National Meetings\2020\Spring\Cmte\C\PrivateFloodMemo2020_Final.docx</w:t>
      </w:r>
      <w:r>
        <w:rPr>
          <w:rFonts w:ascii="Times New Roman" w:hAnsi="Times New Roman" w:cs="Times New Roman"/>
          <w:sz w:val="16"/>
          <w:szCs w:val="24"/>
        </w:rPr>
        <w:fldChar w:fldCharType="end"/>
      </w:r>
    </w:p>
    <w:sectPr w:rsidR="004D4F93" w:rsidRPr="00E47429" w:rsidSect="00E47429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B24" w14:textId="77777777" w:rsidR="006D7E2A" w:rsidRDefault="006D7E2A" w:rsidP="001E1D17">
      <w:pPr>
        <w:spacing w:after="0" w:line="240" w:lineRule="auto"/>
      </w:pPr>
      <w:r>
        <w:separator/>
      </w:r>
    </w:p>
  </w:endnote>
  <w:endnote w:type="continuationSeparator" w:id="0">
    <w:p w14:paraId="0E40E137" w14:textId="77777777" w:rsidR="006D7E2A" w:rsidRDefault="006D7E2A" w:rsidP="001E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ED07" w14:textId="7F8F0EF9" w:rsidR="006D7E2A" w:rsidRPr="00E47429" w:rsidRDefault="006D7E2A" w:rsidP="00E47429">
    <w:pPr>
      <w:pStyle w:val="Foot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18"/>
      </w:rPr>
    </w:pPr>
    <w:r w:rsidRPr="00E47429">
      <w:rPr>
        <w:rFonts w:ascii="Times New Roman" w:hAnsi="Times New Roman" w:cs="Times New Roman"/>
        <w:sz w:val="20"/>
        <w:szCs w:val="18"/>
      </w:rPr>
      <w:t>© 20</w:t>
    </w:r>
    <w:r>
      <w:rPr>
        <w:rFonts w:ascii="Times New Roman" w:hAnsi="Times New Roman" w:cs="Times New Roman"/>
        <w:sz w:val="20"/>
        <w:szCs w:val="18"/>
      </w:rPr>
      <w:t>20</w:t>
    </w:r>
    <w:r w:rsidRPr="00E47429">
      <w:rPr>
        <w:rFonts w:ascii="Times New Roman" w:hAnsi="Times New Roman" w:cs="Times New Roman"/>
        <w:sz w:val="20"/>
        <w:szCs w:val="18"/>
      </w:rPr>
      <w:t xml:space="preserve"> National Association of Insurance Commissioners</w:t>
    </w:r>
    <w:r>
      <w:rPr>
        <w:rFonts w:ascii="Times New Roman" w:hAnsi="Times New Roman" w:cs="Times New Roman"/>
        <w:sz w:val="20"/>
        <w:szCs w:val="18"/>
      </w:rPr>
      <w:tab/>
    </w:r>
    <w:r w:rsidRPr="00E47429">
      <w:rPr>
        <w:rFonts w:ascii="Times New Roman" w:hAnsi="Times New Roman" w:cs="Times New Roman"/>
        <w:sz w:val="20"/>
        <w:szCs w:val="18"/>
      </w:rPr>
      <w:fldChar w:fldCharType="begin"/>
    </w:r>
    <w:r w:rsidRPr="00E47429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E47429">
      <w:rPr>
        <w:rFonts w:ascii="Times New Roman" w:hAnsi="Times New Roman" w:cs="Times New Roman"/>
        <w:sz w:val="20"/>
        <w:szCs w:val="18"/>
      </w:rPr>
      <w:fldChar w:fldCharType="separate"/>
    </w:r>
    <w:r w:rsidRPr="00E47429">
      <w:rPr>
        <w:rFonts w:ascii="Times New Roman" w:hAnsi="Times New Roman" w:cs="Times New Roman"/>
        <w:noProof/>
        <w:sz w:val="20"/>
        <w:szCs w:val="18"/>
      </w:rPr>
      <w:t>1</w:t>
    </w:r>
    <w:r w:rsidRPr="00E47429">
      <w:rPr>
        <w:rFonts w:ascii="Times New Roman" w:hAnsi="Times New Roman" w:cs="Times New Roman"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772A" w14:textId="77777777" w:rsidR="006D7E2A" w:rsidRDefault="006D7E2A" w:rsidP="001E1D17">
      <w:pPr>
        <w:spacing w:after="0" w:line="240" w:lineRule="auto"/>
      </w:pPr>
      <w:r>
        <w:separator/>
      </w:r>
    </w:p>
  </w:footnote>
  <w:footnote w:type="continuationSeparator" w:id="0">
    <w:p w14:paraId="546A486B" w14:textId="77777777" w:rsidR="006D7E2A" w:rsidRDefault="006D7E2A" w:rsidP="001E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BE9A" w14:textId="6B34C561" w:rsidR="006D7E2A" w:rsidRPr="00E47429" w:rsidRDefault="006D7E2A" w:rsidP="00E47429">
    <w:pPr>
      <w:pStyle w:val="Header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E39"/>
    <w:multiLevelType w:val="hybridMultilevel"/>
    <w:tmpl w:val="9B28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6A4D"/>
    <w:multiLevelType w:val="hybridMultilevel"/>
    <w:tmpl w:val="D356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507B"/>
    <w:multiLevelType w:val="hybridMultilevel"/>
    <w:tmpl w:val="6F7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D2"/>
    <w:rsid w:val="00013228"/>
    <w:rsid w:val="000303CB"/>
    <w:rsid w:val="00056CC5"/>
    <w:rsid w:val="00056F86"/>
    <w:rsid w:val="000576DC"/>
    <w:rsid w:val="0006516E"/>
    <w:rsid w:val="00090896"/>
    <w:rsid w:val="000A4A4A"/>
    <w:rsid w:val="00110877"/>
    <w:rsid w:val="00121EA9"/>
    <w:rsid w:val="00137CE8"/>
    <w:rsid w:val="00157FCE"/>
    <w:rsid w:val="00157FF9"/>
    <w:rsid w:val="00170301"/>
    <w:rsid w:val="00182BA8"/>
    <w:rsid w:val="0019448F"/>
    <w:rsid w:val="001C3323"/>
    <w:rsid w:val="001E1D17"/>
    <w:rsid w:val="0022128D"/>
    <w:rsid w:val="00261E3C"/>
    <w:rsid w:val="00273868"/>
    <w:rsid w:val="00276B93"/>
    <w:rsid w:val="00282353"/>
    <w:rsid w:val="002B23C5"/>
    <w:rsid w:val="002B36BC"/>
    <w:rsid w:val="002C18B4"/>
    <w:rsid w:val="002E0416"/>
    <w:rsid w:val="0032640F"/>
    <w:rsid w:val="00351EA7"/>
    <w:rsid w:val="00352A78"/>
    <w:rsid w:val="0036528F"/>
    <w:rsid w:val="00381BA4"/>
    <w:rsid w:val="00382808"/>
    <w:rsid w:val="00391ED2"/>
    <w:rsid w:val="003A5AC8"/>
    <w:rsid w:val="003B4D64"/>
    <w:rsid w:val="003D57C6"/>
    <w:rsid w:val="00403E6D"/>
    <w:rsid w:val="0041535D"/>
    <w:rsid w:val="00425F7B"/>
    <w:rsid w:val="00434C08"/>
    <w:rsid w:val="00444947"/>
    <w:rsid w:val="00466C80"/>
    <w:rsid w:val="00475329"/>
    <w:rsid w:val="00490C10"/>
    <w:rsid w:val="004B7079"/>
    <w:rsid w:val="004D4F93"/>
    <w:rsid w:val="004D5ACB"/>
    <w:rsid w:val="004F3E4C"/>
    <w:rsid w:val="005055EF"/>
    <w:rsid w:val="0057251B"/>
    <w:rsid w:val="00573B75"/>
    <w:rsid w:val="005A3420"/>
    <w:rsid w:val="00642AFA"/>
    <w:rsid w:val="00642EC2"/>
    <w:rsid w:val="006D40AE"/>
    <w:rsid w:val="006D7E2A"/>
    <w:rsid w:val="006E3E0E"/>
    <w:rsid w:val="006E4CAA"/>
    <w:rsid w:val="006F76D1"/>
    <w:rsid w:val="00706F4D"/>
    <w:rsid w:val="0073259B"/>
    <w:rsid w:val="00732F3F"/>
    <w:rsid w:val="007556F5"/>
    <w:rsid w:val="0079188A"/>
    <w:rsid w:val="007A6758"/>
    <w:rsid w:val="007C7E8B"/>
    <w:rsid w:val="00826E27"/>
    <w:rsid w:val="00841A4C"/>
    <w:rsid w:val="00852DC2"/>
    <w:rsid w:val="008A39C4"/>
    <w:rsid w:val="008B05FB"/>
    <w:rsid w:val="008B6AF4"/>
    <w:rsid w:val="008B7CA0"/>
    <w:rsid w:val="008C587A"/>
    <w:rsid w:val="008D240A"/>
    <w:rsid w:val="00920D9C"/>
    <w:rsid w:val="0099132E"/>
    <w:rsid w:val="009B561C"/>
    <w:rsid w:val="009C75C0"/>
    <w:rsid w:val="009E6119"/>
    <w:rsid w:val="00A02DAF"/>
    <w:rsid w:val="00A15661"/>
    <w:rsid w:val="00A257F7"/>
    <w:rsid w:val="00A61422"/>
    <w:rsid w:val="00A62EF8"/>
    <w:rsid w:val="00A85293"/>
    <w:rsid w:val="00A95723"/>
    <w:rsid w:val="00AA419E"/>
    <w:rsid w:val="00AB2E34"/>
    <w:rsid w:val="00B0077C"/>
    <w:rsid w:val="00B168E8"/>
    <w:rsid w:val="00B36D1A"/>
    <w:rsid w:val="00B46BEA"/>
    <w:rsid w:val="00B50B90"/>
    <w:rsid w:val="00B55FCD"/>
    <w:rsid w:val="00B73DFD"/>
    <w:rsid w:val="00B814A4"/>
    <w:rsid w:val="00B8744F"/>
    <w:rsid w:val="00B94E46"/>
    <w:rsid w:val="00BC62B6"/>
    <w:rsid w:val="00C04D4D"/>
    <w:rsid w:val="00C07FE0"/>
    <w:rsid w:val="00C12735"/>
    <w:rsid w:val="00C46042"/>
    <w:rsid w:val="00C53D5A"/>
    <w:rsid w:val="00C551F1"/>
    <w:rsid w:val="00C576F6"/>
    <w:rsid w:val="00CB3FFF"/>
    <w:rsid w:val="00CC39CA"/>
    <w:rsid w:val="00CD431A"/>
    <w:rsid w:val="00CE51DD"/>
    <w:rsid w:val="00CE5D90"/>
    <w:rsid w:val="00D04668"/>
    <w:rsid w:val="00D214B3"/>
    <w:rsid w:val="00D5077A"/>
    <w:rsid w:val="00D71885"/>
    <w:rsid w:val="00DC164D"/>
    <w:rsid w:val="00DC1C58"/>
    <w:rsid w:val="00DF0B59"/>
    <w:rsid w:val="00DF7BF0"/>
    <w:rsid w:val="00E34AEF"/>
    <w:rsid w:val="00E408C6"/>
    <w:rsid w:val="00E47429"/>
    <w:rsid w:val="00E534DA"/>
    <w:rsid w:val="00E5674C"/>
    <w:rsid w:val="00E57CA3"/>
    <w:rsid w:val="00E67637"/>
    <w:rsid w:val="00E75772"/>
    <w:rsid w:val="00EA11F8"/>
    <w:rsid w:val="00EA3481"/>
    <w:rsid w:val="00EA5804"/>
    <w:rsid w:val="00EB2A93"/>
    <w:rsid w:val="00EE4E0E"/>
    <w:rsid w:val="00EE6718"/>
    <w:rsid w:val="00EF358F"/>
    <w:rsid w:val="00EF4E64"/>
    <w:rsid w:val="00F05307"/>
    <w:rsid w:val="00F0578F"/>
    <w:rsid w:val="00F15562"/>
    <w:rsid w:val="00F16363"/>
    <w:rsid w:val="00F929A0"/>
    <w:rsid w:val="00FA23F1"/>
    <w:rsid w:val="00FA5361"/>
    <w:rsid w:val="00FB0F40"/>
    <w:rsid w:val="00FC450A"/>
    <w:rsid w:val="00FD45F5"/>
    <w:rsid w:val="00FE7F81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2C8F24"/>
  <w15:docId w15:val="{CF31958C-59F2-435C-B683-DB22375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F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17"/>
  </w:style>
  <w:style w:type="paragraph" w:styleId="Footer">
    <w:name w:val="footer"/>
    <w:basedOn w:val="Normal"/>
    <w:link w:val="FooterChar"/>
    <w:uiPriority w:val="99"/>
    <w:unhideWhenUsed/>
    <w:rsid w:val="001E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7"/>
  </w:style>
  <w:style w:type="character" w:styleId="CommentReference">
    <w:name w:val="annotation reference"/>
    <w:basedOn w:val="DefaultParagraphFont"/>
    <w:uiPriority w:val="99"/>
    <w:semiHidden/>
    <w:unhideWhenUsed/>
    <w:rsid w:val="003A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C8"/>
    <w:rPr>
      <w:b/>
      <w:bCs/>
      <w:sz w:val="20"/>
      <w:szCs w:val="20"/>
    </w:rPr>
  </w:style>
  <w:style w:type="paragraph" w:customStyle="1" w:styleId="Default">
    <w:name w:val="Default"/>
    <w:rsid w:val="00EE6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7">
    <w:name w:val="s7"/>
    <w:basedOn w:val="DefaultParagraphFont"/>
    <w:rsid w:val="00EE6718"/>
  </w:style>
  <w:style w:type="table" w:styleId="TableGrid">
    <w:name w:val="Table Grid"/>
    <w:basedOn w:val="TableNormal"/>
    <w:uiPriority w:val="59"/>
    <w:rsid w:val="00B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oclusterfs\ssovol2\group\RESEARCH\DATA\Research\Flood%20Market%20Share\FloodMS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Private</a:t>
            </a:r>
            <a:r>
              <a:rPr lang="en-US" baseline="0"/>
              <a:t> Flood Market</a:t>
            </a:r>
          </a:p>
          <a:p>
            <a:pPr>
              <a:defRPr/>
            </a:pPr>
            <a:r>
              <a:rPr lang="en-US" sz="1200" baseline="0"/>
              <a:t>for U.S. States and Territories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'Growth by State exclude 21482'!$A$63</c:f>
              <c:strCache>
                <c:ptCount val="1"/>
                <c:pt idx="0">
                  <c:v>Written Premium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'Growth by State exclude 21482'!$B$62:$E$62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 formatCode="0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'Growth by State exclude 21482'!$B$63:$E$63</c:f>
              <c:numCache>
                <c:formatCode>_(* #,##0_);_(* \(#,##0\);_(* "-"??_);_(@_)</c:formatCode>
                <c:ptCount val="4"/>
                <c:pt idx="0">
                  <c:v>206249813</c:v>
                </c:pt>
                <c:pt idx="1">
                  <c:v>389691047</c:v>
                </c:pt>
                <c:pt idx="2">
                  <c:v>419707699</c:v>
                </c:pt>
                <c:pt idx="3">
                  <c:v>523492912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E-4C7D-A5BB-DF2E11E633E3}"/>
            </c:ext>
          </c:extLst>
        </c:ser>
        <c:ser>
          <c:idx val="1"/>
          <c:order val="1"/>
          <c:tx>
            <c:strRef>
              <c:f>'Growth by State exclude 21482'!$A$64</c:f>
              <c:strCache>
                <c:ptCount val="1"/>
                <c:pt idx="0">
                  <c:v>Earned Premium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'Growth by State exclude 21482'!$B$62:$E$62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 formatCode="0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'Growth by State exclude 21482'!$B$64:$E$64</c:f>
              <c:numCache>
                <c:formatCode>_(* #,##0_);_(* \(#,##0\);_(* "-"??_);_(@_)</c:formatCode>
                <c:ptCount val="4"/>
                <c:pt idx="0">
                  <c:v>131953366</c:v>
                </c:pt>
                <c:pt idx="1">
                  <c:v>355763337</c:v>
                </c:pt>
                <c:pt idx="2">
                  <c:v>397994812</c:v>
                </c:pt>
                <c:pt idx="3">
                  <c:v>465727719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6E-4C7D-A5BB-DF2E11E63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23554431"/>
        <c:axId val="718592015"/>
        <c:extLst/>
      </c:barChart>
      <c:lineChart>
        <c:grouping val="standard"/>
        <c:varyColors val="0"/>
        <c:ser>
          <c:idx val="2"/>
          <c:order val="2"/>
          <c:tx>
            <c:strRef>
              <c:f>'Growth by State exclude 21482'!$A$65</c:f>
              <c:strCache>
                <c:ptCount val="1"/>
                <c:pt idx="0">
                  <c:v>Loss Ratio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'Growth by State exclude 21482'!$B$62:$E$62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 formatCode="0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'Growth by State exclude 21482'!$B$65:$E$65</c:f>
              <c:numCache>
                <c:formatCode>0.00%</c:formatCode>
                <c:ptCount val="4"/>
                <c:pt idx="0">
                  <c:v>0.24160143061450967</c:v>
                </c:pt>
                <c:pt idx="1">
                  <c:v>1.7843612367510484</c:v>
                </c:pt>
                <c:pt idx="2">
                  <c:v>0.35249272545793886</c:v>
                </c:pt>
                <c:pt idx="3">
                  <c:v>0.28283457613996987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6E-4C7D-A5BB-DF2E11E63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9912559"/>
        <c:axId val="507972399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'Growth by State exclude 21482'!$A$66</c15:sqref>
                        </c15:formulaRef>
                      </c:ext>
                    </c:extLst>
                    <c:strCache>
                      <c:ptCount val="1"/>
                      <c:pt idx="0">
                        <c:v>Number of Writers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'Growth by State exclude 21482'!$B$62:$E$62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2016</c:v>
                      </c:pt>
                      <c:pt idx="1">
                        <c:v>2017</c:v>
                      </c:pt>
                      <c:pt idx="2" formatCode="0">
                        <c:v>2018</c:v>
                      </c:pt>
                      <c:pt idx="3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'Growth by State exclude 21482'!$B$66:$E$66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51</c:v>
                      </c:pt>
                      <c:pt idx="1">
                        <c:v>90</c:v>
                      </c:pt>
                      <c:pt idx="2">
                        <c:v>119</c:v>
                      </c:pt>
                      <c:pt idx="3">
                        <c:v>144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F56E-4C7D-A5BB-DF2E11E633E3}"/>
                  </c:ext>
                </c:extLst>
              </c15:ser>
            </c15:filteredLineSeries>
          </c:ext>
        </c:extLst>
      </c:lineChart>
      <c:catAx>
        <c:axId val="723554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8592015"/>
        <c:crosses val="autoZero"/>
        <c:auto val="1"/>
        <c:lblAlgn val="ctr"/>
        <c:lblOffset val="100"/>
        <c:noMultiLvlLbl val="0"/>
      </c:catAx>
      <c:valAx>
        <c:axId val="718592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554431"/>
        <c:crosses val="autoZero"/>
        <c:crossBetween val="between"/>
      </c:valAx>
      <c:valAx>
        <c:axId val="507972399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9912559"/>
        <c:crosses val="max"/>
        <c:crossBetween val="between"/>
      </c:valAx>
      <c:catAx>
        <c:axId val="7199125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79723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779C-F5E4-4ADB-89D7-1C110DE5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768221E3</Template>
  <TotalTime>1415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Nordman, Eric C.</dc:creator>
  <cp:lastModifiedBy>Brandenburg, Aaron</cp:lastModifiedBy>
  <cp:revision>19</cp:revision>
  <cp:lastPrinted>2019-04-23T18:14:00Z</cp:lastPrinted>
  <dcterms:created xsi:type="dcterms:W3CDTF">2018-09-19T15:10:00Z</dcterms:created>
  <dcterms:modified xsi:type="dcterms:W3CDTF">2020-04-28T19:20:00Z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1744468909</vt:i4>
  </property>
  <property fmtid="{D5CDD505-2E9C-101B-9397-08002B2CF9AE}" pid="3" name="_NewReviewCycle">
    <vt:lpwstr/>
  </property>
  <property fmtid="{D5CDD505-2E9C-101B-9397-08002B2CF9AE}" pid="4" name="_EmailSubject">
    <vt:lpwstr>Private Flood Memo</vt:lpwstr>
  </property>
  <property fmtid="{D5CDD505-2E9C-101B-9397-08002B2CF9AE}" pid="5" name="_AuthorEmail">
    <vt:lpwstr>ABrandenburg@naic.org</vt:lpwstr>
  </property>
  <property fmtid="{D5CDD505-2E9C-101B-9397-08002B2CF9AE}" pid="6" name="_AuthorEmailDisplayName">
    <vt:lpwstr>Brandenburg, Aaron</vt:lpwstr>
  </property>
  <property fmtid="{D5CDD505-2E9C-101B-9397-08002B2CF9AE}" pid="7" name="_PreviousAdHocReviewCycleID">
    <vt:i4>-1186844623</vt:i4>
  </property>
  <property fmtid="{D5CDD505-2E9C-101B-9397-08002B2CF9AE}" pid="8" name="_ReviewingToolsShownOnce">
    <vt:lpwstr/>
  </property>
</Properties>
</file>