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5AF8" w14:textId="77777777" w:rsidR="007D1C81" w:rsidRDefault="007D1C81" w:rsidP="00EF6326">
      <w:pPr>
        <w:jc w:val="center"/>
        <w:rPr>
          <w:rFonts w:ascii="Times New Roman Bold" w:eastAsia="Times New Roman" w:hAnsi="Times New Roman Bold"/>
          <w:b/>
          <w:bCs/>
          <w:position w:val="-1"/>
          <w:sz w:val="32"/>
          <w:szCs w:val="32"/>
          <w:u w:val="single"/>
        </w:rPr>
      </w:pPr>
      <w:bookmarkStart w:id="0" w:name="_Toc461784858"/>
    </w:p>
    <w:p w14:paraId="2293254F" w14:textId="77777777" w:rsidR="007D1C81" w:rsidRDefault="007D1C81" w:rsidP="00EF6326">
      <w:pPr>
        <w:jc w:val="center"/>
        <w:rPr>
          <w:rFonts w:ascii="Times New Roman Bold" w:eastAsia="Times New Roman" w:hAnsi="Times New Roman Bold"/>
          <w:b/>
          <w:bCs/>
          <w:position w:val="-1"/>
          <w:sz w:val="32"/>
          <w:szCs w:val="32"/>
          <w:u w:val="single"/>
        </w:rPr>
      </w:pPr>
    </w:p>
    <w:p w14:paraId="7D271E6D" w14:textId="77777777" w:rsidR="007D1C81" w:rsidRDefault="007D1C81" w:rsidP="00EF6326">
      <w:pPr>
        <w:jc w:val="center"/>
        <w:rPr>
          <w:rFonts w:ascii="Times New Roman Bold" w:eastAsia="Times New Roman" w:hAnsi="Times New Roman Bold"/>
          <w:b/>
          <w:bCs/>
          <w:position w:val="-1"/>
          <w:sz w:val="32"/>
          <w:szCs w:val="32"/>
          <w:u w:val="single"/>
        </w:rPr>
      </w:pPr>
    </w:p>
    <w:p w14:paraId="55D55594" w14:textId="77777777" w:rsidR="007D1C81" w:rsidRDefault="007D1C81" w:rsidP="00EF6326">
      <w:pPr>
        <w:jc w:val="center"/>
        <w:rPr>
          <w:rFonts w:ascii="Times New Roman Bold" w:eastAsia="Times New Roman" w:hAnsi="Times New Roman Bold"/>
          <w:b/>
          <w:bCs/>
          <w:position w:val="-1"/>
          <w:sz w:val="32"/>
          <w:szCs w:val="32"/>
          <w:u w:val="single"/>
        </w:rPr>
      </w:pPr>
    </w:p>
    <w:p w14:paraId="7AAC6285" w14:textId="77777777" w:rsidR="007D1C81" w:rsidRDefault="007D1C81" w:rsidP="00EF6326">
      <w:pPr>
        <w:jc w:val="center"/>
        <w:rPr>
          <w:rFonts w:ascii="Times New Roman Bold" w:eastAsia="Times New Roman" w:hAnsi="Times New Roman Bold"/>
          <w:b/>
          <w:bCs/>
          <w:position w:val="-1"/>
          <w:sz w:val="32"/>
          <w:szCs w:val="32"/>
          <w:u w:val="single"/>
        </w:rPr>
      </w:pPr>
    </w:p>
    <w:p w14:paraId="68A1747E" w14:textId="27C32D7D" w:rsidR="00EA2306" w:rsidRPr="007D1C81" w:rsidRDefault="00EF6326" w:rsidP="00EF6326">
      <w:pPr>
        <w:jc w:val="center"/>
        <w:rPr>
          <w:rFonts w:ascii="Times New Roman Bold" w:eastAsia="Times New Roman" w:hAnsi="Times New Roman Bold"/>
          <w:b/>
          <w:bCs/>
          <w:position w:val="-1"/>
          <w:sz w:val="32"/>
          <w:szCs w:val="32"/>
          <w:u w:val="single"/>
        </w:rPr>
      </w:pPr>
      <w:r w:rsidRPr="007D1C81">
        <w:rPr>
          <w:rFonts w:ascii="Times New Roman Bold" w:eastAsia="Times New Roman" w:hAnsi="Times New Roman Bold"/>
          <w:b/>
          <w:bCs/>
          <w:position w:val="-1"/>
          <w:sz w:val="32"/>
          <w:szCs w:val="32"/>
          <w:u w:val="single"/>
        </w:rPr>
        <w:t>Complete</w:t>
      </w:r>
      <w:r w:rsidR="00B76878">
        <w:rPr>
          <w:rFonts w:ascii="Times New Roman Bold" w:eastAsia="Times New Roman" w:hAnsi="Times New Roman Bold"/>
          <w:b/>
          <w:bCs/>
          <w:position w:val="-1"/>
          <w:sz w:val="32"/>
          <w:szCs w:val="32"/>
          <w:u w:val="single"/>
        </w:rPr>
        <w:t xml:space="preserve"> Clean Version </w:t>
      </w:r>
      <w:r w:rsidR="00B76878" w:rsidRPr="007D1C81">
        <w:rPr>
          <w:rFonts w:ascii="Times New Roman Bold" w:eastAsia="Times New Roman" w:hAnsi="Times New Roman Bold"/>
          <w:b/>
          <w:bCs/>
          <w:position w:val="-1"/>
          <w:sz w:val="32"/>
          <w:szCs w:val="32"/>
          <w:u w:val="single"/>
        </w:rPr>
        <w:t>of Revisions to VM-21</w:t>
      </w:r>
      <w:r w:rsidR="00B76878">
        <w:rPr>
          <w:rFonts w:ascii="Times New Roman Bold" w:eastAsia="Times New Roman" w:hAnsi="Times New Roman Bold"/>
          <w:b/>
          <w:bCs/>
          <w:position w:val="-1"/>
          <w:sz w:val="32"/>
          <w:szCs w:val="32"/>
          <w:u w:val="single"/>
        </w:rPr>
        <w:t xml:space="preserve"> Exposed </w:t>
      </w:r>
      <w:r w:rsidR="00C96CAA">
        <w:rPr>
          <w:rFonts w:ascii="Times New Roman Bold" w:eastAsia="Times New Roman" w:hAnsi="Times New Roman Bold"/>
          <w:b/>
          <w:bCs/>
          <w:position w:val="-1"/>
          <w:sz w:val="32"/>
          <w:szCs w:val="32"/>
          <w:u w:val="single"/>
        </w:rPr>
        <w:t>5/16</w:t>
      </w:r>
      <w:r w:rsidR="007D1C81">
        <w:rPr>
          <w:rFonts w:ascii="Times New Roman Bold" w:eastAsia="Times New Roman" w:hAnsi="Times New Roman Bold"/>
          <w:b/>
          <w:bCs/>
          <w:position w:val="-1"/>
          <w:sz w:val="32"/>
          <w:szCs w:val="32"/>
          <w:u w:val="single"/>
        </w:rPr>
        <w:t>/19</w:t>
      </w:r>
    </w:p>
    <w:p w14:paraId="0373FB0F" w14:textId="1D4A614A" w:rsidR="00EF6326" w:rsidRPr="007D1C81" w:rsidRDefault="00EA2306" w:rsidP="0059240B">
      <w:pPr>
        <w:rPr>
          <w:rFonts w:ascii="Times New Roman Bold" w:eastAsia="Times New Roman" w:hAnsi="Times New Roman Bold"/>
          <w:b/>
          <w:bCs/>
          <w:position w:val="-1"/>
          <w:sz w:val="24"/>
          <w:szCs w:val="24"/>
        </w:rPr>
      </w:pPr>
      <w:r w:rsidRPr="007D1C81">
        <w:rPr>
          <w:rFonts w:ascii="Times New Roman Bold" w:eastAsia="Times New Roman" w:hAnsi="Times New Roman Bold"/>
          <w:b/>
          <w:bCs/>
          <w:position w:val="-1"/>
          <w:sz w:val="24"/>
          <w:szCs w:val="24"/>
        </w:rPr>
        <w:t xml:space="preserve">This version of VM-21 has been </w:t>
      </w:r>
      <w:r w:rsidR="00EF6326" w:rsidRPr="007D1C81">
        <w:rPr>
          <w:rFonts w:ascii="Times New Roman Bold" w:eastAsia="Times New Roman" w:hAnsi="Times New Roman Bold"/>
          <w:b/>
          <w:bCs/>
          <w:position w:val="-1"/>
          <w:sz w:val="24"/>
          <w:szCs w:val="24"/>
        </w:rPr>
        <w:t xml:space="preserve">updated to reflect all edits that been exposed by LATF through the </w:t>
      </w:r>
      <w:r w:rsidR="00C96CAA">
        <w:rPr>
          <w:rFonts w:ascii="Times New Roman Bold" w:eastAsia="Times New Roman" w:hAnsi="Times New Roman Bold"/>
          <w:b/>
          <w:bCs/>
          <w:position w:val="-1"/>
          <w:sz w:val="24"/>
          <w:szCs w:val="24"/>
        </w:rPr>
        <w:t>May 16</w:t>
      </w:r>
      <w:r w:rsidR="00EF6326" w:rsidRPr="007D1C81">
        <w:rPr>
          <w:rFonts w:ascii="Times New Roman Bold" w:eastAsia="Times New Roman" w:hAnsi="Times New Roman Bold"/>
          <w:b/>
          <w:bCs/>
          <w:position w:val="-1"/>
          <w:sz w:val="24"/>
          <w:szCs w:val="24"/>
        </w:rPr>
        <w:t xml:space="preserve"> LATF conference call.</w:t>
      </w:r>
      <w:r w:rsidR="00124CDD">
        <w:rPr>
          <w:rFonts w:ascii="Times New Roman Bold" w:eastAsia="Times New Roman" w:hAnsi="Times New Roman Bold"/>
          <w:b/>
          <w:bCs/>
          <w:position w:val="-1"/>
          <w:sz w:val="24"/>
          <w:szCs w:val="24"/>
        </w:rPr>
        <w:t xml:space="preserve"> </w:t>
      </w:r>
      <w:r w:rsidR="00EF6326" w:rsidRPr="007D1C81">
        <w:rPr>
          <w:rFonts w:ascii="Times New Roman Bold" w:eastAsia="Times New Roman" w:hAnsi="Times New Roman Bold"/>
          <w:b/>
          <w:bCs/>
          <w:position w:val="-1"/>
          <w:sz w:val="24"/>
          <w:szCs w:val="24"/>
        </w:rPr>
        <w:t xml:space="preserve">Interested parties wishing to see the complete </w:t>
      </w:r>
      <w:r w:rsidR="0059240B">
        <w:rPr>
          <w:rFonts w:ascii="Times New Roman Bold" w:eastAsia="Times New Roman" w:hAnsi="Times New Roman Bold"/>
          <w:b/>
          <w:bCs/>
          <w:position w:val="-1"/>
          <w:sz w:val="24"/>
          <w:szCs w:val="24"/>
        </w:rPr>
        <w:t xml:space="preserve">clean version </w:t>
      </w:r>
      <w:r w:rsidR="00EF6326" w:rsidRPr="007D1C81">
        <w:rPr>
          <w:rFonts w:ascii="Times New Roman Bold" w:eastAsia="Times New Roman" w:hAnsi="Times New Roman Bold"/>
          <w:b/>
          <w:bCs/>
          <w:position w:val="-1"/>
          <w:sz w:val="24"/>
          <w:szCs w:val="24"/>
        </w:rPr>
        <w:t xml:space="preserve">of VM-21 changes should refer to this document. </w:t>
      </w:r>
      <w:r w:rsidR="0059240B" w:rsidRPr="007D1C81">
        <w:rPr>
          <w:rFonts w:ascii="Times New Roman Bold" w:eastAsia="Times New Roman" w:hAnsi="Times New Roman Bold"/>
          <w:b/>
          <w:bCs/>
          <w:position w:val="-1"/>
          <w:sz w:val="24"/>
          <w:szCs w:val="24"/>
        </w:rPr>
        <w:t xml:space="preserve">Interested parties wishing to see the complete </w:t>
      </w:r>
      <w:r w:rsidR="0059240B" w:rsidRPr="0059240B">
        <w:rPr>
          <w:rFonts w:ascii="Times New Roman Bold" w:eastAsia="Times New Roman" w:hAnsi="Times New Roman Bold"/>
          <w:b/>
          <w:bCs/>
          <w:i/>
          <w:position w:val="-1"/>
          <w:sz w:val="24"/>
          <w:szCs w:val="24"/>
        </w:rPr>
        <w:t>redline</w:t>
      </w:r>
      <w:r w:rsidR="0059240B" w:rsidRPr="007D1C81">
        <w:rPr>
          <w:rFonts w:ascii="Times New Roman Bold" w:eastAsia="Times New Roman" w:hAnsi="Times New Roman Bold"/>
          <w:b/>
          <w:bCs/>
          <w:position w:val="-1"/>
          <w:sz w:val="24"/>
          <w:szCs w:val="24"/>
        </w:rPr>
        <w:t xml:space="preserve"> of VM</w:t>
      </w:r>
      <w:r w:rsidR="0059240B">
        <w:rPr>
          <w:rFonts w:ascii="Times New Roman Bold" w:eastAsia="Times New Roman" w:hAnsi="Times New Roman Bold"/>
          <w:b/>
          <w:bCs/>
          <w:position w:val="-1"/>
          <w:sz w:val="24"/>
          <w:szCs w:val="24"/>
        </w:rPr>
        <w:t>-21 changes should refer to the accompanying redline</w:t>
      </w:r>
      <w:r w:rsidR="0059240B" w:rsidRPr="007D1C81">
        <w:rPr>
          <w:rFonts w:ascii="Times New Roman Bold" w:eastAsia="Times New Roman" w:hAnsi="Times New Roman Bold"/>
          <w:b/>
          <w:bCs/>
          <w:position w:val="-1"/>
          <w:sz w:val="24"/>
          <w:szCs w:val="24"/>
        </w:rPr>
        <w:t xml:space="preserve"> document.</w:t>
      </w:r>
    </w:p>
    <w:p w14:paraId="1430D50B" w14:textId="49831658" w:rsidR="00EA2306" w:rsidRPr="007D1C81" w:rsidRDefault="00EA2306" w:rsidP="00EA2306">
      <w:pPr>
        <w:rPr>
          <w:rFonts w:ascii="Times New Roman Bold" w:eastAsia="Times New Roman" w:hAnsi="Times New Roman Bold"/>
          <w:b/>
          <w:bCs/>
          <w:position w:val="-1"/>
          <w:sz w:val="24"/>
          <w:szCs w:val="24"/>
        </w:rPr>
      </w:pPr>
    </w:p>
    <w:p w14:paraId="061030FB" w14:textId="63559FDA" w:rsidR="002D3CB7" w:rsidRPr="0059240B" w:rsidRDefault="002D3CB7" w:rsidP="002D3CB7">
      <w:pPr>
        <w:rPr>
          <w:rFonts w:ascii="Times New Roman Bold" w:eastAsia="Times New Roman" w:hAnsi="Times New Roman Bold"/>
          <w:b/>
          <w:bCs/>
          <w:position w:val="-1"/>
          <w:sz w:val="24"/>
          <w:szCs w:val="24"/>
        </w:rPr>
      </w:pPr>
      <w:r w:rsidRPr="0059240B">
        <w:rPr>
          <w:rFonts w:ascii="Times New Roman Bold" w:eastAsia="Times New Roman" w:hAnsi="Times New Roman Bold"/>
          <w:b/>
          <w:bCs/>
          <w:position w:val="-1"/>
          <w:sz w:val="24"/>
          <w:szCs w:val="24"/>
        </w:rPr>
        <w:t xml:space="preserve">For this exposure, </w:t>
      </w:r>
      <w:r w:rsidR="0087209C" w:rsidRPr="0059240B">
        <w:rPr>
          <w:rFonts w:ascii="Times New Roman Bold" w:eastAsia="Times New Roman" w:hAnsi="Times New Roman Bold"/>
          <w:b/>
          <w:bCs/>
          <w:position w:val="-1"/>
          <w:sz w:val="24"/>
          <w:szCs w:val="24"/>
        </w:rPr>
        <w:t xml:space="preserve">in addition to general comments, </w:t>
      </w:r>
      <w:r w:rsidRPr="0059240B">
        <w:rPr>
          <w:rFonts w:ascii="Times New Roman Bold" w:eastAsia="Times New Roman" w:hAnsi="Times New Roman Bold"/>
          <w:b/>
          <w:bCs/>
          <w:position w:val="-1"/>
          <w:sz w:val="24"/>
          <w:szCs w:val="24"/>
        </w:rPr>
        <w:t xml:space="preserve">LATF </w:t>
      </w:r>
      <w:r w:rsidR="0087209C" w:rsidRPr="0059240B">
        <w:rPr>
          <w:rFonts w:ascii="Times New Roman Bold" w:eastAsia="Times New Roman" w:hAnsi="Times New Roman Bold"/>
          <w:b/>
          <w:bCs/>
          <w:position w:val="-1"/>
          <w:sz w:val="24"/>
          <w:szCs w:val="24"/>
        </w:rPr>
        <w:t xml:space="preserve">seeks </w:t>
      </w:r>
      <w:r w:rsidRPr="0059240B">
        <w:rPr>
          <w:rFonts w:ascii="Times New Roman Bold" w:eastAsia="Times New Roman" w:hAnsi="Times New Roman Bold"/>
          <w:b/>
          <w:bCs/>
          <w:position w:val="-1"/>
          <w:sz w:val="24"/>
          <w:szCs w:val="24"/>
        </w:rPr>
        <w:t>comments directly related to Section 4.D.4.c and the Guidance Note below it</w:t>
      </w:r>
      <w:r w:rsidR="0087209C" w:rsidRPr="0059240B">
        <w:rPr>
          <w:rFonts w:ascii="Times New Roman Bold" w:eastAsia="Times New Roman" w:hAnsi="Times New Roman Bold"/>
          <w:b/>
          <w:bCs/>
          <w:position w:val="-1"/>
          <w:sz w:val="24"/>
          <w:szCs w:val="24"/>
        </w:rPr>
        <w:t>.</w:t>
      </w:r>
    </w:p>
    <w:p w14:paraId="4E833363" w14:textId="17E65EE5" w:rsidR="00EF6326" w:rsidRPr="0059240B" w:rsidRDefault="00EF6326">
      <w:pPr>
        <w:rPr>
          <w:rFonts w:ascii="Times New Roman Bold" w:eastAsia="Times New Roman" w:hAnsi="Times New Roman Bold"/>
          <w:b/>
          <w:bCs/>
          <w:position w:val="-1"/>
        </w:rPr>
      </w:pPr>
      <w:r w:rsidRPr="0059240B">
        <w:rPr>
          <w:rFonts w:ascii="Times New Roman Bold" w:eastAsia="Times New Roman" w:hAnsi="Times New Roman Bold"/>
          <w:b/>
          <w:bCs/>
          <w:position w:val="-1"/>
        </w:rPr>
        <w:br w:type="page"/>
      </w:r>
    </w:p>
    <w:p w14:paraId="4B52222E" w14:textId="77777777" w:rsidR="00ED7FCD" w:rsidRPr="0059240B" w:rsidRDefault="00ED7FCD" w:rsidP="0043697C">
      <w:pPr>
        <w:rPr>
          <w:rFonts w:ascii="Times New Roman Bold" w:eastAsia="Times New Roman" w:hAnsi="Times New Roman Bold"/>
          <w:b/>
          <w:bCs/>
          <w:position w:val="-1"/>
        </w:rPr>
      </w:pPr>
    </w:p>
    <w:p w14:paraId="4F7D0F58" w14:textId="61713175" w:rsidR="00ED7FCD" w:rsidRPr="0059240B" w:rsidRDefault="00ED7FCD" w:rsidP="00703A32">
      <w:pPr>
        <w:pStyle w:val="Heading2"/>
        <w:spacing w:after="280"/>
        <w:jc w:val="center"/>
      </w:pPr>
      <w:r w:rsidRPr="0059240B">
        <w:t>VM-21: Requirements for Principle-Based Reserves for Variable Annuities</w:t>
      </w:r>
      <w:bookmarkEnd w:id="0"/>
    </w:p>
    <w:p w14:paraId="0BC2788A" w14:textId="77777777" w:rsidR="00ED7FCD" w:rsidRPr="0059240B" w:rsidRDefault="00ED7FCD" w:rsidP="00ED7FCD">
      <w:pPr>
        <w:pStyle w:val="Heading3"/>
        <w:spacing w:after="220"/>
        <w:rPr>
          <w:sz w:val="22"/>
          <w:szCs w:val="22"/>
        </w:rPr>
      </w:pPr>
      <w:r w:rsidRPr="0059240B">
        <w:rPr>
          <w:sz w:val="22"/>
          <w:szCs w:val="22"/>
        </w:rPr>
        <w:t>Table of Contents</w:t>
      </w:r>
    </w:p>
    <w:p w14:paraId="6008D818" w14:textId="1A0338FA" w:rsidR="00151243" w:rsidRPr="0059240B" w:rsidRDefault="00B76878" w:rsidP="00151243">
      <w:pPr>
        <w:pStyle w:val="TOC3"/>
        <w:rPr>
          <w:color w:val="auto"/>
        </w:rPr>
      </w:pPr>
      <w:hyperlink w:anchor="_Section_1._Background" w:history="1">
        <w:r w:rsidR="00151243" w:rsidRPr="0059240B">
          <w:rPr>
            <w:rStyle w:val="Hyperlink"/>
            <w:color w:val="auto"/>
          </w:rPr>
          <w:t>Section 1:</w:t>
        </w:r>
        <w:r w:rsidR="00151243" w:rsidRPr="0059240B">
          <w:rPr>
            <w:color w:val="auto"/>
          </w:rPr>
          <w:tab/>
        </w:r>
        <w:r w:rsidR="00151243" w:rsidRPr="0059240B">
          <w:rPr>
            <w:rStyle w:val="Hyperlink"/>
            <w:color w:val="auto"/>
          </w:rPr>
          <w:t>Background</w:t>
        </w:r>
        <w:r w:rsidR="00151243" w:rsidRPr="0059240B">
          <w:rPr>
            <w:webHidden/>
            <w:color w:val="auto"/>
          </w:rPr>
          <w:tab/>
        </w:r>
      </w:hyperlink>
      <w:r w:rsidR="00151243" w:rsidRPr="0059240B">
        <w:rPr>
          <w:color w:val="auto"/>
        </w:rPr>
        <w:t>21-x</w:t>
      </w:r>
    </w:p>
    <w:p w14:paraId="4E56F679" w14:textId="77777777" w:rsidR="00151243" w:rsidRPr="0059240B" w:rsidRDefault="00151243" w:rsidP="00151243">
      <w:pPr>
        <w:pStyle w:val="TOC3"/>
        <w:rPr>
          <w:rStyle w:val="Hyperlink"/>
          <w:color w:val="auto"/>
        </w:rPr>
      </w:pPr>
      <w:r w:rsidRPr="0059240B">
        <w:rPr>
          <w:rStyle w:val="Hyperlink"/>
          <w:color w:val="auto"/>
        </w:rPr>
        <w:t>Section 2:</w:t>
      </w:r>
      <w:r w:rsidRPr="0059240B">
        <w:rPr>
          <w:rStyle w:val="Hyperlink"/>
          <w:color w:val="auto"/>
        </w:rPr>
        <w:tab/>
        <w:t>Scope and Effective Date</w:t>
      </w:r>
      <w:r w:rsidRPr="0059240B">
        <w:rPr>
          <w:rStyle w:val="Hyperlink"/>
          <w:color w:val="auto"/>
        </w:rPr>
        <w:tab/>
        <w:t>21-x</w:t>
      </w:r>
    </w:p>
    <w:p w14:paraId="793A4D0E" w14:textId="4BB25DFC" w:rsidR="00151243" w:rsidRPr="0059240B" w:rsidRDefault="00B76878" w:rsidP="00151243">
      <w:pPr>
        <w:pStyle w:val="TOC3"/>
        <w:rPr>
          <w:color w:val="auto"/>
        </w:rPr>
      </w:pPr>
      <w:hyperlink w:anchor="_Section_2._Reserve_1" w:history="1">
        <w:r w:rsidR="00151243" w:rsidRPr="0059240B">
          <w:rPr>
            <w:rStyle w:val="Hyperlink"/>
            <w:color w:val="auto"/>
          </w:rPr>
          <w:t>Section 3:</w:t>
        </w:r>
        <w:r w:rsidR="00151243" w:rsidRPr="0059240B">
          <w:rPr>
            <w:color w:val="auto"/>
          </w:rPr>
          <w:tab/>
        </w:r>
        <w:r w:rsidR="00151243" w:rsidRPr="0059240B">
          <w:rPr>
            <w:rStyle w:val="Hyperlink"/>
            <w:color w:val="auto"/>
          </w:rPr>
          <w:t>Reserve Methodology</w:t>
        </w:r>
        <w:r w:rsidR="00151243" w:rsidRPr="0059240B">
          <w:rPr>
            <w:webHidden/>
            <w:color w:val="auto"/>
          </w:rPr>
          <w:tab/>
          <w:t>21-x</w:t>
        </w:r>
      </w:hyperlink>
    </w:p>
    <w:p w14:paraId="4CAB0EC4" w14:textId="56BC8A03" w:rsidR="00151243" w:rsidRPr="0059240B" w:rsidRDefault="00151243" w:rsidP="00151243">
      <w:pPr>
        <w:pStyle w:val="TOC3"/>
        <w:rPr>
          <w:color w:val="auto"/>
        </w:rPr>
      </w:pPr>
      <w:r w:rsidRPr="0059240B">
        <w:rPr>
          <w:rStyle w:val="Hyperlink"/>
          <w:color w:val="auto"/>
        </w:rPr>
        <w:t>Section 4:</w:t>
      </w:r>
      <w:r w:rsidRPr="0059240B">
        <w:rPr>
          <w:rFonts w:eastAsiaTheme="minorEastAsia"/>
          <w:color w:val="auto"/>
        </w:rPr>
        <w:tab/>
      </w:r>
      <w:r w:rsidRPr="0059240B">
        <w:rPr>
          <w:rStyle w:val="Hyperlink"/>
          <w:color w:val="auto"/>
        </w:rPr>
        <w:t xml:space="preserve">Determination of </w:t>
      </w:r>
      <w:r w:rsidR="009916C2" w:rsidRPr="0059240B">
        <w:rPr>
          <w:rStyle w:val="Hyperlink"/>
          <w:color w:val="auto"/>
        </w:rPr>
        <w:t xml:space="preserve">the </w:t>
      </w:r>
      <w:r w:rsidRPr="0059240B">
        <w:rPr>
          <w:color w:val="auto"/>
        </w:rPr>
        <w:t>Stochastic Reserve</w:t>
      </w:r>
      <w:r w:rsidRPr="0059240B">
        <w:rPr>
          <w:color w:val="auto"/>
        </w:rPr>
        <w:tab/>
        <w:t>21-x</w:t>
      </w:r>
    </w:p>
    <w:p w14:paraId="596258A2" w14:textId="77777777" w:rsidR="00151243" w:rsidRPr="0059240B" w:rsidRDefault="00190B3A" w:rsidP="00151243">
      <w:pPr>
        <w:pStyle w:val="TOC3"/>
        <w:rPr>
          <w:color w:val="auto"/>
        </w:rPr>
      </w:pPr>
      <w:hyperlink w:anchor="_Section_4._Reinsurance" w:history="1">
        <w:r w:rsidR="00151243" w:rsidRPr="0059240B">
          <w:rPr>
            <w:rStyle w:val="Hyperlink"/>
            <w:color w:val="auto"/>
          </w:rPr>
          <w:t>Section 5:</w:t>
        </w:r>
        <w:r w:rsidR="00151243" w:rsidRPr="0059240B">
          <w:rPr>
            <w:rFonts w:eastAsiaTheme="minorEastAsia"/>
            <w:color w:val="auto"/>
          </w:rPr>
          <w:tab/>
        </w:r>
        <w:r w:rsidR="00151243" w:rsidRPr="0059240B">
          <w:rPr>
            <w:rStyle w:val="Hyperlink"/>
            <w:color w:val="auto"/>
          </w:rPr>
          <w:t>Reinsurance Ceded</w:t>
        </w:r>
        <w:r w:rsidR="00151243" w:rsidRPr="0059240B">
          <w:rPr>
            <w:webHidden/>
            <w:color w:val="auto"/>
          </w:rPr>
          <w:tab/>
          <w:t>21-x</w:t>
        </w:r>
      </w:hyperlink>
    </w:p>
    <w:p w14:paraId="2CEF1A1E" w14:textId="770DC029" w:rsidR="00151243" w:rsidRPr="0059240B" w:rsidRDefault="00B76878" w:rsidP="00151243">
      <w:pPr>
        <w:pStyle w:val="TOC3"/>
        <w:rPr>
          <w:color w:val="auto"/>
        </w:rPr>
      </w:pPr>
      <w:hyperlink w:anchor="_Section_4._Reinsurance" w:history="1">
        <w:r w:rsidR="00151243" w:rsidRPr="0059240B">
          <w:rPr>
            <w:rStyle w:val="Hyperlink"/>
            <w:color w:val="auto"/>
          </w:rPr>
          <w:t>Section 6:</w:t>
        </w:r>
        <w:r w:rsidR="00151243" w:rsidRPr="0059240B">
          <w:rPr>
            <w:rFonts w:eastAsiaTheme="minorEastAsia"/>
            <w:color w:val="auto"/>
          </w:rPr>
          <w:tab/>
          <w:t xml:space="preserve">Additional Standard Projection </w:t>
        </w:r>
        <w:r w:rsidR="00151243" w:rsidRPr="0059240B">
          <w:rPr>
            <w:rStyle w:val="Hyperlink"/>
            <w:color w:val="auto"/>
          </w:rPr>
          <w:t>Requirements</w:t>
        </w:r>
        <w:r w:rsidR="00151243" w:rsidRPr="0059240B">
          <w:rPr>
            <w:webHidden/>
            <w:color w:val="auto"/>
          </w:rPr>
          <w:tab/>
          <w:t>21-x</w:t>
        </w:r>
      </w:hyperlink>
    </w:p>
    <w:p w14:paraId="6BC9AD83" w14:textId="77777777" w:rsidR="00151243" w:rsidRPr="0059240B" w:rsidRDefault="00190B3A" w:rsidP="00151243">
      <w:pPr>
        <w:pStyle w:val="TOC3"/>
        <w:rPr>
          <w:color w:val="auto"/>
        </w:rPr>
      </w:pPr>
      <w:hyperlink w:anchor="_Section_4._Reinsurance" w:history="1">
        <w:r w:rsidR="00151243" w:rsidRPr="0059240B">
          <w:rPr>
            <w:rStyle w:val="Hyperlink"/>
            <w:color w:val="auto"/>
          </w:rPr>
          <w:t>Section 7:</w:t>
        </w:r>
        <w:r w:rsidR="00151243" w:rsidRPr="0059240B">
          <w:rPr>
            <w:rFonts w:eastAsiaTheme="minorEastAsia"/>
            <w:color w:val="auto"/>
          </w:rPr>
          <w:tab/>
          <w:t>Alternative Methodolgy</w:t>
        </w:r>
        <w:r w:rsidR="00151243" w:rsidRPr="0059240B">
          <w:rPr>
            <w:webHidden/>
            <w:color w:val="auto"/>
          </w:rPr>
          <w:tab/>
          <w:t>21-x</w:t>
        </w:r>
      </w:hyperlink>
    </w:p>
    <w:p w14:paraId="331278C5" w14:textId="77777777" w:rsidR="00151243" w:rsidRPr="0059240B" w:rsidRDefault="00190B3A" w:rsidP="00151243">
      <w:pPr>
        <w:pStyle w:val="TOC3"/>
        <w:rPr>
          <w:color w:val="auto"/>
        </w:rPr>
      </w:pPr>
      <w:hyperlink w:anchor="_Section_4._Reinsurance" w:history="1">
        <w:r w:rsidR="00151243" w:rsidRPr="0059240B">
          <w:rPr>
            <w:rStyle w:val="Hyperlink"/>
            <w:color w:val="auto"/>
          </w:rPr>
          <w:t>Section 8:</w:t>
        </w:r>
        <w:r w:rsidR="00151243" w:rsidRPr="0059240B">
          <w:rPr>
            <w:rFonts w:eastAsiaTheme="minorEastAsia"/>
            <w:color w:val="auto"/>
          </w:rPr>
          <w:tab/>
          <w:t>Scenario Generation</w:t>
        </w:r>
        <w:r w:rsidR="00151243" w:rsidRPr="0059240B">
          <w:rPr>
            <w:webHidden/>
            <w:color w:val="auto"/>
          </w:rPr>
          <w:tab/>
          <w:t>21-x</w:t>
        </w:r>
      </w:hyperlink>
    </w:p>
    <w:p w14:paraId="66AFF2E8" w14:textId="77777777" w:rsidR="00151243" w:rsidRPr="0059240B" w:rsidRDefault="00190B3A" w:rsidP="00151243">
      <w:pPr>
        <w:pStyle w:val="TOC3"/>
        <w:rPr>
          <w:color w:val="auto"/>
        </w:rPr>
      </w:pPr>
      <w:hyperlink w:anchor="_Section_4._Reinsurance" w:history="1">
        <w:r w:rsidR="00151243" w:rsidRPr="0059240B">
          <w:rPr>
            <w:rStyle w:val="Hyperlink"/>
            <w:color w:val="auto"/>
          </w:rPr>
          <w:t>Section 9:</w:t>
        </w:r>
        <w:r w:rsidR="00151243" w:rsidRPr="0059240B">
          <w:rPr>
            <w:rFonts w:eastAsiaTheme="minorEastAsia"/>
            <w:color w:val="auto"/>
          </w:rPr>
          <w:tab/>
          <w:t>Modeling of Hedges Under a CDHS</w:t>
        </w:r>
        <w:r w:rsidR="00151243" w:rsidRPr="0059240B">
          <w:rPr>
            <w:webHidden/>
            <w:color w:val="auto"/>
          </w:rPr>
          <w:tab/>
          <w:t>21-x</w:t>
        </w:r>
      </w:hyperlink>
    </w:p>
    <w:p w14:paraId="25BCC418" w14:textId="101E1AE1" w:rsidR="00151243" w:rsidRPr="0059240B" w:rsidRDefault="00190B3A" w:rsidP="00151243">
      <w:pPr>
        <w:pStyle w:val="TOC3"/>
        <w:rPr>
          <w:color w:val="auto"/>
        </w:rPr>
      </w:pPr>
      <w:hyperlink w:anchor="_Section_4._Reinsurance" w:history="1">
        <w:r w:rsidR="00151243" w:rsidRPr="0059240B">
          <w:rPr>
            <w:rStyle w:val="Hyperlink"/>
            <w:color w:val="auto"/>
          </w:rPr>
          <w:t>Section 1</w:t>
        </w:r>
        <w:r w:rsidR="00991FA6" w:rsidRPr="0059240B">
          <w:rPr>
            <w:rStyle w:val="Hyperlink"/>
            <w:color w:val="auto"/>
          </w:rPr>
          <w:t>0</w:t>
        </w:r>
        <w:r w:rsidR="00151243" w:rsidRPr="0059240B">
          <w:rPr>
            <w:rStyle w:val="Hyperlink"/>
            <w:color w:val="auto"/>
          </w:rPr>
          <w:t>:</w:t>
        </w:r>
        <w:r w:rsidR="00151243" w:rsidRPr="0059240B">
          <w:rPr>
            <w:rFonts w:eastAsiaTheme="minorEastAsia"/>
            <w:color w:val="auto"/>
          </w:rPr>
          <w:tab/>
          <w:t>Contract</w:t>
        </w:r>
        <w:r w:rsidR="003B2C27" w:rsidRPr="0059240B">
          <w:rPr>
            <w:rFonts w:eastAsiaTheme="minorEastAsia"/>
            <w:color w:val="auto"/>
          </w:rPr>
          <w:t xml:space="preserve"> </w:t>
        </w:r>
        <w:r w:rsidR="00151243" w:rsidRPr="0059240B">
          <w:rPr>
            <w:rFonts w:eastAsiaTheme="minorEastAsia"/>
            <w:color w:val="auto"/>
          </w:rPr>
          <w:t>Holder Behavior Assumptions</w:t>
        </w:r>
        <w:r w:rsidR="00151243" w:rsidRPr="0059240B">
          <w:rPr>
            <w:webHidden/>
            <w:color w:val="auto"/>
          </w:rPr>
          <w:tab/>
          <w:t>21-x</w:t>
        </w:r>
      </w:hyperlink>
    </w:p>
    <w:p w14:paraId="55BB8477" w14:textId="423FCA30" w:rsidR="00151243" w:rsidRPr="0059240B" w:rsidRDefault="00190B3A" w:rsidP="00151243">
      <w:pPr>
        <w:pStyle w:val="TOC3"/>
        <w:rPr>
          <w:color w:val="auto"/>
        </w:rPr>
      </w:pPr>
      <w:hyperlink w:anchor="_Section_4._Reinsurance" w:history="1">
        <w:r w:rsidR="00991FA6" w:rsidRPr="0059240B">
          <w:rPr>
            <w:rStyle w:val="Hyperlink"/>
            <w:color w:val="auto"/>
          </w:rPr>
          <w:t>Section 11</w:t>
        </w:r>
        <w:r w:rsidR="00151243" w:rsidRPr="0059240B">
          <w:rPr>
            <w:rStyle w:val="Hyperlink"/>
            <w:color w:val="auto"/>
          </w:rPr>
          <w:t>:</w:t>
        </w:r>
        <w:r w:rsidR="00151243" w:rsidRPr="0059240B">
          <w:rPr>
            <w:rFonts w:eastAsiaTheme="minorEastAsia"/>
            <w:color w:val="auto"/>
          </w:rPr>
          <w:tab/>
        </w:r>
        <w:r w:rsidR="00151243" w:rsidRPr="0059240B">
          <w:rPr>
            <w:color w:val="auto"/>
          </w:rPr>
          <w:t>Guidance and Requirements for Setting Prudent Estimate Mortality Assumptions</w:t>
        </w:r>
        <w:r w:rsidR="00151243" w:rsidRPr="0059240B">
          <w:rPr>
            <w:webHidden/>
            <w:color w:val="auto"/>
          </w:rPr>
          <w:tab/>
          <w:t>21-x</w:t>
        </w:r>
      </w:hyperlink>
    </w:p>
    <w:p w14:paraId="22FA5AF2" w14:textId="6A20BCD2" w:rsidR="00991FA6" w:rsidRPr="0059240B" w:rsidRDefault="00190B3A" w:rsidP="00991FA6">
      <w:pPr>
        <w:pStyle w:val="TOC3"/>
        <w:rPr>
          <w:color w:val="auto"/>
        </w:rPr>
      </w:pPr>
      <w:hyperlink w:anchor="_Section_4._Reinsurance" w:history="1">
        <w:r w:rsidR="00991FA6" w:rsidRPr="0059240B">
          <w:rPr>
            <w:rStyle w:val="Hyperlink"/>
            <w:color w:val="auto"/>
          </w:rPr>
          <w:t>Section 12:</w:t>
        </w:r>
        <w:r w:rsidR="00991FA6" w:rsidRPr="0059240B">
          <w:rPr>
            <w:rFonts w:eastAsiaTheme="minorEastAsia"/>
            <w:color w:val="auto"/>
          </w:rPr>
          <w:tab/>
        </w:r>
        <w:r w:rsidR="00991FA6" w:rsidRPr="0059240B">
          <w:rPr>
            <w:rStyle w:val="Hyperlink"/>
            <w:color w:val="auto"/>
          </w:rPr>
          <w:t>Allocation of the Aggr</w:t>
        </w:r>
        <w:r w:rsidR="00DD29B3" w:rsidRPr="0059240B">
          <w:rPr>
            <w:rStyle w:val="Hyperlink"/>
            <w:color w:val="auto"/>
          </w:rPr>
          <w:t>e</w:t>
        </w:r>
        <w:r w:rsidR="00991FA6" w:rsidRPr="0059240B">
          <w:rPr>
            <w:rStyle w:val="Hyperlink"/>
            <w:color w:val="auto"/>
          </w:rPr>
          <w:t>gate Reserve to the Contract Level</w:t>
        </w:r>
        <w:r w:rsidR="00991FA6" w:rsidRPr="0059240B">
          <w:rPr>
            <w:webHidden/>
            <w:color w:val="auto"/>
          </w:rPr>
          <w:tab/>
          <w:t>21-x</w:t>
        </w:r>
      </w:hyperlink>
    </w:p>
    <w:p w14:paraId="0078F5AB" w14:textId="77777777" w:rsidR="00151243" w:rsidRPr="0059240B" w:rsidRDefault="00151243" w:rsidP="00C27491">
      <w:pPr>
        <w:pStyle w:val="Heading3"/>
        <w:spacing w:after="220"/>
        <w:jc w:val="left"/>
        <w:rPr>
          <w:sz w:val="22"/>
          <w:szCs w:val="22"/>
        </w:rPr>
      </w:pPr>
    </w:p>
    <w:p w14:paraId="307DEDEB" w14:textId="75E8D67A" w:rsidR="0021502F" w:rsidRPr="0059240B" w:rsidRDefault="0021502F" w:rsidP="009533AE">
      <w:pPr>
        <w:pStyle w:val="Heading3"/>
        <w:spacing w:after="220"/>
        <w:jc w:val="left"/>
        <w:rPr>
          <w:sz w:val="22"/>
          <w:szCs w:val="22"/>
        </w:rPr>
      </w:pPr>
      <w:r w:rsidRPr="0059240B">
        <w:rPr>
          <w:sz w:val="22"/>
          <w:szCs w:val="22"/>
        </w:rPr>
        <w:t>Section 1: Background</w:t>
      </w:r>
    </w:p>
    <w:p w14:paraId="6A1D1A19" w14:textId="77777777" w:rsidR="0021502F" w:rsidRPr="0059240B" w:rsidRDefault="0021502F" w:rsidP="009533AE">
      <w:pPr>
        <w:spacing w:after="220" w:line="240" w:lineRule="auto"/>
        <w:ind w:left="72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Purpose</w:t>
      </w:r>
    </w:p>
    <w:p w14:paraId="6C58E4A4" w14:textId="69BE98B6" w:rsidR="00CF0C44" w:rsidRPr="0059240B" w:rsidRDefault="00CF0C44" w:rsidP="009533AE">
      <w:pPr>
        <w:spacing w:before="100" w:beforeAutospacing="1" w:after="100" w:afterAutospacing="1" w:line="240" w:lineRule="auto"/>
        <w:ind w:left="720"/>
        <w:rPr>
          <w:rFonts w:ascii="TimesNewRomanPSMT" w:hAnsi="TimesNewRomanPSMT"/>
        </w:rPr>
      </w:pPr>
      <w:r w:rsidRPr="0059240B">
        <w:rPr>
          <w:rFonts w:ascii="TimesNewRomanPSMT" w:eastAsia="Times New Roman" w:hAnsi="TimesNewRomanPSMT"/>
        </w:rPr>
        <w:t>These requirements establish the minimum reserve valuation standard for variable annuit</w:t>
      </w:r>
      <w:r w:rsidR="00CA1DFC" w:rsidRPr="0059240B">
        <w:rPr>
          <w:rFonts w:ascii="TimesNewRomanPSMT" w:eastAsia="Times New Roman" w:hAnsi="TimesNewRomanPSMT"/>
        </w:rPr>
        <w:t>y</w:t>
      </w:r>
      <w:r w:rsidRPr="0059240B">
        <w:rPr>
          <w:rFonts w:ascii="TimesNewRomanPSMT" w:eastAsia="Times New Roman" w:hAnsi="TimesNewRomanPSMT"/>
        </w:rPr>
        <w:t xml:space="preserve"> </w:t>
      </w:r>
      <w:r w:rsidR="009D310F" w:rsidRPr="0059240B">
        <w:rPr>
          <w:rFonts w:ascii="TimesNewRomanPSMT" w:eastAsia="Times New Roman" w:hAnsi="TimesNewRomanPSMT"/>
        </w:rPr>
        <w:t>contracts</w:t>
      </w:r>
      <w:r w:rsidR="00456BB6" w:rsidRPr="0059240B">
        <w:rPr>
          <w:rFonts w:ascii="TimesNewRomanPSMT" w:eastAsia="Times New Roman" w:hAnsi="TimesNewRomanPSMT"/>
        </w:rPr>
        <w:t>,</w:t>
      </w:r>
      <w:r w:rsidR="003F5051" w:rsidRPr="0059240B">
        <w:rPr>
          <w:rFonts w:ascii="TimesNewRomanPSMT" w:eastAsia="Times New Roman" w:hAnsi="TimesNewRomanPSMT"/>
        </w:rPr>
        <w:t xml:space="preserve"> </w:t>
      </w:r>
      <w:r w:rsidR="002618C0" w:rsidRPr="0059240B">
        <w:rPr>
          <w:rFonts w:ascii="TimesNewRomanPSMT" w:eastAsia="Times New Roman" w:hAnsi="TimesNewRomanPSMT"/>
        </w:rPr>
        <w:t xml:space="preserve">and </w:t>
      </w:r>
      <w:r w:rsidR="003F5051" w:rsidRPr="0059240B">
        <w:rPr>
          <w:rFonts w:ascii="TimesNewRomanPSMT" w:eastAsia="Times New Roman" w:hAnsi="TimesNewRomanPSMT"/>
        </w:rPr>
        <w:t>certain other policies</w:t>
      </w:r>
      <w:r w:rsidR="009D310F" w:rsidRPr="0059240B">
        <w:rPr>
          <w:rFonts w:ascii="TimesNewRomanPSMT" w:eastAsia="Times New Roman" w:hAnsi="TimesNewRomanPSMT"/>
        </w:rPr>
        <w:t xml:space="preserve"> and contracts</w:t>
      </w:r>
      <w:r w:rsidR="003F5051" w:rsidRPr="0059240B">
        <w:rPr>
          <w:rFonts w:ascii="TimesNewRomanPSMT" w:eastAsia="Times New Roman" w:hAnsi="TimesNewRomanPSMT"/>
        </w:rPr>
        <w:t xml:space="preserve"> </w:t>
      </w:r>
      <w:r w:rsidR="008B3FA2" w:rsidRPr="0059240B">
        <w:rPr>
          <w:rFonts w:ascii="TimesNewRomanPSMT" w:eastAsia="Times New Roman" w:hAnsi="TimesNewRomanPSMT"/>
        </w:rPr>
        <w:t>(</w:t>
      </w:r>
      <w:r w:rsidR="00DE16A5" w:rsidRPr="0059240B">
        <w:rPr>
          <w:rFonts w:ascii="TimesNewRomanPSMT" w:eastAsia="Times New Roman" w:hAnsi="TimesNewRomanPSMT"/>
        </w:rPr>
        <w:t>“</w:t>
      </w:r>
      <w:r w:rsidR="008B3FA2" w:rsidRPr="0059240B">
        <w:rPr>
          <w:rFonts w:ascii="TimesNewRomanPSMT" w:eastAsia="Times New Roman" w:hAnsi="TimesNewRomanPSMT"/>
        </w:rPr>
        <w:t>contracts</w:t>
      </w:r>
      <w:r w:rsidR="00DE16A5" w:rsidRPr="0059240B">
        <w:rPr>
          <w:rFonts w:ascii="TimesNewRomanPSMT" w:eastAsia="Times New Roman" w:hAnsi="TimesNewRomanPSMT"/>
        </w:rPr>
        <w:t>”</w:t>
      </w:r>
      <w:r w:rsidR="008B3FA2" w:rsidRPr="0059240B">
        <w:rPr>
          <w:rFonts w:ascii="TimesNewRomanPSMT" w:eastAsia="Times New Roman" w:hAnsi="TimesNewRomanPSMT"/>
        </w:rPr>
        <w:t xml:space="preserve">) </w:t>
      </w:r>
      <w:r w:rsidR="003F5051" w:rsidRPr="0059240B">
        <w:rPr>
          <w:rFonts w:ascii="TimesNewRomanPSMT" w:eastAsia="Times New Roman" w:hAnsi="TimesNewRomanPSMT"/>
        </w:rPr>
        <w:t xml:space="preserve">as defined in </w:t>
      </w:r>
      <w:r w:rsidR="00151243" w:rsidRPr="0059240B">
        <w:rPr>
          <w:rFonts w:ascii="TimesNewRomanPSMT" w:eastAsia="Times New Roman" w:hAnsi="TimesNewRomanPSMT"/>
        </w:rPr>
        <w:t>Section 2.A</w:t>
      </w:r>
      <w:r w:rsidR="00456BB6" w:rsidRPr="0059240B">
        <w:rPr>
          <w:rFonts w:ascii="TimesNewRomanPSMT" w:eastAsia="Times New Roman" w:hAnsi="TimesNewRomanPSMT"/>
        </w:rPr>
        <w:t>,</w:t>
      </w:r>
      <w:r w:rsidR="003F5051" w:rsidRPr="0059240B">
        <w:rPr>
          <w:rFonts w:ascii="TimesNewRomanPSMT" w:eastAsia="Times New Roman" w:hAnsi="TimesNewRomanPSMT"/>
        </w:rPr>
        <w:t xml:space="preserve"> issued </w:t>
      </w:r>
      <w:r w:rsidRPr="0059240B">
        <w:rPr>
          <w:rFonts w:ascii="TimesNewRomanPSMT" w:eastAsia="Times New Roman" w:hAnsi="TimesNewRomanPSMT"/>
        </w:rPr>
        <w:t xml:space="preserve">on or after the operative date of the </w:t>
      </w:r>
      <w:r w:rsidR="003F5051" w:rsidRPr="0059240B">
        <w:rPr>
          <w:rFonts w:ascii="TimesNewRomanPS" w:eastAsia="Times New Roman" w:hAnsi="TimesNewRomanPS"/>
          <w:i/>
          <w:iCs/>
        </w:rPr>
        <w:t>Valuation Manual</w:t>
      </w:r>
      <w:r w:rsidRPr="0059240B">
        <w:rPr>
          <w:rFonts w:ascii="TimesNewRomanPS" w:eastAsia="Times New Roman" w:hAnsi="TimesNewRomanPS"/>
          <w:i/>
          <w:iCs/>
        </w:rPr>
        <w:t xml:space="preserve"> </w:t>
      </w:r>
      <w:r w:rsidR="003F5051" w:rsidRPr="0059240B">
        <w:rPr>
          <w:rFonts w:ascii="TimesNewRomanPSMT" w:eastAsia="Times New Roman" w:hAnsi="TimesNewRomanPSMT"/>
        </w:rPr>
        <w:t>as required by</w:t>
      </w:r>
      <w:r w:rsidRPr="0059240B">
        <w:rPr>
          <w:rFonts w:ascii="TimesNewRomanPSMT" w:eastAsia="Times New Roman" w:hAnsi="TimesNewRomanPSMT"/>
        </w:rPr>
        <w:t xml:space="preserve"> </w:t>
      </w:r>
      <w:r w:rsidR="00336B48" w:rsidRPr="0059240B">
        <w:rPr>
          <w:rFonts w:ascii="TimesNewRomanPSMT" w:eastAsia="Times New Roman" w:hAnsi="TimesNewRomanPSMT"/>
        </w:rPr>
        <w:t xml:space="preserve">Model #820. </w:t>
      </w:r>
      <w:r w:rsidRPr="0059240B">
        <w:rPr>
          <w:rFonts w:ascii="TimesNewRomanPSMT" w:hAnsi="TimesNewRomanPSMT"/>
        </w:rPr>
        <w:t xml:space="preserve">These requirements constitute the Commissioners </w:t>
      </w:r>
      <w:r w:rsidR="0021502F" w:rsidRPr="0059240B">
        <w:rPr>
          <w:rFonts w:ascii="Times New Roman" w:eastAsia="Times New Roman" w:hAnsi="Times New Roman"/>
        </w:rPr>
        <w:t xml:space="preserve">Annuity </w:t>
      </w:r>
      <w:r w:rsidRPr="0059240B">
        <w:rPr>
          <w:rFonts w:ascii="TimesNewRomanPSMT" w:hAnsi="TimesNewRomanPSMT"/>
        </w:rPr>
        <w:t>Reserve Valuation Method (</w:t>
      </w:r>
      <w:r w:rsidR="0021502F" w:rsidRPr="0059240B">
        <w:rPr>
          <w:rFonts w:ascii="Times New Roman" w:eastAsia="Times New Roman" w:hAnsi="Times New Roman"/>
        </w:rPr>
        <w:t>CARVM</w:t>
      </w:r>
      <w:r w:rsidRPr="0059240B">
        <w:rPr>
          <w:rFonts w:ascii="TimesNewRomanPSMT" w:hAnsi="TimesNewRomanPSMT"/>
        </w:rPr>
        <w:t xml:space="preserve">) for </w:t>
      </w:r>
      <w:r w:rsidR="00C46216" w:rsidRPr="0059240B">
        <w:rPr>
          <w:rFonts w:ascii="TimesNewRomanPSMT" w:hAnsi="TimesNewRomanPSMT"/>
        </w:rPr>
        <w:t>all contracts encompassed by</w:t>
      </w:r>
      <w:r w:rsidR="00151243" w:rsidRPr="0059240B">
        <w:rPr>
          <w:rFonts w:ascii="TimesNewRomanPSMT" w:hAnsi="TimesNewRomanPSMT"/>
        </w:rPr>
        <w:t xml:space="preserve"> Section 2.A</w:t>
      </w:r>
      <w:r w:rsidR="00C46216" w:rsidRPr="0059240B">
        <w:rPr>
          <w:rFonts w:ascii="TimesNewRomanPSMT" w:hAnsi="TimesNewRomanPSMT"/>
        </w:rPr>
        <w:t>.</w:t>
      </w:r>
      <w:r w:rsidRPr="0059240B">
        <w:rPr>
          <w:rFonts w:ascii="TimesNewRomanPSMT" w:eastAsia="Times New Roman" w:hAnsi="TimesNewRomanPSMT"/>
        </w:rPr>
        <w:t xml:space="preserve"> </w:t>
      </w:r>
    </w:p>
    <w:p w14:paraId="1E0BA0C8" w14:textId="4FF57EEB" w:rsidR="0021502F" w:rsidRPr="0059240B" w:rsidRDefault="0021502F" w:rsidP="009533AE">
      <w:pPr>
        <w:spacing w:after="220" w:line="240" w:lineRule="auto"/>
        <w:ind w:left="720"/>
        <w:rPr>
          <w:rFonts w:ascii="Times New Roman" w:eastAsia="Times New Roman" w:hAnsi="Times New Roman"/>
        </w:rPr>
      </w:pPr>
      <w:r w:rsidRPr="0059240B">
        <w:rPr>
          <w:rFonts w:ascii="Times New Roman" w:eastAsia="Times New Roman" w:hAnsi="Times New Roman"/>
        </w:rPr>
        <w:t xml:space="preserve">The contracts subject to these requirements may be aggregated with the contracts subject to </w:t>
      </w:r>
      <w:r w:rsidRPr="0059240B">
        <w:rPr>
          <w:rFonts w:ascii="Times New Roman" w:eastAsia="Times New Roman" w:hAnsi="Times New Roman"/>
          <w:i/>
        </w:rPr>
        <w:t xml:space="preserve">Actuarial Guideline XLIII—CARVM </w:t>
      </w:r>
      <w:r w:rsidR="001D262A" w:rsidRPr="0059240B">
        <w:rPr>
          <w:rFonts w:ascii="Times New Roman" w:eastAsia="Times New Roman" w:hAnsi="Times New Roman"/>
          <w:i/>
        </w:rPr>
        <w:t>f</w:t>
      </w:r>
      <w:r w:rsidRPr="0059240B">
        <w:rPr>
          <w:rFonts w:ascii="Times New Roman" w:eastAsia="Times New Roman" w:hAnsi="Times New Roman"/>
          <w:i/>
        </w:rPr>
        <w:t>or Variable Annuities</w:t>
      </w:r>
      <w:r w:rsidRPr="0059240B">
        <w:rPr>
          <w:rFonts w:ascii="Times New Roman" w:eastAsia="Times New Roman" w:hAnsi="Times New Roman"/>
        </w:rPr>
        <w:t xml:space="preserve"> (AG 43), </w:t>
      </w:r>
      <w:r w:rsidRPr="0059240B">
        <w:rPr>
          <w:rFonts w:ascii="Times New Roman" w:eastAsia="Times New Roman" w:hAnsi="Times New Roman"/>
          <w:shd w:val="clear" w:color="auto" w:fill="FFFFFF" w:themeFill="background1"/>
        </w:rPr>
        <w:t>published in Appendix C of the AP&amp;P Manual,</w:t>
      </w:r>
      <w:r w:rsidRPr="0059240B">
        <w:rPr>
          <w:rFonts w:ascii="Times New Roman" w:eastAsia="Times New Roman" w:hAnsi="Times New Roman"/>
        </w:rPr>
        <w:t xml:space="preserve"> for purposes of performing and documenting the reserve calculations.</w:t>
      </w:r>
    </w:p>
    <w:p w14:paraId="3F23E336" w14:textId="42AEFF7D" w:rsidR="0021502F" w:rsidRPr="0059240B"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59240B">
        <w:rPr>
          <w:rFonts w:ascii="Times New Roman" w:eastAsia="Times New Roman" w:hAnsi="Times New Roman"/>
          <w:b/>
        </w:rPr>
        <w:t>Guidance Note:</w:t>
      </w:r>
      <w:r w:rsidRPr="0059240B">
        <w:rPr>
          <w:rFonts w:ascii="Times New Roman" w:eastAsia="Times New Roman" w:hAnsi="Times New Roman"/>
        </w:rPr>
        <w:t> </w:t>
      </w:r>
      <w:r w:rsidR="00151243" w:rsidRPr="0059240B">
        <w:t xml:space="preserve"> </w:t>
      </w:r>
      <w:r w:rsidR="00151243" w:rsidRPr="0059240B">
        <w:rPr>
          <w:rFonts w:ascii="Times New Roman" w:eastAsia="Times New Roman" w:hAnsi="Times New Roman"/>
        </w:rPr>
        <w:t xml:space="preserve">Effectively, through reference in AG 43, the reserve requirements in VM-21 also apply to those contracts issued prior to January 1, 2017 that would </w:t>
      </w:r>
      <w:r w:rsidR="00516942" w:rsidRPr="0059240B">
        <w:rPr>
          <w:rFonts w:ascii="Times New Roman" w:eastAsia="Times New Roman" w:hAnsi="Times New Roman"/>
        </w:rPr>
        <w:t xml:space="preserve">not </w:t>
      </w:r>
      <w:r w:rsidR="00151243" w:rsidRPr="0059240B">
        <w:rPr>
          <w:rFonts w:ascii="Times New Roman" w:eastAsia="Times New Roman" w:hAnsi="Times New Roman"/>
        </w:rPr>
        <w:t>otherwise be encompassed by the scope of VM-21.</w:t>
      </w:r>
      <w:r w:rsidRPr="0059240B">
        <w:rPr>
          <w:rFonts w:ascii="Times New Roman" w:eastAsia="Times New Roman" w:hAnsi="Times New Roman"/>
        </w:rPr>
        <w:t xml:space="preserve"> </w:t>
      </w:r>
      <w:r w:rsidR="00151243" w:rsidRPr="0059240B">
        <w:rPr>
          <w:rFonts w:ascii="Times New Roman" w:eastAsia="Times New Roman" w:hAnsi="Times New Roman"/>
        </w:rPr>
        <w:t>R</w:t>
      </w:r>
      <w:r w:rsidRPr="0059240B">
        <w:rPr>
          <w:rFonts w:ascii="Times New Roman" w:eastAsia="Times New Roman" w:hAnsi="Times New Roman"/>
        </w:rPr>
        <w:t xml:space="preserve">eserves for contracts subject to VM-21 </w:t>
      </w:r>
      <w:r w:rsidR="00516942" w:rsidRPr="0059240B">
        <w:rPr>
          <w:rFonts w:ascii="Times New Roman" w:eastAsia="Times New Roman" w:hAnsi="Times New Roman"/>
        </w:rPr>
        <w:t>or</w:t>
      </w:r>
      <w:r w:rsidRPr="0059240B">
        <w:rPr>
          <w:rFonts w:ascii="Times New Roman" w:eastAsia="Times New Roman" w:hAnsi="Times New Roman"/>
        </w:rPr>
        <w:t xml:space="preserve"> AG 43 may be computed as a single group. If a company chooses to aggregate business subject to AG 43 with business subject to VM-21 in calculating the reserve</w:t>
      </w:r>
      <w:r w:rsidR="00326151" w:rsidRPr="0059240B">
        <w:rPr>
          <w:rFonts w:ascii="Times New Roman" w:eastAsia="Times New Roman" w:hAnsi="Times New Roman"/>
        </w:rPr>
        <w:t>,</w:t>
      </w:r>
      <w:r w:rsidRPr="0059240B">
        <w:rPr>
          <w:rFonts w:ascii="Times New Roman" w:eastAsia="Times New Roman" w:hAnsi="Times New Roman"/>
        </w:rPr>
        <w:t xml:space="preserve"> then the provisions in VM-G apply to this aggregate </w:t>
      </w:r>
      <w:r w:rsidR="00413FCA" w:rsidRPr="0059240B">
        <w:rPr>
          <w:rFonts w:ascii="Times New Roman" w:eastAsia="Times New Roman" w:hAnsi="Times New Roman"/>
        </w:rPr>
        <w:t xml:space="preserve">principle-based </w:t>
      </w:r>
      <w:r w:rsidRPr="0059240B">
        <w:rPr>
          <w:rFonts w:ascii="Times New Roman" w:eastAsia="Times New Roman" w:hAnsi="Times New Roman"/>
        </w:rPr>
        <w:t>valuation.</w:t>
      </w:r>
    </w:p>
    <w:p w14:paraId="55909D98" w14:textId="77777777" w:rsidR="007E2E66" w:rsidRPr="0059240B" w:rsidRDefault="007E2E66" w:rsidP="007E2E66">
      <w:pPr>
        <w:pStyle w:val="ListParagraph"/>
        <w:widowControl/>
        <w:spacing w:after="220" w:line="240" w:lineRule="auto"/>
        <w:ind w:hanging="720"/>
        <w:contextualSpacing w:val="0"/>
        <w:rPr>
          <w:rFonts w:ascii="Times New Roman" w:eastAsia="Times New Roman" w:hAnsi="Times New Roman"/>
        </w:rPr>
      </w:pPr>
    </w:p>
    <w:p w14:paraId="27FAB333" w14:textId="77777777" w:rsidR="007E2E66" w:rsidRPr="0059240B" w:rsidRDefault="007E2E66" w:rsidP="007E2E66">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59240B">
        <w:rPr>
          <w:rFonts w:ascii="Times New Roman" w:hAnsi="Times New Roman"/>
        </w:rPr>
        <w:t xml:space="preserve">Guidance Note: </w:t>
      </w:r>
    </w:p>
    <w:p w14:paraId="57B98358" w14:textId="77777777" w:rsidR="007E2E66" w:rsidRPr="0059240B" w:rsidRDefault="007E2E66" w:rsidP="007E2E66">
      <w:p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rPr>
      </w:pPr>
      <w:r w:rsidRPr="0059240B">
        <w:rPr>
          <w:rFonts w:ascii="Times New Roman" w:eastAsia="Times New Roman" w:hAnsi="Times New Roman"/>
        </w:rPr>
        <w:t>Relationship to RBC Requirements</w:t>
      </w:r>
    </w:p>
    <w:p w14:paraId="02F09C51" w14:textId="77777777" w:rsidR="007E2E66" w:rsidRPr="0059240B" w:rsidRDefault="007E2E66" w:rsidP="007E2E66">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9240B">
        <w:rPr>
          <w:rFonts w:ascii="Times New Roman" w:eastAsia="Times New Roman" w:hAnsi="Times New Roman"/>
        </w:rPr>
        <w: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t>
      </w:r>
    </w:p>
    <w:p w14:paraId="72D52F57" w14:textId="77777777" w:rsidR="007E2E66" w:rsidRPr="0059240B" w:rsidRDefault="007E2E66" w:rsidP="009533AE">
      <w:pPr>
        <w:spacing w:after="220" w:line="240" w:lineRule="auto"/>
        <w:ind w:left="720" w:hanging="720"/>
        <w:rPr>
          <w:rFonts w:ascii="Times New Roman" w:eastAsia="Times New Roman" w:hAnsi="Times New Roman"/>
        </w:rPr>
      </w:pPr>
    </w:p>
    <w:p w14:paraId="5ED05E31" w14:textId="6C78D6CC" w:rsidR="0021502F" w:rsidRPr="0059240B" w:rsidRDefault="0021502F" w:rsidP="009533AE">
      <w:pPr>
        <w:spacing w:after="220" w:line="240" w:lineRule="auto"/>
        <w:ind w:left="72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Principles</w:t>
      </w:r>
    </w:p>
    <w:p w14:paraId="7ABA53E4" w14:textId="07E21686" w:rsidR="0021502F" w:rsidRPr="0059240B" w:rsidRDefault="0021502F" w:rsidP="009533AE">
      <w:pPr>
        <w:spacing w:after="220" w:line="240" w:lineRule="auto"/>
        <w:ind w:left="720"/>
        <w:rPr>
          <w:rFonts w:ascii="Times New Roman" w:eastAsia="Times New Roman" w:hAnsi="Times New Roman"/>
        </w:rPr>
      </w:pPr>
      <w:r w:rsidRPr="0059240B">
        <w:rPr>
          <w:rFonts w:ascii="Times New Roman" w:eastAsia="Times New Roman" w:hAnsi="Times New Roman"/>
        </w:rPr>
        <w:t xml:space="preserve">The projection methodology used to calculate the </w:t>
      </w:r>
      <w:r w:rsidR="006E6F7F" w:rsidRPr="0059240B">
        <w:rPr>
          <w:rFonts w:ascii="Times New Roman" w:eastAsia="Times New Roman" w:hAnsi="Times New Roman"/>
        </w:rPr>
        <w:t>stochastic reserve</w:t>
      </w:r>
      <w:r w:rsidRPr="0059240B">
        <w:rPr>
          <w:rFonts w:ascii="Times New Roman" w:eastAsia="Times New Roman" w:hAnsi="Times New Roman"/>
        </w:rPr>
        <w:t xml:space="preserve">, as well as the approach used to develop the Alternative Methodology, is based on the following set of principles. These principles should be followed when </w:t>
      </w:r>
      <w:r w:rsidR="00B44BCA" w:rsidRPr="0059240B">
        <w:rPr>
          <w:rFonts w:ascii="Times New Roman" w:eastAsia="Times New Roman" w:hAnsi="Times New Roman"/>
        </w:rPr>
        <w:t xml:space="preserve">interpreting and </w:t>
      </w:r>
      <w:r w:rsidRPr="0059240B">
        <w:rPr>
          <w:rFonts w:ascii="Times New Roman" w:eastAsia="Times New Roman" w:hAnsi="Times New Roman"/>
        </w:rPr>
        <w:t>applying the methodology in these requirements and analyzing the resulting reserves.</w:t>
      </w:r>
    </w:p>
    <w:p w14:paraId="593146B7" w14:textId="0786B8AC" w:rsidR="0021502F" w:rsidRPr="0059240B"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The principles should be considered in their entirety</w:t>
      </w:r>
      <w:r w:rsidR="00326151" w:rsidRPr="0059240B">
        <w:rPr>
          <w:rFonts w:ascii="Times New Roman" w:eastAsia="Times New Roman" w:hAnsi="Times New Roman"/>
        </w:rPr>
        <w:t>,</w:t>
      </w:r>
      <w:r w:rsidRPr="0059240B">
        <w:rPr>
          <w:rFonts w:ascii="Times New Roman" w:eastAsia="Times New Roman" w:hAnsi="Times New Roman"/>
        </w:rPr>
        <w:t xml:space="preserve"> and it is required that companies meet these principles with respect to those contracts that fall within the scope of these requirements and are in force as of the valuation date to which these requirements are applied.</w:t>
      </w:r>
    </w:p>
    <w:p w14:paraId="5272C21B" w14:textId="6EFEBEEF" w:rsidR="0021502F" w:rsidRPr="0059240B" w:rsidRDefault="0021502F" w:rsidP="009533AE">
      <w:pPr>
        <w:spacing w:after="220" w:line="240" w:lineRule="auto"/>
        <w:ind w:left="720"/>
        <w:rPr>
          <w:rFonts w:ascii="Times New Roman" w:eastAsia="Times New Roman" w:hAnsi="Times New Roman"/>
        </w:rPr>
      </w:pPr>
      <w:r w:rsidRPr="0059240B">
        <w:rPr>
          <w:rFonts w:ascii="Times New Roman" w:eastAsia="Times New Roman" w:hAnsi="Times New Roman"/>
          <w:b/>
          <w:bCs/>
        </w:rPr>
        <w:t xml:space="preserve">Principle 1: </w:t>
      </w:r>
      <w:r w:rsidRPr="0059240B">
        <w:rPr>
          <w:rFonts w:ascii="Times New Roman" w:eastAsia="Times New Roman" w:hAnsi="Times New Roman"/>
        </w:rPr>
        <w:t xml:space="preserve">The objective of the approach used to determine the </w:t>
      </w:r>
      <w:r w:rsidR="006E6F7F" w:rsidRPr="0059240B">
        <w:rPr>
          <w:rFonts w:ascii="Times New Roman" w:eastAsia="Times New Roman" w:hAnsi="Times New Roman"/>
        </w:rPr>
        <w:t>stochastic reserve</w:t>
      </w:r>
      <w:r w:rsidR="00326151" w:rsidRPr="0059240B">
        <w:rPr>
          <w:rFonts w:ascii="Times New Roman" w:eastAsia="Times New Roman" w:hAnsi="Times New Roman"/>
        </w:rPr>
        <w:t xml:space="preserve"> </w:t>
      </w:r>
      <w:r w:rsidRPr="0059240B">
        <w:rPr>
          <w:rFonts w:ascii="Times New Roman" w:eastAsia="Times New Roman" w:hAnsi="Times New Roman"/>
        </w:rPr>
        <w:t>is to quantify the amount of statutory reserves needed by the company to be able to meet contractual obligations in light of the risks to which the company is exposed.</w:t>
      </w:r>
    </w:p>
    <w:p w14:paraId="178D67AB" w14:textId="70FD6383" w:rsidR="0021502F" w:rsidRPr="0059240B" w:rsidRDefault="0021502F" w:rsidP="009533AE">
      <w:pPr>
        <w:spacing w:after="220" w:line="240" w:lineRule="auto"/>
        <w:ind w:left="720"/>
        <w:rPr>
          <w:rFonts w:ascii="Times New Roman" w:eastAsia="Times New Roman" w:hAnsi="Times New Roman"/>
        </w:rPr>
      </w:pPr>
      <w:r w:rsidRPr="0059240B">
        <w:rPr>
          <w:rFonts w:ascii="Times New Roman" w:eastAsia="Times New Roman" w:hAnsi="Times New Roman"/>
          <w:b/>
          <w:bCs/>
        </w:rPr>
        <w:t xml:space="preserve">Principle 2: </w:t>
      </w:r>
      <w:r w:rsidRPr="0059240B">
        <w:rPr>
          <w:rFonts w:ascii="Times New Roman" w:eastAsia="Times New Roman" w:hAnsi="Times New Roman"/>
        </w:rPr>
        <w:t xml:space="preserve">The calculation of the </w:t>
      </w:r>
      <w:r w:rsidR="006E6F7F" w:rsidRPr="0059240B">
        <w:rPr>
          <w:rFonts w:ascii="Times New Roman" w:eastAsia="Times New Roman" w:hAnsi="Times New Roman"/>
        </w:rPr>
        <w:t>stochastic reserve</w:t>
      </w:r>
      <w:r w:rsidR="00326151" w:rsidRPr="0059240B">
        <w:rPr>
          <w:rFonts w:ascii="Times New Roman" w:eastAsia="Times New Roman" w:hAnsi="Times New Roman"/>
        </w:rPr>
        <w:t xml:space="preserve"> </w:t>
      </w:r>
      <w:r w:rsidRPr="0059240B">
        <w:rPr>
          <w:rFonts w:ascii="Times New Roman" w:eastAsia="Times New Roman" w:hAnsi="Times New Roman"/>
        </w:rPr>
        <w:t xml:space="preserve">is based on the results derived from an analysis of asset and liability cash flows produced by the application of a stochastic </w:t>
      </w:r>
      <w:r w:rsidR="00326151" w:rsidRPr="0059240B">
        <w:rPr>
          <w:rFonts w:ascii="Times New Roman" w:eastAsia="Times New Roman" w:hAnsi="Times New Roman"/>
        </w:rPr>
        <w:t>cash-</w:t>
      </w:r>
      <w:r w:rsidRPr="0059240B">
        <w:rPr>
          <w:rFonts w:ascii="Times New Roman" w:eastAsia="Times New Roman" w:hAnsi="Times New Roman"/>
        </w:rPr>
        <w:t>flow model to equity return and interest rate scenarios. For each scenario</w:t>
      </w:r>
      <w:r w:rsidR="00326151" w:rsidRPr="0059240B">
        <w:rPr>
          <w:rFonts w:ascii="Times New Roman" w:eastAsia="Times New Roman" w:hAnsi="Times New Roman"/>
        </w:rPr>
        <w:t>,</w:t>
      </w:r>
      <w:r w:rsidRPr="0059240B">
        <w:rPr>
          <w:rFonts w:ascii="Times New Roman" w:eastAsia="Times New Roman" w:hAnsi="Times New Roman"/>
        </w:rPr>
        <w:t xml:space="preserve"> the greatest present value of accumulated deficiency is calculated. The analysis reflects </w:t>
      </w:r>
      <w:r w:rsidR="00326151" w:rsidRPr="0059240B">
        <w:rPr>
          <w:rFonts w:ascii="Times New Roman" w:eastAsia="Times New Roman" w:hAnsi="Times New Roman"/>
        </w:rPr>
        <w:t xml:space="preserve">prudent estimate </w:t>
      </w:r>
      <w:r w:rsidRPr="0059240B">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59240B">
        <w:rPr>
          <w:rFonts w:ascii="Times New Roman" w:eastAsia="Times New Roman" w:hAnsi="Times New Roman"/>
        </w:rPr>
        <w:t xml:space="preserve">uses </w:t>
      </w:r>
      <w:r w:rsidRPr="0059240B">
        <w:rPr>
          <w:rFonts w:ascii="Times New Roman" w:eastAsia="Times New Roman" w:hAnsi="Times New Roman"/>
        </w:rPr>
        <w:t xml:space="preserve">a projected total </w:t>
      </w:r>
      <w:r w:rsidR="00516942" w:rsidRPr="0059240B">
        <w:rPr>
          <w:rFonts w:ascii="Times New Roman" w:eastAsia="Times New Roman" w:hAnsi="Times New Roman"/>
        </w:rPr>
        <w:t xml:space="preserve">cash flow analysis </w:t>
      </w:r>
      <w:r w:rsidRPr="0059240B">
        <w:rPr>
          <w:rFonts w:ascii="Times New Roman" w:eastAsia="Times New Roman" w:hAnsi="Times New Roman"/>
        </w:rPr>
        <w:t xml:space="preserve">by including all projected income, benefit and expense items related to the business in the model and sets the </w:t>
      </w:r>
      <w:r w:rsidR="006E6F7F" w:rsidRPr="0059240B">
        <w:rPr>
          <w:rFonts w:ascii="Times New Roman" w:eastAsia="Times New Roman" w:hAnsi="Times New Roman"/>
        </w:rPr>
        <w:t>stochastic reserve</w:t>
      </w:r>
      <w:r w:rsidR="00C96564" w:rsidRPr="0059240B">
        <w:rPr>
          <w:rFonts w:ascii="Times New Roman" w:eastAsia="Times New Roman" w:hAnsi="Times New Roman"/>
        </w:rPr>
        <w:t xml:space="preserve"> </w:t>
      </w:r>
      <w:r w:rsidRPr="0059240B">
        <w:rPr>
          <w:rFonts w:ascii="Times New Roman" w:eastAsia="Times New Roman" w:hAnsi="Times New Roman"/>
        </w:rPr>
        <w:t xml:space="preserve">at a degree of confidence using the </w:t>
      </w:r>
      <w:r w:rsidR="00C96564" w:rsidRPr="0059240B">
        <w:rPr>
          <w:rFonts w:ascii="Times New Roman" w:eastAsia="Times New Roman" w:hAnsi="Times New Roman"/>
        </w:rPr>
        <w:t>CTE</w:t>
      </w:r>
      <w:r w:rsidRPr="0059240B">
        <w:rPr>
          <w:rFonts w:ascii="Times New Roman" w:eastAsia="Times New Roman" w:hAnsi="Times New Roman"/>
        </w:rPr>
        <w:t xml:space="preserve"> measure applied to the set of scenario specific greatest present values of accumulated deficiencies that is deemed to be reasonably conservative over the span of economic cycles.</w:t>
      </w:r>
    </w:p>
    <w:p w14:paraId="26CEC724" w14:textId="77777777" w:rsidR="0021502F" w:rsidRPr="0059240B"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2C0F88D5" w:rsidR="0021502F" w:rsidRPr="0059240B" w:rsidRDefault="0021502F" w:rsidP="009533AE">
      <w:pPr>
        <w:spacing w:after="220" w:line="240" w:lineRule="auto"/>
        <w:ind w:left="720"/>
        <w:rPr>
          <w:rFonts w:ascii="Times New Roman" w:eastAsia="Times New Roman" w:hAnsi="Times New Roman"/>
        </w:rPr>
      </w:pPr>
      <w:r w:rsidRPr="0059240B">
        <w:rPr>
          <w:rFonts w:ascii="Times New Roman" w:eastAsia="Times New Roman" w:hAnsi="Times New Roman"/>
          <w:b/>
          <w:bCs/>
        </w:rPr>
        <w:t xml:space="preserve">Principle 3: </w:t>
      </w:r>
      <w:r w:rsidRPr="0059240B">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6E6F7F" w:rsidRPr="0059240B">
        <w:rPr>
          <w:rFonts w:ascii="Times New Roman" w:eastAsia="Times New Roman" w:hAnsi="Times New Roman"/>
        </w:rPr>
        <w:t>stochastic reserve</w:t>
      </w:r>
      <w:r w:rsidRPr="0059240B">
        <w:rPr>
          <w:rFonts w:ascii="Times New Roman" w:eastAsia="Times New Roman" w:hAnsi="Times New Roman"/>
        </w:rPr>
        <w:t xml:space="preserve"> at the required </w:t>
      </w:r>
      <w:r w:rsidR="00C96564" w:rsidRPr="0059240B">
        <w:rPr>
          <w:rFonts w:ascii="Times New Roman" w:eastAsia="Times New Roman" w:hAnsi="Times New Roman"/>
        </w:rPr>
        <w:t>CTE</w:t>
      </w:r>
      <w:r w:rsidRPr="0059240B">
        <w:rPr>
          <w:rFonts w:ascii="Times New Roman" w:eastAsia="Times New Roman" w:hAnsi="Times New Roman"/>
        </w:rPr>
        <w:t xml:space="preserve"> level if it were possible to calculate results over the joint distribution of all future outcomes. In applying this concept to the actual calculation of the </w:t>
      </w:r>
      <w:r w:rsidR="006E6F7F" w:rsidRPr="0059240B">
        <w:rPr>
          <w:rFonts w:ascii="Times New Roman" w:eastAsia="Times New Roman" w:hAnsi="Times New Roman"/>
        </w:rPr>
        <w:t>stochastic reserve</w:t>
      </w:r>
      <w:r w:rsidRPr="0059240B">
        <w:rPr>
          <w:rFonts w:ascii="Times New Roman" w:eastAsia="Times New Roman" w:hAnsi="Times New Roman"/>
        </w:rPr>
        <w:t xml:space="preserve">, the </w:t>
      </w:r>
      <w:r w:rsidR="0031448A" w:rsidRPr="0059240B">
        <w:rPr>
          <w:rFonts w:ascii="Times New Roman" w:eastAsia="Times New Roman" w:hAnsi="Times New Roman"/>
        </w:rPr>
        <w:t xml:space="preserve">company </w:t>
      </w:r>
      <w:r w:rsidRPr="0059240B">
        <w:rPr>
          <w:rFonts w:ascii="Times New Roman" w:eastAsia="Times New Roman" w:hAnsi="Times New Roman"/>
        </w:rPr>
        <w:t>should be guided by evolving practice and expanding knowledge base in the measurement and management of risk.</w:t>
      </w:r>
    </w:p>
    <w:p w14:paraId="3D614F8A" w14:textId="226AE5FB" w:rsidR="0021502F" w:rsidRPr="0059240B"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The intent of Principle 3 is to describe the conceptual framework for setting assumptions. Section 1</w:t>
      </w:r>
      <w:r w:rsidR="009A56D0" w:rsidRPr="0059240B">
        <w:rPr>
          <w:rFonts w:ascii="Times New Roman" w:eastAsia="Times New Roman" w:hAnsi="Times New Roman"/>
        </w:rPr>
        <w:t>0</w:t>
      </w:r>
      <w:r w:rsidRPr="0059240B">
        <w:rPr>
          <w:rFonts w:ascii="Times New Roman" w:eastAsia="Times New Roman" w:hAnsi="Times New Roman"/>
        </w:rPr>
        <w:t xml:space="preserve"> provides the requirements and guidance for setting contract</w:t>
      </w:r>
      <w:r w:rsidR="003B2C27" w:rsidRPr="0059240B">
        <w:rPr>
          <w:rFonts w:ascii="Times New Roman" w:eastAsia="Times New Roman" w:hAnsi="Times New Roman"/>
        </w:rPr>
        <w:t xml:space="preserve"> </w:t>
      </w:r>
      <w:r w:rsidRPr="0059240B">
        <w:rPr>
          <w:rFonts w:ascii="Times New Roman" w:eastAsia="Times New Roman" w:hAnsi="Times New Roman"/>
        </w:rPr>
        <w:t xml:space="preserve">holder behavior </w:t>
      </w:r>
      <w:r w:rsidR="00C66934" w:rsidRPr="0059240B">
        <w:rPr>
          <w:rFonts w:ascii="Times New Roman" w:eastAsia="Times New Roman" w:hAnsi="Times New Roman"/>
        </w:rPr>
        <w:t xml:space="preserve">assumptions </w:t>
      </w:r>
      <w:r w:rsidRPr="0059240B">
        <w:rPr>
          <w:rFonts w:ascii="Times New Roman" w:eastAsia="Times New Roman" w:hAnsi="Times New Roman"/>
        </w:rPr>
        <w:t xml:space="preserve">and includes alternatives to this framework if the </w:t>
      </w:r>
      <w:r w:rsidR="00FA5FBF" w:rsidRPr="0059240B">
        <w:rPr>
          <w:rFonts w:ascii="Times New Roman" w:eastAsia="Times New Roman" w:hAnsi="Times New Roman"/>
        </w:rPr>
        <w:t xml:space="preserve">company </w:t>
      </w:r>
      <w:r w:rsidRPr="0059240B">
        <w:rPr>
          <w:rFonts w:ascii="Times New Roman" w:eastAsia="Times New Roman" w:hAnsi="Times New Roman"/>
        </w:rPr>
        <w:t>is unable to fully apply this principle.</w:t>
      </w:r>
    </w:p>
    <w:p w14:paraId="593533B4" w14:textId="7A059A62" w:rsidR="0021502F" w:rsidRPr="0059240B" w:rsidRDefault="0021502F" w:rsidP="009533AE">
      <w:pPr>
        <w:spacing w:after="220" w:line="240" w:lineRule="auto"/>
        <w:ind w:left="720"/>
        <w:rPr>
          <w:rFonts w:ascii="Times New Roman" w:eastAsia="Times New Roman" w:hAnsi="Times New Roman"/>
        </w:rPr>
      </w:pPr>
      <w:r w:rsidRPr="0059240B">
        <w:rPr>
          <w:rFonts w:ascii="Times New Roman" w:eastAsia="Times New Roman" w:hAnsi="Times New Roman"/>
          <w:b/>
          <w:bCs/>
        </w:rPr>
        <w:t xml:space="preserve">Principle 4: </w:t>
      </w:r>
      <w:r w:rsidRPr="0059240B">
        <w:rPr>
          <w:rFonts w:ascii="Times New Roman" w:eastAsia="Times New Roman" w:hAnsi="Times New Roman"/>
        </w:rPr>
        <w:t xml:space="preserve">While a stochastic </w:t>
      </w:r>
      <w:r w:rsidR="00A27958" w:rsidRPr="0059240B">
        <w:rPr>
          <w:rFonts w:ascii="Times New Roman" w:eastAsia="Times New Roman" w:hAnsi="Times New Roman"/>
        </w:rPr>
        <w:t>cash-</w:t>
      </w:r>
      <w:r w:rsidRPr="0059240B">
        <w:rPr>
          <w:rFonts w:ascii="Times New Roman" w:eastAsia="Times New Roman" w:hAnsi="Times New Roman"/>
        </w:rPr>
        <w:t xml:space="preserve">flow model attempts to include all </w:t>
      </w:r>
      <w:r w:rsidR="00A27958" w:rsidRPr="0059240B">
        <w:rPr>
          <w:rFonts w:ascii="Times New Roman" w:eastAsia="Times New Roman" w:hAnsi="Times New Roman"/>
        </w:rPr>
        <w:t>real-</w:t>
      </w:r>
      <w:r w:rsidRPr="0059240B">
        <w:rPr>
          <w:rFonts w:ascii="Times New Roman" w:eastAsia="Times New Roman" w:hAnsi="Times New Roman"/>
        </w:rPr>
        <w:t xml:space="preserve">world risks relevant to the objective of the stochastic </w:t>
      </w:r>
      <w:r w:rsidR="00A27958" w:rsidRPr="0059240B">
        <w:rPr>
          <w:rFonts w:ascii="Times New Roman" w:eastAsia="Times New Roman" w:hAnsi="Times New Roman"/>
        </w:rPr>
        <w:t>cash-</w:t>
      </w:r>
      <w:r w:rsidRPr="0059240B">
        <w:rPr>
          <w:rFonts w:ascii="Times New Roman" w:eastAsia="Times New Roman" w:hAnsi="Times New Roman"/>
        </w:rPr>
        <w:t xml:space="preserve">flow model and relationships among the risks, it will still contain limitations because it is only a model. The calculation of the </w:t>
      </w:r>
      <w:r w:rsidR="006E6F7F" w:rsidRPr="0059240B">
        <w:rPr>
          <w:rFonts w:ascii="Times New Roman" w:eastAsia="Times New Roman" w:hAnsi="Times New Roman"/>
        </w:rPr>
        <w:t>stochastic reserve</w:t>
      </w:r>
      <w:r w:rsidRPr="0059240B">
        <w:rPr>
          <w:rFonts w:ascii="Times New Roman" w:eastAsia="Times New Roman" w:hAnsi="Times New Roman"/>
        </w:rPr>
        <w:t xml:space="preserve"> is based on the results derived from the application of the stochastic </w:t>
      </w:r>
      <w:r w:rsidR="00A27958" w:rsidRPr="0059240B">
        <w:rPr>
          <w:rFonts w:ascii="Times New Roman" w:eastAsia="Times New Roman" w:hAnsi="Times New Roman"/>
        </w:rPr>
        <w:t>cash-</w:t>
      </w:r>
      <w:r w:rsidRPr="0059240B">
        <w:rPr>
          <w:rFonts w:ascii="Times New Roman" w:eastAsia="Times New Roman" w:hAnsi="Times New Roman"/>
        </w:rPr>
        <w:t>flow model to scenarios</w:t>
      </w:r>
      <w:r w:rsidR="00A27958" w:rsidRPr="0059240B">
        <w:rPr>
          <w:rFonts w:ascii="Times New Roman" w:eastAsia="Times New Roman" w:hAnsi="Times New Roman"/>
        </w:rPr>
        <w:t>,</w:t>
      </w:r>
      <w:r w:rsidRPr="0059240B">
        <w:rPr>
          <w:rFonts w:ascii="Times New Roman" w:eastAsia="Times New Roman" w:hAnsi="Times New Roman"/>
        </w:rPr>
        <w:t xml:space="preserve"> while the actual statutory reserve needs of the company arise from the risks to which the company is (or will be) exposed in reality. Any disconnect between the model and reality should be reflected in setting </w:t>
      </w:r>
      <w:r w:rsidR="00A27958" w:rsidRPr="0059240B">
        <w:rPr>
          <w:rFonts w:ascii="Times New Roman" w:eastAsia="Times New Roman" w:hAnsi="Times New Roman"/>
        </w:rPr>
        <w:t xml:space="preserve">prudent estimate </w:t>
      </w:r>
      <w:r w:rsidRPr="0059240B">
        <w:rPr>
          <w:rFonts w:ascii="Times New Roman" w:eastAsia="Times New Roman" w:hAnsi="Times New Roman"/>
        </w:rPr>
        <w:t>assumptions to the extent not addressed by other means.</w:t>
      </w:r>
    </w:p>
    <w:p w14:paraId="690D60AC" w14:textId="62F3C870" w:rsidR="0021502F" w:rsidRPr="0059240B" w:rsidRDefault="0021502F" w:rsidP="009533AE">
      <w:pPr>
        <w:tabs>
          <w:tab w:val="left" w:pos="10440"/>
        </w:tabs>
        <w:spacing w:after="220" w:line="240" w:lineRule="auto"/>
        <w:ind w:left="720"/>
        <w:rPr>
          <w:rFonts w:ascii="Times New Roman" w:eastAsia="Times New Roman" w:hAnsi="Times New Roman"/>
        </w:rPr>
      </w:pPr>
      <w:r w:rsidRPr="0059240B">
        <w:rPr>
          <w:rFonts w:ascii="Times New Roman" w:eastAsia="Times New Roman" w:hAnsi="Times New Roman"/>
          <w:b/>
          <w:bCs/>
        </w:rPr>
        <w:lastRenderedPageBreak/>
        <w:t xml:space="preserve">Principle 5: </w:t>
      </w:r>
      <w:r w:rsidRPr="0059240B">
        <w:rPr>
          <w:rFonts w:ascii="Times New Roman" w:eastAsia="Times New Roman" w:hAnsi="Times New Roman"/>
        </w:rPr>
        <w:t xml:space="preserve">Neither a </w:t>
      </w:r>
      <w:r w:rsidR="00A27958" w:rsidRPr="0059240B">
        <w:rPr>
          <w:rFonts w:ascii="Times New Roman" w:eastAsia="Times New Roman" w:hAnsi="Times New Roman"/>
        </w:rPr>
        <w:t>cash-</w:t>
      </w:r>
      <w:r w:rsidRPr="0059240B">
        <w:rPr>
          <w:rFonts w:ascii="Times New Roman" w:eastAsia="Times New Roman" w:hAnsi="Times New Roman"/>
        </w:rPr>
        <w:t xml:space="preserve">flow scenario model nor a method based on factors calibrated to the results of a </w:t>
      </w:r>
      <w:r w:rsidR="00A27958" w:rsidRPr="0059240B">
        <w:rPr>
          <w:rFonts w:ascii="Times New Roman" w:eastAsia="Times New Roman" w:hAnsi="Times New Roman"/>
        </w:rPr>
        <w:t>cash-</w:t>
      </w:r>
      <w:r w:rsidRPr="0059240B">
        <w:rPr>
          <w:rFonts w:ascii="Times New Roman" w:eastAsia="Times New Roman" w:hAnsi="Times New Roman"/>
        </w:rPr>
        <w:t>flow scenario model can completely quantify a company’s exposure to risk. A model attempts to represent reality but will always remain an approximation thereto and</w:t>
      </w:r>
      <w:r w:rsidR="00A27958" w:rsidRPr="0059240B">
        <w:rPr>
          <w:rFonts w:ascii="Times New Roman" w:eastAsia="Times New Roman" w:hAnsi="Times New Roman"/>
        </w:rPr>
        <w:t>,</w:t>
      </w:r>
      <w:r w:rsidRPr="0059240B">
        <w:rPr>
          <w:rFonts w:ascii="Times New Roman" w:eastAsia="Times New Roman" w:hAnsi="Times New Roman"/>
        </w:rPr>
        <w:t xml:space="preserve"> hence</w:t>
      </w:r>
      <w:r w:rsidR="00A27958" w:rsidRPr="0059240B">
        <w:rPr>
          <w:rFonts w:ascii="Times New Roman" w:eastAsia="Times New Roman" w:hAnsi="Times New Roman"/>
        </w:rPr>
        <w:t>,</w:t>
      </w:r>
      <w:r w:rsidRPr="0059240B">
        <w:rPr>
          <w:rFonts w:ascii="Times New Roman" w:eastAsia="Times New Roman" w:hAnsi="Times New Roman"/>
        </w:rPr>
        <w:t xml:space="preserve"> uncertainty in future experience is an important consideration when determining the </w:t>
      </w:r>
      <w:r w:rsidR="006E6F7F" w:rsidRPr="0059240B">
        <w:rPr>
          <w:rFonts w:ascii="Times New Roman" w:eastAsia="Times New Roman" w:hAnsi="Times New Roman"/>
        </w:rPr>
        <w:t>stochastic reserve</w:t>
      </w:r>
      <w:r w:rsidRPr="0059240B">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6E6F7F" w:rsidRPr="0059240B">
        <w:rPr>
          <w:rFonts w:ascii="Times New Roman" w:eastAsia="Times New Roman" w:hAnsi="Times New Roman"/>
        </w:rPr>
        <w:t>stochastic reserve</w:t>
      </w:r>
      <w:r w:rsidRPr="0059240B">
        <w:rPr>
          <w:rFonts w:ascii="Times New Roman" w:eastAsia="Times New Roman" w:hAnsi="Times New Roman"/>
        </w:rPr>
        <w:t xml:space="preserve"> without also reducing risk on scenarios similar to those used in the actual </w:t>
      </w:r>
      <w:r w:rsidR="00A27958" w:rsidRPr="0059240B">
        <w:rPr>
          <w:rFonts w:ascii="Times New Roman" w:eastAsia="Times New Roman" w:hAnsi="Times New Roman"/>
        </w:rPr>
        <w:t>cash-</w:t>
      </w:r>
      <w:r w:rsidRPr="0059240B">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147C193C" w:rsidR="0021502F" w:rsidRPr="0059240B" w:rsidRDefault="0021502F" w:rsidP="009533AE">
      <w:pPr>
        <w:keepNext/>
        <w:tabs>
          <w:tab w:val="left" w:pos="720"/>
        </w:tabs>
        <w:spacing w:after="220" w:line="240" w:lineRule="auto"/>
        <w:ind w:left="72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Risks Reflected</w:t>
      </w:r>
      <w:r w:rsidR="009A56D0" w:rsidRPr="0059240B">
        <w:rPr>
          <w:rFonts w:ascii="Times New Roman" w:eastAsia="Times New Roman" w:hAnsi="Times New Roman"/>
        </w:rPr>
        <w:t xml:space="preserve"> and Risks not Reflected</w:t>
      </w:r>
    </w:p>
    <w:p w14:paraId="319A86CC" w14:textId="77777777" w:rsidR="0021502F" w:rsidRPr="0059240B" w:rsidRDefault="0021502F" w:rsidP="009533AE">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 xml:space="preserve">The risks reflected in the calculation of reserves under these requirements arise from actual or potential events or activities </w:t>
      </w:r>
      <w:r w:rsidR="00A27958" w:rsidRPr="0059240B">
        <w:rPr>
          <w:rFonts w:ascii="Times New Roman" w:eastAsia="Times New Roman" w:hAnsi="Times New Roman"/>
        </w:rPr>
        <w:t xml:space="preserve">that </w:t>
      </w:r>
      <w:r w:rsidRPr="0059240B">
        <w:rPr>
          <w:rFonts w:ascii="Times New Roman" w:eastAsia="Times New Roman" w:hAnsi="Times New Roman"/>
        </w:rPr>
        <w:t>are both:</w:t>
      </w:r>
    </w:p>
    <w:p w14:paraId="10320832" w14:textId="3D5D5996" w:rsidR="0021502F" w:rsidRPr="0059240B" w:rsidRDefault="0021502F" w:rsidP="009533AE">
      <w:pPr>
        <w:spacing w:after="220" w:line="240" w:lineRule="auto"/>
        <w:ind w:left="216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Directly related to the contracts falling under the scope of these requirements or their supporting assets</w:t>
      </w:r>
      <w:r w:rsidR="00A13F1E" w:rsidRPr="0059240B">
        <w:rPr>
          <w:rFonts w:ascii="Times New Roman" w:eastAsia="Times New Roman" w:hAnsi="Times New Roman"/>
        </w:rPr>
        <w:t>, and</w:t>
      </w:r>
    </w:p>
    <w:p w14:paraId="6A710F99" w14:textId="77777777" w:rsidR="0021502F" w:rsidRPr="0059240B" w:rsidRDefault="0021502F" w:rsidP="009533AE">
      <w:pPr>
        <w:spacing w:after="220" w:line="240" w:lineRule="auto"/>
        <w:ind w:left="216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Capable of materially affecting the reserve.</w:t>
      </w:r>
    </w:p>
    <w:p w14:paraId="0E704B95" w14:textId="77777777" w:rsidR="0021502F" w:rsidRPr="0059240B" w:rsidRDefault="0021502F" w:rsidP="009533AE">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Categories and examples of risks reflected in the reserve calculations include</w:t>
      </w:r>
      <w:r w:rsidR="00A27958" w:rsidRPr="0059240B">
        <w:rPr>
          <w:rFonts w:ascii="Times New Roman" w:eastAsia="Times New Roman" w:hAnsi="Times New Roman"/>
        </w:rPr>
        <w:t>,</w:t>
      </w:r>
      <w:r w:rsidRPr="0059240B">
        <w:rPr>
          <w:rFonts w:ascii="Times New Roman" w:eastAsia="Times New Roman" w:hAnsi="Times New Roman"/>
        </w:rPr>
        <w:t xml:space="preserve"> but are not necessarily limited to:</w:t>
      </w:r>
    </w:p>
    <w:p w14:paraId="0510554B" w14:textId="4142B4B8" w:rsidR="0021502F" w:rsidRPr="0059240B" w:rsidRDefault="0021502F" w:rsidP="007133D5">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 xml:space="preserve">Asset </w:t>
      </w:r>
      <w:r w:rsidR="00883ADC" w:rsidRPr="0059240B">
        <w:rPr>
          <w:rFonts w:ascii="Times New Roman" w:eastAsia="Times New Roman" w:hAnsi="Times New Roman"/>
        </w:rPr>
        <w:t>risks</w:t>
      </w:r>
    </w:p>
    <w:p w14:paraId="5EA4E0A2"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 xml:space="preserve">Separate </w:t>
      </w:r>
      <w:r w:rsidR="00A4285C" w:rsidRPr="0059240B">
        <w:rPr>
          <w:rFonts w:ascii="Times New Roman" w:eastAsia="Times New Roman" w:hAnsi="Times New Roman"/>
        </w:rPr>
        <w:t xml:space="preserve">account </w:t>
      </w:r>
      <w:r w:rsidRPr="0059240B">
        <w:rPr>
          <w:rFonts w:ascii="Times New Roman" w:eastAsia="Times New Roman" w:hAnsi="Times New Roman"/>
        </w:rPr>
        <w:t>fund performance</w:t>
      </w:r>
      <w:r w:rsidR="00A27958" w:rsidRPr="0059240B">
        <w:rPr>
          <w:rFonts w:ascii="Times New Roman" w:eastAsia="Times New Roman" w:hAnsi="Times New Roman"/>
        </w:rPr>
        <w:t>.</w:t>
      </w:r>
    </w:p>
    <w:p w14:paraId="764A7E24"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Credit risks (e.g., default or rating downgrades</w:t>
      </w:r>
      <w:r w:rsidR="00A27958" w:rsidRPr="0059240B">
        <w:rPr>
          <w:rFonts w:ascii="Times New Roman" w:eastAsia="Times New Roman" w:hAnsi="Times New Roman"/>
        </w:rPr>
        <w:t>).</w:t>
      </w:r>
    </w:p>
    <w:p w14:paraId="22D61C5F" w14:textId="371BDFE5" w:rsidR="0021502F" w:rsidRPr="0059240B" w:rsidRDefault="0021502F" w:rsidP="001B21CA">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Commercial mortgage loan roll</w:t>
      </w:r>
      <w:r w:rsidR="00883ADC" w:rsidRPr="0059240B">
        <w:rPr>
          <w:rFonts w:ascii="Times New Roman" w:eastAsia="Times New Roman" w:hAnsi="Times New Roman"/>
        </w:rPr>
        <w:t>-</w:t>
      </w:r>
      <w:r w:rsidRPr="0059240B">
        <w:rPr>
          <w:rFonts w:ascii="Times New Roman" w:eastAsia="Times New Roman" w:hAnsi="Times New Roman"/>
        </w:rPr>
        <w:t>over rates (roll-over of bullet loans</w:t>
      </w:r>
      <w:r w:rsidR="00A27958" w:rsidRPr="0059240B">
        <w:rPr>
          <w:rFonts w:ascii="Times New Roman" w:eastAsia="Times New Roman" w:hAnsi="Times New Roman"/>
        </w:rPr>
        <w:t>).</w:t>
      </w:r>
    </w:p>
    <w:p w14:paraId="0B0B3491" w14:textId="77777777" w:rsidR="0021502F" w:rsidRPr="0059240B" w:rsidRDefault="0021502F" w:rsidP="00B70048">
      <w:pPr>
        <w:tabs>
          <w:tab w:val="left" w:pos="1800"/>
        </w:tabs>
        <w:spacing w:after="220" w:line="240" w:lineRule="auto"/>
        <w:ind w:left="2880" w:hanging="720"/>
        <w:rPr>
          <w:rFonts w:ascii="Times New Roman" w:eastAsia="Times New Roman" w:hAnsi="Times New Roman"/>
        </w:rPr>
      </w:pPr>
      <w:r w:rsidRPr="0059240B">
        <w:rPr>
          <w:rFonts w:ascii="Times New Roman" w:eastAsia="Times New Roman" w:hAnsi="Times New Roman"/>
        </w:rPr>
        <w:t>iv.</w:t>
      </w:r>
      <w:r w:rsidRPr="0059240B">
        <w:rPr>
          <w:rFonts w:ascii="Times New Roman" w:eastAsia="Times New Roman" w:hAnsi="Times New Roman"/>
        </w:rPr>
        <w:tab/>
        <w:t>Uncertainty in the timing or duration of asset cash flows (e.g., shortening (prepayment risk) and lengthening (extension risk</w:t>
      </w:r>
      <w:r w:rsidR="00A27958" w:rsidRPr="0059240B">
        <w:rPr>
          <w:rFonts w:ascii="Times New Roman" w:eastAsia="Times New Roman" w:hAnsi="Times New Roman"/>
        </w:rPr>
        <w:t>)</w:t>
      </w:r>
      <w:r w:rsidR="00C66934" w:rsidRPr="0059240B">
        <w:rPr>
          <w:rFonts w:ascii="Times New Roman" w:eastAsia="Times New Roman" w:hAnsi="Times New Roman"/>
        </w:rPr>
        <w:t>)</w:t>
      </w:r>
      <w:r w:rsidR="00A27958" w:rsidRPr="0059240B">
        <w:rPr>
          <w:rFonts w:ascii="Times New Roman" w:eastAsia="Times New Roman" w:hAnsi="Times New Roman"/>
        </w:rPr>
        <w:t>.</w:t>
      </w:r>
    </w:p>
    <w:p w14:paraId="47EC602A" w14:textId="77777777" w:rsidR="0021502F" w:rsidRPr="0059240B" w:rsidRDefault="0021502F" w:rsidP="00B70048">
      <w:pPr>
        <w:tabs>
          <w:tab w:val="left" w:pos="1800"/>
        </w:tabs>
        <w:spacing w:after="220" w:line="240" w:lineRule="auto"/>
        <w:ind w:left="2880" w:hanging="720"/>
        <w:rPr>
          <w:rFonts w:ascii="Times New Roman" w:eastAsia="Times New Roman" w:hAnsi="Times New Roman"/>
        </w:rPr>
      </w:pPr>
      <w:r w:rsidRPr="0059240B">
        <w:rPr>
          <w:rFonts w:ascii="Times New Roman" w:eastAsia="Times New Roman" w:hAnsi="Times New Roman"/>
        </w:rPr>
        <w:t>v.</w:t>
      </w:r>
      <w:r w:rsidRPr="0059240B">
        <w:rPr>
          <w:rFonts w:ascii="Times New Roman" w:eastAsia="Times New Roman" w:hAnsi="Times New Roman"/>
        </w:rPr>
        <w:tab/>
        <w:t>Performance of equities, real estate and Schedule BA assets</w:t>
      </w:r>
      <w:r w:rsidR="00A27958" w:rsidRPr="0059240B">
        <w:rPr>
          <w:rFonts w:ascii="Times New Roman" w:eastAsia="Times New Roman" w:hAnsi="Times New Roman"/>
        </w:rPr>
        <w:t>.</w:t>
      </w:r>
    </w:p>
    <w:p w14:paraId="5231FBA8" w14:textId="77777777" w:rsidR="0021502F" w:rsidRPr="0059240B" w:rsidRDefault="0021502F" w:rsidP="00B70048">
      <w:pPr>
        <w:tabs>
          <w:tab w:val="left" w:pos="1800"/>
        </w:tabs>
        <w:spacing w:after="220" w:line="240" w:lineRule="auto"/>
        <w:ind w:left="2880" w:hanging="720"/>
        <w:rPr>
          <w:rFonts w:ascii="Times New Roman" w:eastAsia="Times New Roman" w:hAnsi="Times New Roman"/>
        </w:rPr>
      </w:pPr>
      <w:r w:rsidRPr="0059240B">
        <w:rPr>
          <w:rFonts w:ascii="Times New Roman" w:eastAsia="Times New Roman" w:hAnsi="Times New Roman"/>
        </w:rPr>
        <w:t>vi.</w:t>
      </w:r>
      <w:r w:rsidRPr="0059240B">
        <w:rPr>
          <w:rFonts w:ascii="Times New Roman" w:eastAsia="Times New Roman" w:hAnsi="Times New Roman"/>
        </w:rPr>
        <w:tab/>
        <w:t>Call risk on callable assets</w:t>
      </w:r>
      <w:r w:rsidR="00A27958" w:rsidRPr="0059240B">
        <w:rPr>
          <w:rFonts w:ascii="Times New Roman" w:eastAsia="Times New Roman" w:hAnsi="Times New Roman"/>
        </w:rPr>
        <w:t>.</w:t>
      </w:r>
    </w:p>
    <w:p w14:paraId="6290320C" w14:textId="77777777" w:rsidR="0021502F" w:rsidRPr="0059240B" w:rsidRDefault="0021502F" w:rsidP="00B70048">
      <w:pPr>
        <w:tabs>
          <w:tab w:val="left" w:pos="1800"/>
        </w:tabs>
        <w:spacing w:after="220" w:line="240" w:lineRule="auto"/>
        <w:ind w:left="2880" w:hanging="720"/>
        <w:rPr>
          <w:rFonts w:ascii="Times New Roman" w:eastAsia="Times New Roman" w:hAnsi="Times New Roman"/>
        </w:rPr>
      </w:pPr>
      <w:r w:rsidRPr="0059240B">
        <w:rPr>
          <w:rFonts w:ascii="Times New Roman" w:eastAsia="Times New Roman" w:hAnsi="Times New Roman"/>
        </w:rPr>
        <w:t>vii.</w:t>
      </w:r>
      <w:r w:rsidRPr="0059240B">
        <w:rPr>
          <w:rFonts w:ascii="Times New Roman" w:eastAsia="Times New Roman" w:hAnsi="Times New Roman"/>
        </w:rPr>
        <w:tab/>
        <w:t>Risk associated with hedge instrument (includes basis, gap, price, parameter estimation risks and variation in assumptions)</w:t>
      </w:r>
      <w:r w:rsidR="00A27958" w:rsidRPr="0059240B">
        <w:rPr>
          <w:rFonts w:ascii="Times New Roman" w:eastAsia="Times New Roman" w:hAnsi="Times New Roman"/>
        </w:rPr>
        <w:t>.</w:t>
      </w:r>
    </w:p>
    <w:p w14:paraId="50DCE447" w14:textId="77777777" w:rsidR="0021502F" w:rsidRPr="0059240B" w:rsidRDefault="0021502F" w:rsidP="00B70048">
      <w:pPr>
        <w:tabs>
          <w:tab w:val="left" w:pos="1800"/>
          <w:tab w:val="left" w:pos="2260"/>
        </w:tabs>
        <w:spacing w:after="220" w:line="240" w:lineRule="auto"/>
        <w:ind w:left="2880" w:hanging="720"/>
        <w:rPr>
          <w:rFonts w:ascii="Times New Roman" w:eastAsia="Times New Roman" w:hAnsi="Times New Roman"/>
        </w:rPr>
      </w:pPr>
      <w:r w:rsidRPr="0059240B">
        <w:rPr>
          <w:rFonts w:ascii="Times New Roman" w:eastAsia="Times New Roman" w:hAnsi="Times New Roman"/>
        </w:rPr>
        <w:t>viii.</w:t>
      </w:r>
      <w:r w:rsidRPr="0059240B">
        <w:rPr>
          <w:rFonts w:ascii="Times New Roman" w:eastAsia="Times New Roman" w:hAnsi="Times New Roman"/>
        </w:rPr>
        <w:tab/>
        <w:t>Currency risk.</w:t>
      </w:r>
    </w:p>
    <w:p w14:paraId="452E638A" w14:textId="436920FE" w:rsidR="0021502F" w:rsidRPr="0059240B" w:rsidRDefault="0021502F" w:rsidP="007133D5">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 xml:space="preserve">Liability </w:t>
      </w:r>
      <w:r w:rsidR="00883ADC" w:rsidRPr="0059240B">
        <w:rPr>
          <w:rFonts w:ascii="Times New Roman" w:eastAsia="Times New Roman" w:hAnsi="Times New Roman"/>
        </w:rPr>
        <w:t>risks</w:t>
      </w:r>
    </w:p>
    <w:p w14:paraId="1FAD869E"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Reinsurer default, impairment or rating downgrade known to have occurred before or on the valuation date</w:t>
      </w:r>
      <w:r w:rsidR="00A27958" w:rsidRPr="0059240B">
        <w:rPr>
          <w:rFonts w:ascii="Times New Roman" w:eastAsia="Times New Roman" w:hAnsi="Times New Roman"/>
        </w:rPr>
        <w:t>.</w:t>
      </w:r>
    </w:p>
    <w:p w14:paraId="5F121AF0"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Mortality/longevity, persistency/lapse, partial withdrawal and premium payment risks</w:t>
      </w:r>
      <w:r w:rsidR="00A27958" w:rsidRPr="0059240B">
        <w:rPr>
          <w:rFonts w:ascii="Times New Roman" w:eastAsia="Times New Roman" w:hAnsi="Times New Roman"/>
        </w:rPr>
        <w:t>.</w:t>
      </w:r>
    </w:p>
    <w:p w14:paraId="54A04439"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Utilization risk associated with guaranteed living benefits</w:t>
      </w:r>
      <w:r w:rsidR="00A27958" w:rsidRPr="0059240B">
        <w:rPr>
          <w:rFonts w:ascii="Times New Roman" w:eastAsia="Times New Roman" w:hAnsi="Times New Roman"/>
        </w:rPr>
        <w:t>.</w:t>
      </w:r>
    </w:p>
    <w:p w14:paraId="23663326"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iv.</w:t>
      </w:r>
      <w:r w:rsidRPr="0059240B">
        <w:rPr>
          <w:rFonts w:ascii="Times New Roman" w:eastAsia="Times New Roman" w:hAnsi="Times New Roman"/>
        </w:rPr>
        <w:tab/>
        <w:t>Anticipated mortality trends based on observed patterns of mortality improvement or deterioration, where permitted</w:t>
      </w:r>
      <w:r w:rsidR="00A27958" w:rsidRPr="0059240B">
        <w:rPr>
          <w:rFonts w:ascii="Times New Roman" w:eastAsia="Times New Roman" w:hAnsi="Times New Roman"/>
        </w:rPr>
        <w:t>.</w:t>
      </w:r>
    </w:p>
    <w:p w14:paraId="22C4F69F"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lastRenderedPageBreak/>
        <w:t>v.</w:t>
      </w:r>
      <w:r w:rsidRPr="0059240B">
        <w:rPr>
          <w:rFonts w:ascii="Times New Roman" w:eastAsia="Times New Roman" w:hAnsi="Times New Roman"/>
        </w:rPr>
        <w:tab/>
        <w:t>Annuitization risks</w:t>
      </w:r>
      <w:r w:rsidR="00A27958" w:rsidRPr="0059240B">
        <w:rPr>
          <w:rFonts w:ascii="Times New Roman" w:eastAsia="Times New Roman" w:hAnsi="Times New Roman"/>
        </w:rPr>
        <w:t>.</w:t>
      </w:r>
    </w:p>
    <w:p w14:paraId="793605FA"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vi.</w:t>
      </w:r>
      <w:r w:rsidRPr="0059240B">
        <w:rPr>
          <w:rFonts w:ascii="Times New Roman" w:eastAsia="Times New Roman" w:hAnsi="Times New Roman"/>
        </w:rPr>
        <w:tab/>
        <w:t>Additional premium dump-ins (high interest rate guarantees in low interest rate environments).</w:t>
      </w:r>
    </w:p>
    <w:p w14:paraId="28904E51" w14:textId="33239115" w:rsidR="0021502F" w:rsidRPr="0059240B" w:rsidRDefault="0021502F" w:rsidP="001B21CA">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 xml:space="preserve">Combination </w:t>
      </w:r>
      <w:r w:rsidR="00883ADC" w:rsidRPr="0059240B">
        <w:rPr>
          <w:rFonts w:ascii="Times New Roman" w:eastAsia="Times New Roman" w:hAnsi="Times New Roman"/>
        </w:rPr>
        <w:t>risks</w:t>
      </w:r>
    </w:p>
    <w:p w14:paraId="43195510" w14:textId="77777777" w:rsidR="0021502F" w:rsidRPr="0059240B" w:rsidRDefault="0021502F" w:rsidP="00B70048">
      <w:pPr>
        <w:spacing w:after="220" w:line="240" w:lineRule="auto"/>
        <w:ind w:left="2880" w:hanging="72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Risks modeled in the company’s risk assessment processes that are related to the contracts, as described above</w:t>
      </w:r>
      <w:r w:rsidR="00A4285C" w:rsidRPr="0059240B">
        <w:rPr>
          <w:rFonts w:ascii="Times New Roman" w:eastAsia="Times New Roman" w:hAnsi="Times New Roman"/>
        </w:rPr>
        <w:t>.</w:t>
      </w:r>
    </w:p>
    <w:p w14:paraId="3DE12646" w14:textId="77777777" w:rsidR="0021502F" w:rsidRPr="0059240B" w:rsidRDefault="0021502F" w:rsidP="00B70048">
      <w:pPr>
        <w:tabs>
          <w:tab w:val="left" w:pos="2980"/>
        </w:tabs>
        <w:spacing w:after="220" w:line="240" w:lineRule="auto"/>
        <w:ind w:left="2880" w:hanging="72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Disintermediation risk (including such risk related to payment of surrender or partial withdrawal benefits)</w:t>
      </w:r>
      <w:r w:rsidR="00A4285C" w:rsidRPr="0059240B">
        <w:rPr>
          <w:rFonts w:ascii="Times New Roman" w:eastAsia="Times New Roman" w:hAnsi="Times New Roman"/>
        </w:rPr>
        <w:t>.</w:t>
      </w:r>
    </w:p>
    <w:p w14:paraId="01860EA5" w14:textId="77777777" w:rsidR="0021502F" w:rsidRPr="0059240B" w:rsidRDefault="0021502F" w:rsidP="00B70048">
      <w:pPr>
        <w:tabs>
          <w:tab w:val="left" w:pos="2980"/>
        </w:tabs>
        <w:spacing w:after="220" w:line="240" w:lineRule="auto"/>
        <w:ind w:left="2880" w:hanging="720"/>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 xml:space="preserve">Risks associated with </w:t>
      </w:r>
      <w:r w:rsidR="00A4285C" w:rsidRPr="0059240B">
        <w:rPr>
          <w:rFonts w:ascii="Times New Roman" w:eastAsia="Times New Roman" w:hAnsi="Times New Roman"/>
        </w:rPr>
        <w:t>revenue</w:t>
      </w:r>
      <w:r w:rsidR="00633CDA" w:rsidRPr="0059240B">
        <w:rPr>
          <w:rFonts w:ascii="Times New Roman" w:eastAsia="Times New Roman" w:hAnsi="Times New Roman"/>
        </w:rPr>
        <w:t>-</w:t>
      </w:r>
      <w:r w:rsidR="00A4285C" w:rsidRPr="0059240B">
        <w:rPr>
          <w:rFonts w:ascii="Times New Roman" w:eastAsia="Times New Roman" w:hAnsi="Times New Roman"/>
        </w:rPr>
        <w:t>sharing income</w:t>
      </w:r>
      <w:r w:rsidRPr="0059240B">
        <w:rPr>
          <w:rFonts w:ascii="Times New Roman" w:eastAsia="Times New Roman" w:hAnsi="Times New Roman"/>
        </w:rPr>
        <w:t>.</w:t>
      </w:r>
    </w:p>
    <w:p w14:paraId="0EEC80CC" w14:textId="77777777" w:rsidR="0021502F" w:rsidRPr="0059240B" w:rsidRDefault="0021502F" w:rsidP="00B70048">
      <w:pPr>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The risks not necessarily reflected in the calculation of reserves under these requirements are:</w:t>
      </w:r>
    </w:p>
    <w:p w14:paraId="2215D613" w14:textId="7681A02D" w:rsidR="0021502F" w:rsidRPr="0059240B" w:rsidRDefault="0021502F" w:rsidP="00B70048">
      <w:pPr>
        <w:spacing w:after="220" w:line="240" w:lineRule="auto"/>
        <w:ind w:left="216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 xml:space="preserve">Those not reflected in the determination of </w:t>
      </w:r>
      <w:r w:rsidR="00883ADC" w:rsidRPr="0059240B">
        <w:rPr>
          <w:rFonts w:ascii="Times New Roman" w:eastAsia="Times New Roman" w:hAnsi="Times New Roman"/>
        </w:rPr>
        <w:t>RBC</w:t>
      </w:r>
      <w:r w:rsidR="00A4285C" w:rsidRPr="0059240B">
        <w:rPr>
          <w:rFonts w:ascii="Times New Roman" w:eastAsia="Times New Roman" w:hAnsi="Times New Roman"/>
        </w:rPr>
        <w:t>.</w:t>
      </w:r>
    </w:p>
    <w:p w14:paraId="3AC24C37" w14:textId="77777777" w:rsidR="0021502F" w:rsidRPr="0059240B" w:rsidRDefault="0021502F" w:rsidP="00B70048">
      <w:pPr>
        <w:spacing w:after="220" w:line="240" w:lineRule="auto"/>
        <w:ind w:left="216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 xml:space="preserve">Those reflected in the determination of </w:t>
      </w:r>
      <w:r w:rsidR="00A4285C" w:rsidRPr="0059240B">
        <w:rPr>
          <w:rFonts w:ascii="Times New Roman" w:eastAsia="Times New Roman" w:hAnsi="Times New Roman"/>
        </w:rPr>
        <w:t>RBC</w:t>
      </w:r>
      <w:r w:rsidRPr="0059240B">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59240B" w:rsidRDefault="0021502F" w:rsidP="00B70048">
      <w:pPr>
        <w:spacing w:after="220" w:line="240" w:lineRule="auto"/>
        <w:ind w:left="1440" w:hanging="720"/>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Categories and examples of risks not reflected in the reserve calculations include</w:t>
      </w:r>
      <w:r w:rsidR="00A4285C" w:rsidRPr="0059240B">
        <w:rPr>
          <w:rFonts w:ascii="Times New Roman" w:eastAsia="Times New Roman" w:hAnsi="Times New Roman"/>
        </w:rPr>
        <w:t>,</w:t>
      </w:r>
      <w:r w:rsidRPr="0059240B">
        <w:rPr>
          <w:rFonts w:ascii="Times New Roman" w:eastAsia="Times New Roman" w:hAnsi="Times New Roman"/>
        </w:rPr>
        <w:t xml:space="preserve"> but are not necessarily limited to:</w:t>
      </w:r>
    </w:p>
    <w:p w14:paraId="5A66B264" w14:textId="1FE58A08" w:rsidR="0021502F" w:rsidRPr="0059240B" w:rsidRDefault="0021502F" w:rsidP="00B70048">
      <w:pPr>
        <w:spacing w:after="220" w:line="240" w:lineRule="auto"/>
        <w:ind w:left="216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Asset</w:t>
      </w:r>
      <w:r w:rsidR="00A128C8" w:rsidRPr="0059240B">
        <w:rPr>
          <w:rFonts w:ascii="Times New Roman" w:eastAsia="Times New Roman" w:hAnsi="Times New Roman"/>
        </w:rPr>
        <w:t xml:space="preserve"> risks</w:t>
      </w:r>
      <w:r w:rsidRPr="0059240B">
        <w:rPr>
          <w:rFonts w:ascii="Times New Roman" w:eastAsia="Times New Roman" w:hAnsi="Times New Roman"/>
        </w:rPr>
        <w:t xml:space="preserve"> </w:t>
      </w:r>
    </w:p>
    <w:p w14:paraId="30D69466" w14:textId="7E65B92C" w:rsidR="0021502F" w:rsidRPr="0059240B" w:rsidRDefault="00B842C5"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r>
      <w:r w:rsidR="0021502F" w:rsidRPr="0059240B">
        <w:rPr>
          <w:rFonts w:ascii="Times New Roman" w:eastAsia="Times New Roman" w:hAnsi="Times New Roman"/>
        </w:rPr>
        <w:t>Liquidity risks associated with a “run on the bank”</w:t>
      </w:r>
      <w:r w:rsidR="00CA72F2" w:rsidRPr="0059240B">
        <w:rPr>
          <w:rFonts w:ascii="Times New Roman" w:eastAsia="Times New Roman" w:hAnsi="Times New Roman"/>
        </w:rPr>
        <w:t>.</w:t>
      </w:r>
    </w:p>
    <w:p w14:paraId="3307E060" w14:textId="1F7DB86F" w:rsidR="0021502F" w:rsidRPr="0059240B" w:rsidRDefault="00B842C5" w:rsidP="00067EEF">
      <w:pPr>
        <w:spacing w:after="220" w:line="240" w:lineRule="auto"/>
        <w:ind w:left="2160" w:hanging="720"/>
        <w:rPr>
          <w:rFonts w:ascii="Times New Roman" w:eastAsia="Times New Roman" w:hAnsi="Times New Roman"/>
        </w:rPr>
      </w:pPr>
      <w:r w:rsidRPr="0059240B">
        <w:rPr>
          <w:rFonts w:ascii="Times New Roman" w:eastAsia="Times New Roman" w:hAnsi="Times New Roman"/>
        </w:rPr>
        <w:t>b</w:t>
      </w:r>
      <w:r w:rsidR="0021502F" w:rsidRPr="0059240B">
        <w:rPr>
          <w:rFonts w:ascii="Times New Roman" w:eastAsia="Times New Roman" w:hAnsi="Times New Roman"/>
        </w:rPr>
        <w:t>.</w:t>
      </w:r>
      <w:r w:rsidR="0021502F" w:rsidRPr="0059240B">
        <w:rPr>
          <w:rFonts w:ascii="Times New Roman" w:eastAsia="Times New Roman" w:hAnsi="Times New Roman"/>
        </w:rPr>
        <w:tab/>
        <w:t>Liability</w:t>
      </w:r>
      <w:r w:rsidR="00A128C8" w:rsidRPr="0059240B">
        <w:rPr>
          <w:rFonts w:ascii="Times New Roman" w:eastAsia="Times New Roman" w:hAnsi="Times New Roman"/>
        </w:rPr>
        <w:t xml:space="preserve"> risks</w:t>
      </w:r>
    </w:p>
    <w:p w14:paraId="50379C1D"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Reinsurer default, impairment or rating downgrade occurring after the valuation date</w:t>
      </w:r>
      <w:r w:rsidR="00A4285C" w:rsidRPr="0059240B">
        <w:rPr>
          <w:rFonts w:ascii="Times New Roman" w:eastAsia="Times New Roman" w:hAnsi="Times New Roman"/>
        </w:rPr>
        <w:t>.</w:t>
      </w:r>
    </w:p>
    <w:p w14:paraId="006CEB31"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Catastrophic events (e.g., epidemics or terrorist events</w:t>
      </w:r>
      <w:r w:rsidR="009D7E97" w:rsidRPr="0059240B">
        <w:rPr>
          <w:rFonts w:ascii="Times New Roman" w:eastAsia="Times New Roman" w:hAnsi="Times New Roman"/>
        </w:rPr>
        <w:t>).</w:t>
      </w:r>
    </w:p>
    <w:p w14:paraId="6D87646E"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Major breakthroughs in life extension technology that have not yet fundamentally altered recently observed mortality experience</w:t>
      </w:r>
      <w:r w:rsidR="009D7E97" w:rsidRPr="0059240B">
        <w:rPr>
          <w:rFonts w:ascii="Times New Roman" w:eastAsia="Times New Roman" w:hAnsi="Times New Roman"/>
        </w:rPr>
        <w:t>.</w:t>
      </w:r>
    </w:p>
    <w:p w14:paraId="7E24C18D"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iv.</w:t>
      </w:r>
      <w:r w:rsidRPr="0059240B">
        <w:rPr>
          <w:rFonts w:ascii="Times New Roman" w:eastAsia="Times New Roman" w:hAnsi="Times New Roman"/>
        </w:rPr>
        <w:tab/>
        <w:t>Significant future reserve increases as an unfavorable scenario is realized.</w:t>
      </w:r>
    </w:p>
    <w:p w14:paraId="632231AF" w14:textId="35194015" w:rsidR="0021502F" w:rsidRPr="0059240B" w:rsidRDefault="00B842C5" w:rsidP="00067EEF">
      <w:pPr>
        <w:spacing w:after="220" w:line="240" w:lineRule="auto"/>
        <w:ind w:left="2160" w:hanging="720"/>
        <w:rPr>
          <w:rFonts w:ascii="Times New Roman" w:eastAsia="Times New Roman" w:hAnsi="Times New Roman"/>
        </w:rPr>
      </w:pPr>
      <w:r w:rsidRPr="0059240B">
        <w:rPr>
          <w:rFonts w:ascii="Times New Roman" w:eastAsia="Times New Roman" w:hAnsi="Times New Roman"/>
        </w:rPr>
        <w:t>c</w:t>
      </w:r>
      <w:r w:rsidR="0021502F" w:rsidRPr="0059240B">
        <w:rPr>
          <w:rFonts w:ascii="Times New Roman" w:eastAsia="Times New Roman" w:hAnsi="Times New Roman"/>
        </w:rPr>
        <w:t>.</w:t>
      </w:r>
      <w:r w:rsidR="0021502F" w:rsidRPr="0059240B">
        <w:rPr>
          <w:rFonts w:ascii="Times New Roman" w:eastAsia="Times New Roman" w:hAnsi="Times New Roman"/>
        </w:rPr>
        <w:tab/>
        <w:t xml:space="preserve">General </w:t>
      </w:r>
      <w:r w:rsidR="00A128C8" w:rsidRPr="0059240B">
        <w:rPr>
          <w:rFonts w:ascii="Times New Roman" w:eastAsia="Times New Roman" w:hAnsi="Times New Roman"/>
        </w:rPr>
        <w:t>b</w:t>
      </w:r>
      <w:r w:rsidR="0021502F" w:rsidRPr="0059240B">
        <w:rPr>
          <w:rFonts w:ascii="Times New Roman" w:eastAsia="Times New Roman" w:hAnsi="Times New Roman"/>
        </w:rPr>
        <w:t xml:space="preserve">usiness </w:t>
      </w:r>
      <w:r w:rsidR="00A128C8" w:rsidRPr="0059240B">
        <w:rPr>
          <w:rFonts w:ascii="Times New Roman" w:eastAsia="Times New Roman" w:hAnsi="Times New Roman"/>
        </w:rPr>
        <w:t>r</w:t>
      </w:r>
      <w:r w:rsidR="0021502F" w:rsidRPr="0059240B">
        <w:rPr>
          <w:rFonts w:ascii="Times New Roman" w:eastAsia="Times New Roman" w:hAnsi="Times New Roman"/>
        </w:rPr>
        <w:t>isks</w:t>
      </w:r>
    </w:p>
    <w:p w14:paraId="31D90355"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Deterioration of reputation</w:t>
      </w:r>
      <w:r w:rsidR="009D7E97" w:rsidRPr="0059240B">
        <w:rPr>
          <w:rFonts w:ascii="Times New Roman" w:eastAsia="Times New Roman" w:hAnsi="Times New Roman"/>
        </w:rPr>
        <w:t>.</w:t>
      </w:r>
    </w:p>
    <w:p w14:paraId="6D6197E9"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Future changes in anticipated experience (reparameterization in the case of stochastic processes)</w:t>
      </w:r>
      <w:r w:rsidR="009D7E97" w:rsidRPr="0059240B">
        <w:rPr>
          <w:rFonts w:ascii="Times New Roman" w:eastAsia="Times New Roman" w:hAnsi="Times New Roman"/>
        </w:rPr>
        <w:t>,</w:t>
      </w:r>
      <w:r w:rsidRPr="0059240B">
        <w:rPr>
          <w:rFonts w:ascii="Times New Roman" w:eastAsia="Times New Roman" w:hAnsi="Times New Roman"/>
        </w:rPr>
        <w:t xml:space="preserve"> which would be triggered if and when adverse modeled outcomes were to actually occur</w:t>
      </w:r>
      <w:r w:rsidR="009D7E97" w:rsidRPr="0059240B">
        <w:rPr>
          <w:rFonts w:ascii="Times New Roman" w:eastAsia="Times New Roman" w:hAnsi="Times New Roman"/>
        </w:rPr>
        <w:t>.</w:t>
      </w:r>
    </w:p>
    <w:p w14:paraId="540DC326"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Poor management performance</w:t>
      </w:r>
      <w:r w:rsidR="009D7E97" w:rsidRPr="0059240B">
        <w:rPr>
          <w:rFonts w:ascii="Times New Roman" w:eastAsia="Times New Roman" w:hAnsi="Times New Roman"/>
        </w:rPr>
        <w:t>.</w:t>
      </w:r>
    </w:p>
    <w:p w14:paraId="2F046C3C"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iv.</w:t>
      </w:r>
      <w:r w:rsidRPr="0059240B">
        <w:rPr>
          <w:rFonts w:ascii="Times New Roman" w:eastAsia="Times New Roman" w:hAnsi="Times New Roman"/>
        </w:rPr>
        <w:tab/>
        <w:t>The expense risks associated with fluctuating amounts of new business</w:t>
      </w:r>
      <w:r w:rsidR="009D7E97" w:rsidRPr="0059240B">
        <w:rPr>
          <w:rFonts w:ascii="Times New Roman" w:eastAsia="Times New Roman" w:hAnsi="Times New Roman"/>
        </w:rPr>
        <w:t>.</w:t>
      </w:r>
    </w:p>
    <w:p w14:paraId="57B9150F"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v.</w:t>
      </w:r>
      <w:r w:rsidRPr="0059240B">
        <w:rPr>
          <w:rFonts w:ascii="Times New Roman" w:eastAsia="Times New Roman" w:hAnsi="Times New Roman"/>
        </w:rPr>
        <w:tab/>
        <w:t>Risks associated with future economic viability of the company</w:t>
      </w:r>
      <w:r w:rsidR="009D7E97" w:rsidRPr="0059240B">
        <w:rPr>
          <w:rFonts w:ascii="Times New Roman" w:eastAsia="Times New Roman" w:hAnsi="Times New Roman"/>
        </w:rPr>
        <w:t>.</w:t>
      </w:r>
    </w:p>
    <w:p w14:paraId="7269C36D"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vi.</w:t>
      </w:r>
      <w:r w:rsidRPr="0059240B">
        <w:rPr>
          <w:rFonts w:ascii="Times New Roman" w:eastAsia="Times New Roman" w:hAnsi="Times New Roman"/>
        </w:rPr>
        <w:tab/>
        <w:t>Moral hazards</w:t>
      </w:r>
      <w:r w:rsidR="009D7E97" w:rsidRPr="0059240B">
        <w:rPr>
          <w:rFonts w:ascii="Times New Roman" w:eastAsia="Times New Roman" w:hAnsi="Times New Roman"/>
        </w:rPr>
        <w:t>.</w:t>
      </w:r>
    </w:p>
    <w:p w14:paraId="5E7B2AC6"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lastRenderedPageBreak/>
        <w:t>vii.</w:t>
      </w:r>
      <w:r w:rsidRPr="0059240B">
        <w:rPr>
          <w:rFonts w:ascii="Times New Roman" w:eastAsia="Times New Roman" w:hAnsi="Times New Roman"/>
        </w:rPr>
        <w:tab/>
        <w:t>Fraud and theft.</w:t>
      </w:r>
    </w:p>
    <w:p w14:paraId="16631403" w14:textId="77777777" w:rsidR="00A126D8" w:rsidRPr="0059240B" w:rsidRDefault="00A126D8" w:rsidP="00A126D8">
      <w:pPr>
        <w:pStyle w:val="Heading3"/>
        <w:rPr>
          <w:b w:val="0"/>
        </w:rPr>
      </w:pPr>
      <w:r w:rsidRPr="0059240B">
        <w:rPr>
          <w:b w:val="0"/>
        </w:rPr>
        <w:t>D.</w:t>
      </w:r>
      <w:r w:rsidRPr="0059240B">
        <w:rPr>
          <w:b w:val="0"/>
        </w:rPr>
        <w:tab/>
        <w:t>Definitions</w:t>
      </w:r>
    </w:p>
    <w:p w14:paraId="720386BC" w14:textId="77777777" w:rsidR="00A126D8" w:rsidRPr="0059240B" w:rsidRDefault="00A126D8" w:rsidP="00067EEF">
      <w:pPr>
        <w:spacing w:after="0"/>
      </w:pPr>
    </w:p>
    <w:p w14:paraId="5D7E7271" w14:textId="77777777" w:rsidR="004E4618" w:rsidRPr="0059240B" w:rsidRDefault="004E4618" w:rsidP="00067EEF">
      <w:pPr>
        <w:pStyle w:val="ListParagraph"/>
        <w:numPr>
          <w:ilvl w:val="0"/>
          <w:numId w:val="36"/>
        </w:numPr>
        <w:spacing w:after="220" w:line="240" w:lineRule="auto"/>
        <w:ind w:hanging="720"/>
        <w:contextualSpacing w:val="0"/>
        <w:jc w:val="both"/>
        <w:rPr>
          <w:rFonts w:ascii="Times New Roman" w:eastAsia="Times New Roman" w:hAnsi="Times New Roman"/>
        </w:rPr>
      </w:pPr>
      <w:r w:rsidRPr="0059240B">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p>
    <w:p w14:paraId="083299BD" w14:textId="77777777" w:rsidR="004E4618" w:rsidRPr="0059240B" w:rsidRDefault="004E4618" w:rsidP="004E4618">
      <w:pPr>
        <w:pStyle w:val="ListParagraph"/>
        <w:tabs>
          <w:tab w:val="left" w:pos="1440"/>
        </w:tabs>
        <w:spacing w:after="220" w:line="240" w:lineRule="auto"/>
        <w:ind w:left="1440"/>
        <w:rPr>
          <w:rFonts w:ascii="Times New Roman" w:eastAsia="Times New Roman" w:hAnsi="Times New Roman"/>
        </w:rPr>
      </w:pPr>
    </w:p>
    <w:p w14:paraId="0C54DDB9" w14:textId="6627FDD4" w:rsidR="00A126D8" w:rsidRPr="0059240B" w:rsidRDefault="00A126D8" w:rsidP="00E87EFC">
      <w:pPr>
        <w:pStyle w:val="ListParagraph"/>
        <w:numPr>
          <w:ilvl w:val="0"/>
          <w:numId w:val="36"/>
        </w:numPr>
        <w:tabs>
          <w:tab w:val="left" w:pos="1440"/>
        </w:tabs>
        <w:spacing w:after="220" w:line="240" w:lineRule="auto"/>
        <w:ind w:hanging="720"/>
        <w:rPr>
          <w:rFonts w:ascii="Times New Roman" w:eastAsia="Times New Roman" w:hAnsi="Times New Roman"/>
        </w:rPr>
      </w:pPr>
      <w:r w:rsidRPr="0059240B">
        <w:rPr>
          <w:rFonts w:ascii="Times New Roman" w:eastAsia="Times New Roman" w:hAnsi="Times New Roman"/>
        </w:rPr>
        <w:t>The term “clearly defined hedging strategy” (CDHS)</w:t>
      </w:r>
      <w:r w:rsidR="007D039B" w:rsidRPr="0059240B">
        <w:rPr>
          <w:rFonts w:ascii="Times New Roman" w:eastAsia="Times New Roman" w:hAnsi="Times New Roman"/>
        </w:rPr>
        <w:t xml:space="preserve"> is defined in VM-01</w:t>
      </w:r>
      <w:r w:rsidRPr="0059240B">
        <w:rPr>
          <w:rFonts w:ascii="Times New Roman" w:eastAsia="Times New Roman" w:hAnsi="Times New Roman"/>
        </w:rPr>
        <w:t xml:space="preserve">. In order to </w:t>
      </w:r>
      <w:r w:rsidR="00732D96" w:rsidRPr="0059240B">
        <w:rPr>
          <w:rFonts w:ascii="Times New Roman" w:eastAsia="Times New Roman" w:hAnsi="Times New Roman"/>
        </w:rPr>
        <w:t>be designated</w:t>
      </w:r>
      <w:bookmarkStart w:id="1" w:name="_GoBack"/>
      <w:bookmarkEnd w:id="1"/>
      <w:r w:rsidRPr="0059240B">
        <w:rPr>
          <w:rFonts w:ascii="Times New Roman" w:eastAsia="Times New Roman" w:hAnsi="Times New Roman"/>
        </w:rPr>
        <w:t xml:space="preserve"> as a clearly defined hedging strategy, the strategy must meet the principles outlined in Section 1.B (particularly Principle 5) and shall, at a minimum, identify: </w:t>
      </w:r>
    </w:p>
    <w:p w14:paraId="2ECACCC3"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specific risks being hedged (e.g., delta, rho, vega, etc.). </w:t>
      </w:r>
    </w:p>
    <w:p w14:paraId="351E246A"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hedge objectives. </w:t>
      </w:r>
    </w:p>
    <w:p w14:paraId="6067CC99"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risks not being hedged (e.g., variation from expected mortality, withdrawal, and other utilization or decrement rates assumed in the hedging strategy, etc.). </w:t>
      </w:r>
    </w:p>
    <w:p w14:paraId="0920FE79"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financial instruments that will be used to hedge the risks. </w:t>
      </w:r>
    </w:p>
    <w:p w14:paraId="51CF2938"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hedge trading rules, including the permitted tolerances from hedging objectives. </w:t>
      </w:r>
    </w:p>
    <w:p w14:paraId="136D2B34"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metric(s) for measuring hedging effectiveness. </w:t>
      </w:r>
    </w:p>
    <w:p w14:paraId="5E1F25E8"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criteria that will be used to measure hedging effectiveness. </w:t>
      </w:r>
    </w:p>
    <w:p w14:paraId="6BFE2213"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frequency of measuring hedging effectiveness. </w:t>
      </w:r>
    </w:p>
    <w:p w14:paraId="0F6E2938" w14:textId="77777777"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 xml:space="preserve">The conditions under which hedging will not take place. </w:t>
      </w:r>
    </w:p>
    <w:p w14:paraId="102FF5A1" w14:textId="68BA937C" w:rsidR="00A126D8" w:rsidRPr="0059240B" w:rsidRDefault="00A126D8" w:rsidP="00E87EFC">
      <w:pPr>
        <w:pStyle w:val="ListParagraph"/>
        <w:numPr>
          <w:ilvl w:val="1"/>
          <w:numId w:val="37"/>
        </w:numPr>
        <w:tabs>
          <w:tab w:val="left" w:pos="1440"/>
        </w:tabs>
        <w:spacing w:after="220" w:line="240" w:lineRule="auto"/>
        <w:ind w:left="2070" w:hanging="630"/>
        <w:rPr>
          <w:rFonts w:ascii="Times New Roman" w:eastAsia="Times New Roman" w:hAnsi="Times New Roman"/>
        </w:rPr>
      </w:pPr>
      <w:r w:rsidRPr="0059240B">
        <w:rPr>
          <w:rFonts w:ascii="Times New Roman" w:eastAsia="Times New Roman" w:hAnsi="Times New Roman"/>
        </w:rPr>
        <w:t>The person or persons responsible for implementing the hedging strategy.</w:t>
      </w:r>
    </w:p>
    <w:p w14:paraId="58B8F50E" w14:textId="77777777" w:rsidR="00445A41" w:rsidRPr="0059240B" w:rsidRDefault="00445A41" w:rsidP="00445A41">
      <w:pPr>
        <w:pStyle w:val="ListParagraph"/>
        <w:tabs>
          <w:tab w:val="left" w:pos="1440"/>
        </w:tabs>
        <w:spacing w:after="220" w:line="240" w:lineRule="auto"/>
        <w:ind w:left="2070"/>
        <w:rPr>
          <w:rFonts w:ascii="Times New Roman" w:eastAsia="Times New Roman" w:hAnsi="Times New Roman"/>
        </w:rPr>
      </w:pPr>
    </w:p>
    <w:p w14:paraId="0E059EBC" w14:textId="77777777" w:rsidR="00445A41" w:rsidRPr="0059240B" w:rsidRDefault="00445A41" w:rsidP="00445A41">
      <w:pPr>
        <w:pStyle w:val="ListParagraph"/>
        <w:pBdr>
          <w:top w:val="single" w:sz="4" w:space="1" w:color="auto"/>
          <w:left w:val="single" w:sz="4" w:space="4" w:color="auto"/>
          <w:bottom w:val="single" w:sz="4" w:space="1" w:color="auto"/>
          <w:right w:val="single" w:sz="4" w:space="4" w:color="auto"/>
        </w:pBdr>
        <w:tabs>
          <w:tab w:val="left" w:pos="720"/>
        </w:tabs>
        <w:spacing w:after="220" w:line="240" w:lineRule="auto"/>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hAnsi="Times New Roman"/>
        </w:rPr>
        <w:t>It is important to note that strategies involving the offsetting of the risks associated with variable annuity guarantees with other products outside of the scope of these requirements (e.g., equity-indexed annuities) do not currently qualify as a clearly defined hedging strategy under these requirements</w:t>
      </w:r>
      <w:r w:rsidRPr="0059240B">
        <w:rPr>
          <w:rFonts w:ascii="Times New Roman" w:eastAsia="Times New Roman" w:hAnsi="Times New Roman"/>
        </w:rPr>
        <w:t>.</w:t>
      </w:r>
    </w:p>
    <w:p w14:paraId="07C88388" w14:textId="77777777" w:rsidR="00287104" w:rsidRPr="0059240B" w:rsidRDefault="00287104" w:rsidP="00287104">
      <w:pPr>
        <w:pStyle w:val="ListParagraph"/>
        <w:spacing w:before="240"/>
        <w:ind w:left="1440"/>
        <w:rPr>
          <w:rFonts w:ascii="Times New Roman" w:hAnsi="Times New Roman"/>
        </w:rPr>
      </w:pPr>
    </w:p>
    <w:p w14:paraId="0ED6F36D" w14:textId="45E9CDF4" w:rsidR="00287104" w:rsidRPr="0059240B" w:rsidRDefault="00287104" w:rsidP="00287104">
      <w:pPr>
        <w:pStyle w:val="ListParagraph"/>
        <w:numPr>
          <w:ilvl w:val="0"/>
          <w:numId w:val="36"/>
        </w:numPr>
        <w:spacing w:before="240"/>
        <w:rPr>
          <w:rFonts w:ascii="Times New Roman" w:hAnsi="Times New Roman"/>
        </w:rPr>
      </w:pPr>
      <w:r w:rsidRPr="0059240B">
        <w:rPr>
          <w:rFonts w:ascii="Times New Roman" w:hAnsi="Times New Roman"/>
        </w:rPr>
        <w:t xml:space="preserve">The term “guaranteed minimum death benefit” (GMDB) </w:t>
      </w:r>
      <w:r w:rsidR="00DA4744" w:rsidRPr="0059240B">
        <w:rPr>
          <w:rFonts w:ascii="Times New Roman" w:hAnsi="Times New Roman"/>
        </w:rPr>
        <w:t xml:space="preserve">means a provision (or provisions) for a </w:t>
      </w:r>
      <w:r w:rsidRPr="0059240B">
        <w:rPr>
          <w:rFonts w:ascii="Times New Roman" w:hAnsi="Times New Roman"/>
        </w:rPr>
        <w:t>guarantee</w:t>
      </w:r>
      <w:r w:rsidR="00DA4744" w:rsidRPr="0059240B">
        <w:rPr>
          <w:rFonts w:ascii="Times New Roman" w:hAnsi="Times New Roman"/>
        </w:rPr>
        <w:t>d benefit</w:t>
      </w:r>
      <w:r w:rsidRPr="0059240B">
        <w:rPr>
          <w:rFonts w:ascii="Times New Roman" w:hAnsi="Times New Roman"/>
        </w:rPr>
        <w:t xml:space="preserve"> payable on the death of a contract holder, annuitant, participant or insured</w:t>
      </w:r>
      <w:r w:rsidR="00DA4744" w:rsidRPr="0059240B">
        <w:rPr>
          <w:rFonts w:ascii="Times New Roman" w:hAnsi="Times New Roman"/>
        </w:rPr>
        <w:t xml:space="preserve"> where the amount payable is either (i) a minimum amount or (ii) exceeds the minimum amount and is</w:t>
      </w:r>
    </w:p>
    <w:p w14:paraId="39EB7DE0" w14:textId="0EC6E28A" w:rsidR="00287104" w:rsidRPr="0059240B" w:rsidRDefault="00287104" w:rsidP="00C55717">
      <w:pPr>
        <w:pStyle w:val="ListParagraph"/>
        <w:ind w:left="2160"/>
        <w:rPr>
          <w:rFonts w:ascii="Times New Roman" w:hAnsi="Times New Roman"/>
        </w:rPr>
      </w:pPr>
      <w:r w:rsidRPr="0059240B">
        <w:rPr>
          <w:rFonts w:ascii="Times New Roman" w:hAnsi="Times New Roman"/>
        </w:rPr>
        <w:t xml:space="preserve"> increased by</w:t>
      </w:r>
      <w:r w:rsidR="00C55717" w:rsidRPr="0059240B">
        <w:rPr>
          <w:rFonts w:ascii="Times New Roman" w:hAnsi="Times New Roman"/>
        </w:rPr>
        <w:t xml:space="preserve"> an</w:t>
      </w:r>
      <w:r w:rsidRPr="0059240B">
        <w:rPr>
          <w:rFonts w:ascii="Times New Roman" w:hAnsi="Times New Roman"/>
        </w:rPr>
        <w:t xml:space="preserve"> amount that may be either specified by or computed from other policy or contract values; and</w:t>
      </w:r>
    </w:p>
    <w:p w14:paraId="4DE09928" w14:textId="77777777" w:rsidR="00287104" w:rsidRPr="0059240B" w:rsidRDefault="00287104" w:rsidP="00287104">
      <w:pPr>
        <w:ind w:left="2430"/>
        <w:rPr>
          <w:rFonts w:ascii="Times New Roman" w:hAnsi="Times New Roman"/>
        </w:rPr>
      </w:pPr>
      <w:r w:rsidRPr="0059240B">
        <w:rPr>
          <w:rFonts w:ascii="Times New Roman" w:hAnsi="Times New Roman"/>
        </w:rPr>
        <w:t>− has the potential to produce a contractual total amount payable on such death that exceeds the account value, or</w:t>
      </w:r>
    </w:p>
    <w:p w14:paraId="3C6070F8" w14:textId="77777777" w:rsidR="00287104" w:rsidRPr="0059240B" w:rsidRDefault="00287104" w:rsidP="00287104">
      <w:pPr>
        <w:ind w:left="2430"/>
        <w:rPr>
          <w:rFonts w:ascii="Times New Roman" w:hAnsi="Times New Roman"/>
        </w:rPr>
      </w:pPr>
      <w:r w:rsidRPr="0059240B">
        <w:rPr>
          <w:rFonts w:ascii="Times New Roman" w:hAnsi="Times New Roman"/>
        </w:rPr>
        <w:t>− in the case of an annuity providing income payments, guarantees payment upon such death of an amount payable on death in addition to the continuation of any guaranteed income payments.</w:t>
      </w:r>
    </w:p>
    <w:p w14:paraId="5ADAA0F9" w14:textId="77777777" w:rsidR="00287104" w:rsidRPr="0059240B" w:rsidRDefault="00287104" w:rsidP="00287104">
      <w:pPr>
        <w:pBdr>
          <w:top w:val="single" w:sz="4" w:space="1" w:color="auto"/>
          <w:left w:val="single" w:sz="4" w:space="4" w:color="auto"/>
          <w:bottom w:val="single" w:sz="4" w:space="1" w:color="auto"/>
          <w:right w:val="single" w:sz="4" w:space="4" w:color="auto"/>
        </w:pBdr>
        <w:ind w:left="1260"/>
        <w:rPr>
          <w:rFonts w:ascii="Times New Roman" w:hAnsi="Times New Roman"/>
        </w:rPr>
      </w:pPr>
      <w:r w:rsidRPr="0059240B">
        <w:rPr>
          <w:rFonts w:ascii="Times New Roman" w:hAnsi="Times New Roman"/>
        </w:rPr>
        <w:t>Guidance Note: The definition of GMDB includes benefits that are based on a portion of the excess of the account value over the net of premiums paid less partial withdrawals made (e.g., an earnings enhanced death benefit).</w:t>
      </w:r>
    </w:p>
    <w:p w14:paraId="6BC5F2FE" w14:textId="79AE6A31" w:rsidR="004E4618" w:rsidRPr="0059240B" w:rsidRDefault="004E4618" w:rsidP="00287104">
      <w:pPr>
        <w:pStyle w:val="ListParagraph"/>
        <w:numPr>
          <w:ilvl w:val="0"/>
          <w:numId w:val="36"/>
        </w:numPr>
        <w:tabs>
          <w:tab w:val="left" w:pos="1440"/>
        </w:tabs>
        <w:spacing w:after="220" w:line="240" w:lineRule="auto"/>
        <w:rPr>
          <w:rFonts w:ascii="Times New Roman" w:eastAsia="Times New Roman" w:hAnsi="Times New Roman"/>
        </w:rPr>
      </w:pPr>
      <w:r w:rsidRPr="0059240B">
        <w:rPr>
          <w:rFonts w:ascii="Times New Roman" w:eastAsia="Times New Roman" w:hAnsi="Times New Roman"/>
        </w:rPr>
        <w:lastRenderedPageBreak/>
        <w:t xml:space="preserve">The term “total asset requirement” </w:t>
      </w:r>
      <w:r w:rsidR="00B518AF" w:rsidRPr="0059240B">
        <w:rPr>
          <w:rFonts w:ascii="Times New Roman" w:eastAsia="Times New Roman" w:hAnsi="Times New Roman"/>
        </w:rPr>
        <w:t xml:space="preserve">(TAR) </w:t>
      </w:r>
      <w:r w:rsidRPr="0059240B">
        <w:rPr>
          <w:rFonts w:ascii="Times New Roman" w:eastAsia="Times New Roman" w:hAnsi="Times New Roman"/>
        </w:rPr>
        <w:t>means the sum of the reserve</w:t>
      </w:r>
      <w:r w:rsidR="00B518AF" w:rsidRPr="0059240B">
        <w:rPr>
          <w:rFonts w:ascii="Times New Roman" w:eastAsia="Times New Roman" w:hAnsi="Times New Roman"/>
        </w:rPr>
        <w:t xml:space="preserve"> determined from the requirements </w:t>
      </w:r>
      <w:r w:rsidR="00D55050" w:rsidRPr="0059240B">
        <w:rPr>
          <w:rFonts w:ascii="Times New Roman" w:eastAsia="Times New Roman" w:hAnsi="Times New Roman"/>
        </w:rPr>
        <w:t xml:space="preserve">for the stochastic reserve (Section 4) not including any additional standard projection amount and </w:t>
      </w:r>
      <w:r w:rsidR="00B518AF" w:rsidRPr="0059240B">
        <w:rPr>
          <w:rFonts w:ascii="Times New Roman" w:eastAsia="Times New Roman" w:hAnsi="Times New Roman"/>
        </w:rPr>
        <w:t xml:space="preserve">prior to any </w:t>
      </w:r>
      <w:r w:rsidR="00DD29B3" w:rsidRPr="0059240B">
        <w:rPr>
          <w:rFonts w:ascii="Times New Roman" w:eastAsia="Times New Roman" w:hAnsi="Times New Roman"/>
        </w:rPr>
        <w:t>adjustment</w:t>
      </w:r>
      <w:r w:rsidR="00B518AF" w:rsidRPr="0059240B">
        <w:rPr>
          <w:rFonts w:ascii="Times New Roman" w:eastAsia="Times New Roman" w:hAnsi="Times New Roman"/>
        </w:rPr>
        <w:t xml:space="preserve"> for the elective phase-in </w:t>
      </w:r>
      <w:r w:rsidR="00732D96" w:rsidRPr="0059240B">
        <w:rPr>
          <w:rFonts w:ascii="Times New Roman" w:eastAsia="Times New Roman" w:hAnsi="Times New Roman"/>
        </w:rPr>
        <w:t xml:space="preserve">pursuant to Section 2.B </w:t>
      </w:r>
      <w:r w:rsidR="00B518AF" w:rsidRPr="0059240B">
        <w:rPr>
          <w:rFonts w:ascii="Times New Roman" w:eastAsia="Times New Roman" w:hAnsi="Times New Roman"/>
        </w:rPr>
        <w:t xml:space="preserve">plus the </w:t>
      </w:r>
      <w:r w:rsidR="003C482A" w:rsidRPr="0059240B">
        <w:rPr>
          <w:rFonts w:ascii="Times New Roman" w:eastAsia="Times New Roman" w:hAnsi="Times New Roman"/>
        </w:rPr>
        <w:t>risk-based</w:t>
      </w:r>
      <w:r w:rsidR="00B518AF" w:rsidRPr="0059240B">
        <w:rPr>
          <w:rFonts w:ascii="Times New Roman" w:eastAsia="Times New Roman" w:hAnsi="Times New Roman"/>
        </w:rPr>
        <w:t xml:space="preserve"> capital amount from LR027 step </w:t>
      </w:r>
      <w:r w:rsidR="00D55050" w:rsidRPr="0059240B">
        <w:rPr>
          <w:rFonts w:ascii="Times New Roman" w:eastAsia="Times New Roman" w:hAnsi="Times New Roman"/>
        </w:rPr>
        <w:t>2</w:t>
      </w:r>
      <w:r w:rsidR="00B518AF" w:rsidRPr="0059240B">
        <w:rPr>
          <w:rFonts w:ascii="Times New Roman" w:eastAsia="Times New Roman" w:hAnsi="Times New Roman"/>
        </w:rPr>
        <w:t xml:space="preserve"> </w:t>
      </w:r>
      <w:r w:rsidR="00D55050" w:rsidRPr="0059240B">
        <w:rPr>
          <w:rFonts w:ascii="Times New Roman" w:eastAsia="Times New Roman" w:hAnsi="Times New Roman"/>
        </w:rPr>
        <w:t>(paragraph B) excluding the additional standard projection amount</w:t>
      </w:r>
      <w:r w:rsidR="00E36005" w:rsidRPr="0059240B">
        <w:rPr>
          <w:rFonts w:ascii="Times New Roman" w:eastAsia="Times New Roman" w:hAnsi="Times New Roman"/>
        </w:rPr>
        <w:t xml:space="preserve"> and</w:t>
      </w:r>
      <w:r w:rsidR="00D55050" w:rsidRPr="0059240B">
        <w:rPr>
          <w:rFonts w:ascii="Times New Roman" w:eastAsia="Times New Roman" w:hAnsi="Times New Roman"/>
        </w:rPr>
        <w:t xml:space="preserve"> </w:t>
      </w:r>
      <w:r w:rsidR="00B518AF" w:rsidRPr="0059240B">
        <w:rPr>
          <w:rFonts w:ascii="Times New Roman" w:eastAsia="Times New Roman" w:hAnsi="Times New Roman"/>
        </w:rPr>
        <w:t>prior to any adjustment for phase-in or smoothing.</w:t>
      </w:r>
      <w:r w:rsidRPr="0059240B">
        <w:rPr>
          <w:rFonts w:ascii="Times New Roman" w:eastAsia="Times New Roman" w:hAnsi="Times New Roman"/>
        </w:rPr>
        <w:t xml:space="preserve"> </w:t>
      </w:r>
    </w:p>
    <w:p w14:paraId="1AEEE261" w14:textId="77777777" w:rsidR="00A126D8" w:rsidRPr="0059240B" w:rsidRDefault="00A126D8" w:rsidP="00067EEF">
      <w:pPr>
        <w:tabs>
          <w:tab w:val="left" w:pos="1440"/>
        </w:tabs>
        <w:spacing w:after="220" w:line="240" w:lineRule="auto"/>
        <w:rPr>
          <w:rFonts w:ascii="Times New Roman" w:eastAsia="Times New Roman" w:hAnsi="Times New Roman"/>
        </w:rPr>
      </w:pPr>
    </w:p>
    <w:p w14:paraId="097C345D" w14:textId="77777777" w:rsidR="00A126D8" w:rsidRPr="0059240B" w:rsidRDefault="00A126D8" w:rsidP="005F7412">
      <w:pPr>
        <w:pStyle w:val="Heading3"/>
      </w:pPr>
    </w:p>
    <w:p w14:paraId="1D5CBA8D" w14:textId="77777777" w:rsidR="00A126D8" w:rsidRPr="0059240B" w:rsidRDefault="00A126D8" w:rsidP="005F7412">
      <w:pPr>
        <w:pStyle w:val="Heading3"/>
      </w:pPr>
    </w:p>
    <w:p w14:paraId="5C37A0D8" w14:textId="09C4F01F" w:rsidR="005F7412" w:rsidRPr="0059240B" w:rsidRDefault="005F7412" w:rsidP="00067EEF">
      <w:pPr>
        <w:pStyle w:val="Heading3"/>
      </w:pPr>
      <w:r w:rsidRPr="0059240B">
        <w:rPr>
          <w:sz w:val="22"/>
          <w:szCs w:val="22"/>
        </w:rPr>
        <w:t xml:space="preserve">Section 2:  </w:t>
      </w:r>
      <w:r w:rsidRPr="0059240B">
        <w:rPr>
          <w:sz w:val="22"/>
        </w:rPr>
        <w:t>Scope</w:t>
      </w:r>
      <w:r w:rsidRPr="0059240B">
        <w:rPr>
          <w:sz w:val="22"/>
          <w:szCs w:val="22"/>
        </w:rPr>
        <w:t xml:space="preserve"> and Effective Date</w:t>
      </w:r>
    </w:p>
    <w:p w14:paraId="724A4465" w14:textId="77777777" w:rsidR="00A80743" w:rsidRPr="0059240B" w:rsidRDefault="00A80743" w:rsidP="00CC2E32">
      <w:pPr>
        <w:spacing w:after="220" w:line="240" w:lineRule="auto"/>
        <w:ind w:left="720" w:hanging="720"/>
        <w:rPr>
          <w:rFonts w:ascii="Times New Roman" w:eastAsia="Times New Roman" w:hAnsi="Times New Roman"/>
        </w:rPr>
      </w:pPr>
    </w:p>
    <w:p w14:paraId="3624E9A3" w14:textId="372C39E3" w:rsidR="0021502F" w:rsidRPr="0059240B" w:rsidRDefault="00A80743" w:rsidP="00C27491">
      <w:pPr>
        <w:spacing w:after="220" w:line="240" w:lineRule="auto"/>
        <w:ind w:left="720" w:hanging="720"/>
        <w:rPr>
          <w:rFonts w:ascii="Times New Roman" w:eastAsia="Times New Roman" w:hAnsi="Times New Roman"/>
        </w:rPr>
      </w:pPr>
      <w:r w:rsidRPr="0059240B">
        <w:rPr>
          <w:rFonts w:ascii="Times New Roman" w:eastAsia="Times New Roman" w:hAnsi="Times New Roman"/>
        </w:rPr>
        <w:t>A</w:t>
      </w:r>
      <w:r w:rsidR="0021502F" w:rsidRPr="0059240B">
        <w:rPr>
          <w:rFonts w:ascii="Times New Roman" w:eastAsia="Times New Roman" w:hAnsi="Times New Roman"/>
        </w:rPr>
        <w:t>.</w:t>
      </w:r>
      <w:r w:rsidR="0021502F" w:rsidRPr="0059240B">
        <w:rPr>
          <w:rFonts w:ascii="Times New Roman" w:eastAsia="Times New Roman" w:hAnsi="Times New Roman"/>
        </w:rPr>
        <w:tab/>
        <w:t>Scope</w:t>
      </w:r>
    </w:p>
    <w:p w14:paraId="4123E7C9" w14:textId="6B5C1AD4" w:rsidR="0021502F" w:rsidRPr="0059240B" w:rsidRDefault="0021502F"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The following categories of annuities or product features</w:t>
      </w:r>
      <w:r w:rsidR="00AA4715" w:rsidRPr="0059240B">
        <w:rPr>
          <w:rFonts w:ascii="Times New Roman" w:eastAsia="Times New Roman" w:hAnsi="Times New Roman"/>
        </w:rPr>
        <w:t xml:space="preserve"> issued on or after </w:t>
      </w:r>
      <w:r w:rsidR="005B6712" w:rsidRPr="0059240B">
        <w:rPr>
          <w:rFonts w:ascii="Times New Roman" w:eastAsia="Times New Roman" w:hAnsi="Times New Roman"/>
        </w:rPr>
        <w:t xml:space="preserve">the operative date of the </w:t>
      </w:r>
      <w:r w:rsidR="00CA1DFC" w:rsidRPr="0059240B">
        <w:rPr>
          <w:rFonts w:ascii="Times New Roman" w:eastAsia="Times New Roman" w:hAnsi="Times New Roman"/>
          <w:i/>
        </w:rPr>
        <w:t>V</w:t>
      </w:r>
      <w:r w:rsidR="005B6712" w:rsidRPr="0059240B">
        <w:rPr>
          <w:rFonts w:ascii="Times New Roman" w:eastAsia="Times New Roman" w:hAnsi="Times New Roman"/>
          <w:i/>
        </w:rPr>
        <w:t xml:space="preserve">aluation </w:t>
      </w:r>
      <w:r w:rsidR="00CA1DFC" w:rsidRPr="0059240B">
        <w:rPr>
          <w:rFonts w:ascii="Times New Roman" w:eastAsia="Times New Roman" w:hAnsi="Times New Roman"/>
          <w:i/>
        </w:rPr>
        <w:t>M</w:t>
      </w:r>
      <w:r w:rsidR="005B6712" w:rsidRPr="0059240B">
        <w:rPr>
          <w:rFonts w:ascii="Times New Roman" w:eastAsia="Times New Roman" w:hAnsi="Times New Roman"/>
          <w:i/>
        </w:rPr>
        <w:t>anual</w:t>
      </w:r>
      <w:r w:rsidRPr="0059240B">
        <w:rPr>
          <w:rFonts w:ascii="Times New Roman" w:eastAsia="Times New Roman" w:hAnsi="Times New Roman"/>
        </w:rPr>
        <w:t xml:space="preserve">, directly written or assumed through reinsurance, are </w:t>
      </w:r>
      <w:r w:rsidR="003F5051" w:rsidRPr="0059240B">
        <w:rPr>
          <w:rFonts w:ascii="Times New Roman" w:eastAsia="Times New Roman" w:hAnsi="Times New Roman"/>
        </w:rPr>
        <w:t>subject to the requirements of</w:t>
      </w:r>
      <w:r w:rsidRPr="0059240B">
        <w:rPr>
          <w:rFonts w:ascii="Times New Roman" w:eastAsia="Times New Roman" w:hAnsi="Times New Roman"/>
        </w:rPr>
        <w:t xml:space="preserve"> </w:t>
      </w:r>
      <w:r w:rsidR="00CA1DFC" w:rsidRPr="0059240B">
        <w:rPr>
          <w:rFonts w:ascii="Times New Roman" w:eastAsia="Times New Roman" w:hAnsi="Times New Roman"/>
        </w:rPr>
        <w:t>VM-21</w:t>
      </w:r>
      <w:r w:rsidRPr="0059240B">
        <w:rPr>
          <w:rFonts w:ascii="Times New Roman" w:eastAsia="Times New Roman" w:hAnsi="Times New Roman"/>
        </w:rPr>
        <w:t>:</w:t>
      </w:r>
    </w:p>
    <w:p w14:paraId="197FCE22" w14:textId="477E2C0E" w:rsidR="0021502F" w:rsidRPr="0059240B" w:rsidRDefault="0021502F" w:rsidP="00067EEF">
      <w:pPr>
        <w:spacing w:after="220" w:line="240" w:lineRule="auto"/>
        <w:ind w:left="216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Variable deferred annuity contracts, whether or not such contracts contain GMDBs or VAGLBs</w:t>
      </w:r>
      <w:r w:rsidR="009D7E97" w:rsidRPr="0059240B">
        <w:rPr>
          <w:rFonts w:ascii="Times New Roman" w:eastAsia="Times New Roman" w:hAnsi="Times New Roman"/>
        </w:rPr>
        <w:t>.</w:t>
      </w:r>
    </w:p>
    <w:p w14:paraId="5713A619" w14:textId="2E50451E" w:rsidR="0021502F" w:rsidRPr="0059240B" w:rsidRDefault="0021502F" w:rsidP="00067EEF">
      <w:pPr>
        <w:spacing w:after="220" w:line="240" w:lineRule="auto"/>
        <w:ind w:left="216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Variable immediate annuity contracts, whether or not such contracts contain GMDBs or VAGLBs</w:t>
      </w:r>
      <w:r w:rsidR="009D7E97" w:rsidRPr="0059240B">
        <w:rPr>
          <w:rFonts w:ascii="Times New Roman" w:eastAsia="Times New Roman" w:hAnsi="Times New Roman"/>
        </w:rPr>
        <w:t>.</w:t>
      </w:r>
    </w:p>
    <w:p w14:paraId="27D7EC51" w14:textId="42845DE0" w:rsidR="0021502F" w:rsidRPr="0059240B" w:rsidRDefault="0021502F" w:rsidP="00067EEF">
      <w:pPr>
        <w:spacing w:after="220" w:line="240" w:lineRule="auto"/>
        <w:ind w:left="216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r>
      <w:r w:rsidR="00C46216" w:rsidRPr="0059240B">
        <w:rPr>
          <w:rFonts w:ascii="Times New Roman" w:eastAsia="Times New Roman" w:hAnsi="Times New Roman"/>
        </w:rPr>
        <w:t>Any</w:t>
      </w:r>
      <w:r w:rsidR="003F5051" w:rsidRPr="0059240B">
        <w:rPr>
          <w:rFonts w:ascii="Times New Roman" w:eastAsia="Times New Roman" w:hAnsi="Times New Roman"/>
        </w:rPr>
        <w:t xml:space="preserve"> </w:t>
      </w:r>
      <w:r w:rsidR="00C46216" w:rsidRPr="0059240B">
        <w:rPr>
          <w:rFonts w:ascii="Times New Roman" w:eastAsia="Times New Roman" w:hAnsi="Times New Roman"/>
        </w:rPr>
        <w:t>g</w:t>
      </w:r>
      <w:r w:rsidRPr="0059240B">
        <w:rPr>
          <w:rFonts w:ascii="Times New Roman" w:eastAsia="Times New Roman" w:hAnsi="Times New Roman"/>
        </w:rPr>
        <w:t xml:space="preserve">roup annuity contract </w:t>
      </w:r>
      <w:r w:rsidR="00CA72F2" w:rsidRPr="0059240B">
        <w:rPr>
          <w:rFonts w:ascii="Times New Roman" w:eastAsia="Times New Roman" w:hAnsi="Times New Roman"/>
        </w:rPr>
        <w:t>containing</w:t>
      </w:r>
      <w:r w:rsidRPr="0059240B">
        <w:rPr>
          <w:rFonts w:ascii="Times New Roman" w:eastAsia="Times New Roman" w:hAnsi="Times New Roman"/>
        </w:rPr>
        <w:t xml:space="preserve"> guarantees similar in nature to GMDBs, VAGLBs or any combination thereof</w:t>
      </w:r>
      <w:r w:rsidR="009D7E97" w:rsidRPr="0059240B">
        <w:rPr>
          <w:rFonts w:ascii="Times New Roman" w:eastAsia="Times New Roman" w:hAnsi="Times New Roman"/>
        </w:rPr>
        <w:t>.</w:t>
      </w:r>
    </w:p>
    <w:p w14:paraId="2191B419" w14:textId="1ABF33A7" w:rsidR="0021502F" w:rsidRPr="0059240B" w:rsidRDefault="0021502F" w:rsidP="00067EEF">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The term “similar in nature” as used in Section</w:t>
      </w:r>
      <w:r w:rsidR="008A5ECA" w:rsidRPr="0059240B">
        <w:rPr>
          <w:rFonts w:ascii="Times New Roman" w:eastAsia="Times New Roman" w:hAnsi="Times New Roman"/>
        </w:rPr>
        <w:t xml:space="preserve"> 2.A.1.c</w:t>
      </w:r>
      <w:r w:rsidRPr="0059240B">
        <w:rPr>
          <w:rFonts w:ascii="Times New Roman" w:eastAsia="Times New Roman" w:hAnsi="Times New Roman"/>
        </w:rPr>
        <w:t xml:space="preserve"> and </w:t>
      </w:r>
      <w:r w:rsidR="00762819" w:rsidRPr="0059240B">
        <w:rPr>
          <w:rFonts w:ascii="Times New Roman" w:eastAsia="Times New Roman" w:hAnsi="Times New Roman"/>
        </w:rPr>
        <w:t>Section</w:t>
      </w:r>
      <w:r w:rsidR="008A5ECA" w:rsidRPr="0059240B">
        <w:rPr>
          <w:rFonts w:ascii="Times New Roman" w:eastAsia="Times New Roman" w:hAnsi="Times New Roman"/>
        </w:rPr>
        <w:t xml:space="preserve"> 2.A.1.d</w:t>
      </w:r>
      <w:r w:rsidRPr="0059240B">
        <w:rPr>
          <w:rFonts w:ascii="Times New Roman" w:eastAsia="Times New Roman" w:hAnsi="Times New Roman"/>
        </w:rPr>
        <w:t xml:space="preserve"> is intended to capture current products and benefits</w:t>
      </w:r>
      <w:r w:rsidR="009D7E97" w:rsidRPr="0059240B">
        <w:rPr>
          <w:rFonts w:ascii="Times New Roman" w:eastAsia="Times New Roman" w:hAnsi="Times New Roman"/>
        </w:rPr>
        <w:t>,</w:t>
      </w:r>
      <w:r w:rsidRPr="0059240B">
        <w:rPr>
          <w:rFonts w:ascii="Times New Roman" w:eastAsia="Times New Roman" w:hAnsi="Times New Roman"/>
        </w:rPr>
        <w:t xml:space="preserve"> as well as product and benefit designs that may emerge in the future. Examples of the currently known designs are listed in</w:t>
      </w:r>
      <w:r w:rsidR="00CA72F2" w:rsidRPr="0059240B">
        <w:rPr>
          <w:rFonts w:ascii="Times New Roman" w:eastAsia="Times New Roman" w:hAnsi="Times New Roman"/>
        </w:rPr>
        <w:t xml:space="preserve"> the Guidance Note </w:t>
      </w:r>
      <w:r w:rsidR="009A56D0" w:rsidRPr="0059240B">
        <w:rPr>
          <w:rFonts w:ascii="Times New Roman" w:eastAsia="Times New Roman" w:hAnsi="Times New Roman"/>
        </w:rPr>
        <w:t>below following</w:t>
      </w:r>
      <w:r w:rsidR="00CA72F2" w:rsidRPr="0059240B">
        <w:rPr>
          <w:rFonts w:ascii="Times New Roman" w:eastAsia="Times New Roman" w:hAnsi="Times New Roman"/>
        </w:rPr>
        <w:t xml:space="preserve"> Section 2.A.3</w:t>
      </w:r>
      <w:r w:rsidRPr="0059240B">
        <w:rPr>
          <w:rFonts w:ascii="Times New Roman" w:eastAsia="Times New Roman" w:hAnsi="Times New Roman"/>
        </w:rPr>
        <w:t xml:space="preserve">. Any product or benefit design that does not clearly fit the </w:t>
      </w:r>
      <w:r w:rsidR="009D7E97" w:rsidRPr="0059240B">
        <w:rPr>
          <w:rFonts w:ascii="Times New Roman" w:eastAsia="Times New Roman" w:hAnsi="Times New Roman"/>
        </w:rPr>
        <w:t xml:space="preserve">scope </w:t>
      </w:r>
      <w:r w:rsidRPr="0059240B">
        <w:rPr>
          <w:rFonts w:ascii="Times New Roman" w:eastAsia="Times New Roman" w:hAnsi="Times New Roman"/>
        </w:rPr>
        <w:t xml:space="preserve">should be evaluated on a case-by-case basis taking into consideration factors that include, but are not limited to, the nature of the guarantees, the definitions of GMDB </w:t>
      </w:r>
      <w:r w:rsidR="00806B7A" w:rsidRPr="0059240B">
        <w:rPr>
          <w:rFonts w:ascii="Times New Roman" w:eastAsia="Times New Roman" w:hAnsi="Times New Roman"/>
        </w:rPr>
        <w:t xml:space="preserve">in VM-21 </w:t>
      </w:r>
      <w:r w:rsidRPr="0059240B">
        <w:rPr>
          <w:rFonts w:ascii="Times New Roman" w:eastAsia="Times New Roman" w:hAnsi="Times New Roman"/>
        </w:rPr>
        <w:t xml:space="preserve">and VAGLB in </w:t>
      </w:r>
      <w:r w:rsidR="00DE38C1" w:rsidRPr="0059240B">
        <w:rPr>
          <w:rFonts w:ascii="Times New Roman" w:eastAsia="Times New Roman" w:hAnsi="Times New Roman"/>
        </w:rPr>
        <w:t>VM</w:t>
      </w:r>
      <w:r w:rsidR="002F00F7" w:rsidRPr="0059240B">
        <w:rPr>
          <w:rFonts w:ascii="Times New Roman" w:eastAsia="Times New Roman" w:hAnsi="Times New Roman"/>
        </w:rPr>
        <w:t>-01</w:t>
      </w:r>
      <w:r w:rsidR="009D7E97" w:rsidRPr="0059240B">
        <w:rPr>
          <w:rFonts w:ascii="Times New Roman" w:eastAsia="Times New Roman" w:hAnsi="Times New Roman"/>
        </w:rPr>
        <w:t>,</w:t>
      </w:r>
      <w:r w:rsidRPr="0059240B">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6845818E" w:rsidR="0021502F" w:rsidRPr="0059240B" w:rsidRDefault="0021502F" w:rsidP="00067EEF">
      <w:pPr>
        <w:tabs>
          <w:tab w:val="left" w:pos="2280"/>
        </w:tabs>
        <w:spacing w:after="220" w:line="240" w:lineRule="auto"/>
        <w:ind w:left="2160" w:hanging="720"/>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A</w:t>
      </w:r>
      <w:r w:rsidR="00C46216" w:rsidRPr="0059240B">
        <w:rPr>
          <w:rFonts w:ascii="Times New Roman" w:eastAsia="Times New Roman" w:hAnsi="Times New Roman"/>
        </w:rPr>
        <w:t>ny</w:t>
      </w:r>
      <w:r w:rsidRPr="0059240B">
        <w:rPr>
          <w:rFonts w:ascii="Times New Roman" w:eastAsia="Times New Roman" w:hAnsi="Times New Roman"/>
        </w:rPr>
        <w:t xml:space="preserve"> other</w:t>
      </w:r>
      <w:r w:rsidR="00CF40FE" w:rsidRPr="0059240B">
        <w:rPr>
          <w:rFonts w:ascii="Times New Roman" w:eastAsia="Times New Roman" w:hAnsi="Times New Roman"/>
        </w:rPr>
        <w:t xml:space="preserve"> </w:t>
      </w:r>
      <w:r w:rsidR="00C46216" w:rsidRPr="0059240B">
        <w:rPr>
          <w:rFonts w:ascii="Times New Roman" w:eastAsia="Times New Roman" w:hAnsi="Times New Roman"/>
        </w:rPr>
        <w:t>policy</w:t>
      </w:r>
      <w:r w:rsidR="009104AA" w:rsidRPr="0059240B">
        <w:rPr>
          <w:rFonts w:ascii="Times New Roman" w:eastAsia="Times New Roman" w:hAnsi="Times New Roman"/>
        </w:rPr>
        <w:t xml:space="preserve"> or </w:t>
      </w:r>
      <w:r w:rsidR="00CF40FE" w:rsidRPr="0059240B">
        <w:rPr>
          <w:rFonts w:ascii="Times New Roman" w:eastAsia="Times New Roman" w:hAnsi="Times New Roman"/>
        </w:rPr>
        <w:t>contract</w:t>
      </w:r>
      <w:r w:rsidRPr="0059240B">
        <w:rPr>
          <w:rFonts w:ascii="Times New Roman" w:eastAsia="Times New Roman" w:hAnsi="Times New Roman"/>
        </w:rPr>
        <w:t xml:space="preserve"> </w:t>
      </w:r>
      <w:r w:rsidR="00C46216" w:rsidRPr="0059240B">
        <w:rPr>
          <w:rFonts w:ascii="Times New Roman" w:eastAsia="Times New Roman" w:hAnsi="Times New Roman"/>
        </w:rPr>
        <w:t>which</w:t>
      </w:r>
      <w:r w:rsidRPr="0059240B">
        <w:rPr>
          <w:rFonts w:ascii="Times New Roman" w:eastAsia="Times New Roman" w:hAnsi="Times New Roman"/>
        </w:rPr>
        <w:t xml:space="preserve"> contain</w:t>
      </w:r>
      <w:r w:rsidR="00CA72F2" w:rsidRPr="0059240B">
        <w:rPr>
          <w:rFonts w:ascii="Times New Roman" w:eastAsia="Times New Roman" w:hAnsi="Times New Roman"/>
        </w:rPr>
        <w:t>s</w:t>
      </w:r>
      <w:r w:rsidRPr="0059240B">
        <w:rPr>
          <w:rFonts w:ascii="Times New Roman" w:eastAsia="Times New Roman" w:hAnsi="Times New Roman"/>
        </w:rPr>
        <w:t xml:space="preserve"> guarantees similar in nature to GMDBs or VAGLBs, even if the insurer does not offer the mutual funds</w:t>
      </w:r>
      <w:r w:rsidR="003F5051" w:rsidRPr="0059240B">
        <w:rPr>
          <w:rFonts w:ascii="Times New Roman" w:eastAsia="Times New Roman" w:hAnsi="Times New Roman"/>
        </w:rPr>
        <w:t>,</w:t>
      </w:r>
      <w:r w:rsidRPr="0059240B">
        <w:rPr>
          <w:rFonts w:ascii="Times New Roman" w:eastAsia="Times New Roman" w:hAnsi="Times New Roman"/>
        </w:rPr>
        <w:t xml:space="preserve"> variable funds</w:t>
      </w:r>
      <w:r w:rsidR="003F5051" w:rsidRPr="0059240B">
        <w:rPr>
          <w:rFonts w:ascii="Times New Roman" w:eastAsia="Times New Roman" w:hAnsi="Times New Roman"/>
        </w:rPr>
        <w:t>, or other supporting investment</w:t>
      </w:r>
      <w:r w:rsidR="00B31BA4" w:rsidRPr="0059240B">
        <w:rPr>
          <w:rFonts w:ascii="Times New Roman" w:eastAsia="Times New Roman" w:hAnsi="Times New Roman"/>
        </w:rPr>
        <w:t>s</w:t>
      </w:r>
      <w:r w:rsidRPr="0059240B">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These requirements shall be applied to the benefit on a stand</w:t>
      </w:r>
      <w:r w:rsidR="009D7E97" w:rsidRPr="0059240B">
        <w:rPr>
          <w:rFonts w:ascii="Times New Roman" w:eastAsia="Times New Roman" w:hAnsi="Times New Roman"/>
        </w:rPr>
        <w:t>-</w:t>
      </w:r>
      <w:r w:rsidRPr="0059240B">
        <w:rPr>
          <w:rFonts w:ascii="Times New Roman" w:eastAsia="Times New Roman" w:hAnsi="Times New Roman"/>
        </w:rPr>
        <w:t>alone basis (i.e., for purposes of the reserve calculation, the benefit shall be treated as a separate contract</w:t>
      </w:r>
      <w:r w:rsidR="009D7E97" w:rsidRPr="0059240B">
        <w:rPr>
          <w:rFonts w:ascii="Times New Roman" w:eastAsia="Times New Roman" w:hAnsi="Times New Roman"/>
        </w:rPr>
        <w:t>).</w:t>
      </w:r>
    </w:p>
    <w:p w14:paraId="563D5BF0" w14:textId="125780BE"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The reserve for the underlying contract</w:t>
      </w:r>
      <w:r w:rsidR="00CF40FE" w:rsidRPr="0059240B">
        <w:rPr>
          <w:rFonts w:ascii="Times New Roman" w:eastAsia="Times New Roman" w:hAnsi="Times New Roman"/>
        </w:rPr>
        <w:t>, e</w:t>
      </w:r>
      <w:r w:rsidR="006B726E" w:rsidRPr="0059240B">
        <w:rPr>
          <w:rFonts w:ascii="Times New Roman" w:eastAsia="Times New Roman" w:hAnsi="Times New Roman"/>
        </w:rPr>
        <w:t>x</w:t>
      </w:r>
      <w:r w:rsidR="00CF40FE" w:rsidRPr="0059240B">
        <w:rPr>
          <w:rFonts w:ascii="Times New Roman" w:eastAsia="Times New Roman" w:hAnsi="Times New Roman"/>
        </w:rPr>
        <w:t xml:space="preserve">cluding any benefits valued under </w:t>
      </w:r>
      <w:r w:rsidR="004665A7" w:rsidRPr="0059240B">
        <w:rPr>
          <w:rFonts w:ascii="Times New Roman" w:eastAsia="Times New Roman" w:hAnsi="Times New Roman"/>
        </w:rPr>
        <w:t>(</w:t>
      </w:r>
      <w:r w:rsidR="00CF40FE" w:rsidRPr="0059240B">
        <w:rPr>
          <w:rFonts w:ascii="Times New Roman" w:eastAsia="Times New Roman" w:hAnsi="Times New Roman"/>
        </w:rPr>
        <w:t>i</w:t>
      </w:r>
      <w:r w:rsidR="004665A7" w:rsidRPr="0059240B">
        <w:rPr>
          <w:rFonts w:ascii="Times New Roman" w:eastAsia="Times New Roman" w:hAnsi="Times New Roman"/>
        </w:rPr>
        <w:t>)</w:t>
      </w:r>
      <w:r w:rsidR="00CF40FE" w:rsidRPr="0059240B">
        <w:rPr>
          <w:rFonts w:ascii="Times New Roman" w:eastAsia="Times New Roman" w:hAnsi="Times New Roman"/>
        </w:rPr>
        <w:t xml:space="preserve"> above,</w:t>
      </w:r>
      <w:r w:rsidRPr="0059240B">
        <w:rPr>
          <w:rFonts w:ascii="Times New Roman" w:eastAsia="Times New Roman" w:hAnsi="Times New Roman"/>
        </w:rPr>
        <w:t xml:space="preserve"> is determined according to the explicit reserve requirement</w:t>
      </w:r>
      <w:r w:rsidR="009D7E97" w:rsidRPr="0059240B">
        <w:rPr>
          <w:rFonts w:ascii="Times New Roman" w:eastAsia="Times New Roman" w:hAnsi="Times New Roman"/>
        </w:rPr>
        <w:t>.</w:t>
      </w:r>
    </w:p>
    <w:p w14:paraId="0AFCDEC2" w14:textId="77B315CA" w:rsidR="0021502F" w:rsidRPr="0059240B" w:rsidRDefault="0021502F" w:rsidP="00067EEF">
      <w:pPr>
        <w:spacing w:after="220" w:line="240" w:lineRule="auto"/>
        <w:ind w:left="2880" w:hanging="720"/>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 xml:space="preserve">The reserve held for the contract shall be the sum of </w:t>
      </w:r>
      <w:r w:rsidR="004665A7" w:rsidRPr="0059240B">
        <w:rPr>
          <w:rFonts w:ascii="Times New Roman" w:eastAsia="Times New Roman" w:hAnsi="Times New Roman"/>
        </w:rPr>
        <w:t>(</w:t>
      </w:r>
      <w:r w:rsidRPr="0059240B">
        <w:rPr>
          <w:rFonts w:ascii="Times New Roman" w:eastAsia="Times New Roman" w:hAnsi="Times New Roman"/>
        </w:rPr>
        <w:t>i</w:t>
      </w:r>
      <w:r w:rsidR="004665A7" w:rsidRPr="0059240B">
        <w:rPr>
          <w:rFonts w:ascii="Times New Roman" w:eastAsia="Times New Roman" w:hAnsi="Times New Roman"/>
        </w:rPr>
        <w:t>)</w:t>
      </w:r>
      <w:r w:rsidRPr="0059240B">
        <w:rPr>
          <w:rFonts w:ascii="Times New Roman" w:eastAsia="Times New Roman" w:hAnsi="Times New Roman"/>
        </w:rPr>
        <w:t xml:space="preserve"> and </w:t>
      </w:r>
      <w:r w:rsidR="004665A7" w:rsidRPr="0059240B">
        <w:rPr>
          <w:rFonts w:ascii="Times New Roman" w:eastAsia="Times New Roman" w:hAnsi="Times New Roman"/>
        </w:rPr>
        <w:t>(</w:t>
      </w:r>
      <w:r w:rsidRPr="0059240B">
        <w:rPr>
          <w:rFonts w:ascii="Times New Roman" w:eastAsia="Times New Roman" w:hAnsi="Times New Roman"/>
        </w:rPr>
        <w:t>ii</w:t>
      </w:r>
      <w:r w:rsidR="004665A7" w:rsidRPr="0059240B">
        <w:rPr>
          <w:rFonts w:ascii="Times New Roman" w:eastAsia="Times New Roman" w:hAnsi="Times New Roman"/>
        </w:rPr>
        <w:t>)</w:t>
      </w:r>
      <w:r w:rsidRPr="0059240B">
        <w:rPr>
          <w:rFonts w:ascii="Times New Roman" w:eastAsia="Times New Roman" w:hAnsi="Times New Roman"/>
        </w:rPr>
        <w:t>.</w:t>
      </w:r>
    </w:p>
    <w:p w14:paraId="21FA606A" w14:textId="77777777" w:rsidR="0021502F" w:rsidRPr="0059240B" w:rsidRDefault="0021502F" w:rsidP="00067EEF">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59240B">
        <w:rPr>
          <w:rFonts w:ascii="Times New Roman" w:eastAsia="Times New Roman" w:hAnsi="Times New Roman"/>
          <w:b/>
          <w:bCs/>
        </w:rPr>
        <w:lastRenderedPageBreak/>
        <w:t xml:space="preserve">Guidance Note: </w:t>
      </w:r>
      <w:r w:rsidRPr="0059240B">
        <w:rPr>
          <w:rFonts w:ascii="Times New Roman" w:eastAsia="Times New Roman" w:hAnsi="Times New Roman"/>
        </w:rPr>
        <w:t xml:space="preserve">For example, a group life contract that wraps a GMDB around a mutual fund generally </w:t>
      </w:r>
      <w:r w:rsidR="009D7E97" w:rsidRPr="0059240B">
        <w:rPr>
          <w:rFonts w:ascii="Times New Roman" w:eastAsia="Times New Roman" w:hAnsi="Times New Roman"/>
        </w:rPr>
        <w:t xml:space="preserve">would </w:t>
      </w:r>
      <w:r w:rsidRPr="0059240B">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sidRPr="0059240B">
        <w:rPr>
          <w:rFonts w:ascii="Times New Roman" w:eastAsia="Times New Roman" w:hAnsi="Times New Roman"/>
        </w:rPr>
        <w:t xml:space="preserve">would </w:t>
      </w:r>
      <w:r w:rsidRPr="0059240B">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Pr="0059240B" w:rsidRDefault="003F5051" w:rsidP="00CC2E32">
      <w:pPr>
        <w:spacing w:after="220" w:line="240" w:lineRule="auto"/>
        <w:ind w:left="1440" w:hanging="720"/>
        <w:rPr>
          <w:rFonts w:ascii="Times New Roman" w:eastAsia="Times New Roman" w:hAnsi="Times New Roman"/>
        </w:rPr>
      </w:pPr>
    </w:p>
    <w:p w14:paraId="1D51953B" w14:textId="1FF539C9" w:rsidR="0021502F" w:rsidRPr="0059240B" w:rsidRDefault="0021502F"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 xml:space="preserve">These requirements do not apply to contracts falling under the scope of </w:t>
      </w:r>
      <w:r w:rsidR="00141D5D" w:rsidRPr="0059240B">
        <w:rPr>
          <w:rFonts w:ascii="Times New Roman" w:eastAsia="Times New Roman" w:hAnsi="Times New Roman"/>
        </w:rPr>
        <w:t>VM-</w:t>
      </w:r>
      <w:r w:rsidR="00B842C5" w:rsidRPr="0059240B">
        <w:rPr>
          <w:rFonts w:ascii="Times New Roman" w:eastAsia="Times New Roman" w:hAnsi="Times New Roman"/>
        </w:rPr>
        <w:t>A–</w:t>
      </w:r>
      <w:r w:rsidR="00722D26" w:rsidRPr="0059240B">
        <w:rPr>
          <w:rFonts w:ascii="Times New Roman" w:eastAsia="Times New Roman" w:hAnsi="Times New Roman"/>
        </w:rPr>
        <w:t>255:</w:t>
      </w:r>
      <w:r w:rsidR="00722D26" w:rsidRPr="0059240B">
        <w:rPr>
          <w:rFonts w:ascii="Times New Roman" w:hAnsi="Times New Roman"/>
          <w:i/>
        </w:rPr>
        <w:t xml:space="preserve"> </w:t>
      </w:r>
      <w:r w:rsidRPr="0059240B">
        <w:rPr>
          <w:rFonts w:ascii="Times New Roman" w:eastAsia="Times New Roman" w:hAnsi="Times New Roman"/>
          <w:i/>
        </w:rPr>
        <w:t>Modified Guaranteed Annuit</w:t>
      </w:r>
      <w:r w:rsidR="00A13F1E" w:rsidRPr="0059240B">
        <w:rPr>
          <w:rFonts w:ascii="Times New Roman" w:eastAsia="Times New Roman" w:hAnsi="Times New Roman"/>
          <w:i/>
        </w:rPr>
        <w:t>ies</w:t>
      </w:r>
      <w:r w:rsidRPr="0059240B">
        <w:rPr>
          <w:rFonts w:ascii="Times New Roman" w:eastAsia="Times New Roman" w:hAnsi="Times New Roman"/>
        </w:rPr>
        <w:t xml:space="preserve">; however, </w:t>
      </w:r>
      <w:r w:rsidR="00D60442" w:rsidRPr="0059240B">
        <w:rPr>
          <w:rFonts w:ascii="Times New Roman" w:eastAsia="Times New Roman" w:hAnsi="Times New Roman"/>
        </w:rPr>
        <w:t xml:space="preserve">they do </w:t>
      </w:r>
      <w:r w:rsidRPr="0059240B">
        <w:rPr>
          <w:rFonts w:ascii="Times New Roman" w:eastAsia="Times New Roman" w:hAnsi="Times New Roman"/>
        </w:rPr>
        <w:t xml:space="preserve">apply to contracts listed above that include one or more subaccounts containing features similar in nature to those contained in </w:t>
      </w:r>
      <w:r w:rsidR="009D7E97" w:rsidRPr="0059240B">
        <w:rPr>
          <w:rFonts w:ascii="Times New Roman" w:eastAsia="Times New Roman" w:hAnsi="Times New Roman"/>
        </w:rPr>
        <w:t>modified guaranteed annuities (</w:t>
      </w:r>
      <w:r w:rsidRPr="0059240B">
        <w:rPr>
          <w:rFonts w:ascii="Times New Roman" w:eastAsia="Times New Roman" w:hAnsi="Times New Roman"/>
        </w:rPr>
        <w:t>MGAs</w:t>
      </w:r>
      <w:r w:rsidR="009D7E97" w:rsidRPr="0059240B">
        <w:rPr>
          <w:rFonts w:ascii="Times New Roman" w:eastAsia="Times New Roman" w:hAnsi="Times New Roman"/>
        </w:rPr>
        <w:t>)</w:t>
      </w:r>
      <w:r w:rsidRPr="0059240B">
        <w:rPr>
          <w:rFonts w:ascii="Times New Roman" w:eastAsia="Times New Roman" w:hAnsi="Times New Roman"/>
        </w:rPr>
        <w:t xml:space="preserve"> (e.g., market value adjustments).</w:t>
      </w:r>
    </w:p>
    <w:p w14:paraId="5DD6C04A" w14:textId="1DB68FE4" w:rsidR="0021502F" w:rsidRPr="0059240B" w:rsidRDefault="0021502F" w:rsidP="00067EEF">
      <w:pPr>
        <w:pStyle w:val="ListParagraph"/>
        <w:numPr>
          <w:ilvl w:val="0"/>
          <w:numId w:val="2"/>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 xml:space="preserve">Separate account </w:t>
      </w:r>
      <w:r w:rsidR="00CF40FE" w:rsidRPr="0059240B">
        <w:rPr>
          <w:rFonts w:ascii="Times New Roman" w:eastAsia="Times New Roman" w:hAnsi="Times New Roman"/>
        </w:rPr>
        <w:t xml:space="preserve">contracts </w:t>
      </w:r>
      <w:r w:rsidRPr="0059240B">
        <w:rPr>
          <w:rFonts w:ascii="Times New Roman" w:eastAsia="Times New Roman" w:hAnsi="Times New Roman"/>
        </w:rPr>
        <w:t>that guarantee an index and do not offer GMDBs or VAGLBs are excluded from the scope of these requirements.</w:t>
      </w:r>
    </w:p>
    <w:p w14:paraId="129BB825" w14:textId="5D2E58FD" w:rsidR="0021502F" w:rsidRPr="0059240B" w:rsidRDefault="0021502F" w:rsidP="00067EEF">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 xml:space="preserve">Current VAGLBs include </w:t>
      </w:r>
      <w:r w:rsidR="004665A7" w:rsidRPr="0059240B">
        <w:rPr>
          <w:rFonts w:ascii="Times New Roman" w:eastAsia="Times New Roman" w:hAnsi="Times New Roman"/>
        </w:rPr>
        <w:t>GMDBs</w:t>
      </w:r>
      <w:r w:rsidRPr="0059240B">
        <w:rPr>
          <w:rFonts w:ascii="Times New Roman" w:eastAsia="Times New Roman" w:hAnsi="Times New Roman"/>
        </w:rPr>
        <w:t xml:space="preserve">, </w:t>
      </w:r>
      <w:r w:rsidR="004665A7" w:rsidRPr="0059240B">
        <w:rPr>
          <w:rFonts w:ascii="Times New Roman" w:eastAsia="Times New Roman" w:hAnsi="Times New Roman"/>
        </w:rPr>
        <w:t>hybrid and traditional GMIBs</w:t>
      </w:r>
      <w:r w:rsidRPr="0059240B">
        <w:rPr>
          <w:rFonts w:ascii="Times New Roman" w:eastAsia="Times New Roman" w:hAnsi="Times New Roman"/>
        </w:rPr>
        <w:t xml:space="preserve">, </w:t>
      </w:r>
      <w:r w:rsidR="004665A7" w:rsidRPr="0059240B">
        <w:rPr>
          <w:rFonts w:ascii="Times New Roman" w:eastAsia="Times New Roman" w:hAnsi="Times New Roman"/>
        </w:rPr>
        <w:t>lifetime and non-lifetime GMWBs</w:t>
      </w:r>
      <w:r w:rsidRPr="0059240B">
        <w:rPr>
          <w:rFonts w:ascii="Times New Roman" w:eastAsia="Times New Roman" w:hAnsi="Times New Roman"/>
        </w:rPr>
        <w:t xml:space="preserve"> and </w:t>
      </w:r>
      <w:r w:rsidR="004665A7" w:rsidRPr="0059240B">
        <w:rPr>
          <w:rFonts w:ascii="Times New Roman" w:eastAsia="Times New Roman" w:hAnsi="Times New Roman"/>
        </w:rPr>
        <w:t>GPAFs</w:t>
      </w:r>
      <w:r w:rsidRPr="0059240B">
        <w:rPr>
          <w:rFonts w:ascii="Times New Roman" w:eastAsia="Times New Roman" w:hAnsi="Times New Roman"/>
        </w:rPr>
        <w:t>. These requirements will be applied to future variations on these designs and to new guarantee designs.</w:t>
      </w:r>
    </w:p>
    <w:p w14:paraId="5177C993" w14:textId="5FFB682E" w:rsidR="005F7412" w:rsidRPr="0059240B" w:rsidRDefault="005F7412" w:rsidP="005F7412">
      <w:pPr>
        <w:spacing w:after="220" w:line="240" w:lineRule="auto"/>
        <w:ind w:left="72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Effective Date and Phase</w:t>
      </w:r>
      <w:r w:rsidR="00730EC7" w:rsidRPr="0059240B">
        <w:rPr>
          <w:rFonts w:ascii="Times New Roman" w:eastAsia="Times New Roman" w:hAnsi="Times New Roman"/>
        </w:rPr>
        <w:t>-</w:t>
      </w:r>
      <w:r w:rsidRPr="0059240B">
        <w:rPr>
          <w:rFonts w:ascii="Times New Roman" w:eastAsia="Times New Roman" w:hAnsi="Times New Roman"/>
        </w:rPr>
        <w:t>in</w:t>
      </w:r>
    </w:p>
    <w:p w14:paraId="30B4FB1C" w14:textId="70842C0A" w:rsidR="00EB0921" w:rsidRPr="0059240B" w:rsidRDefault="00EB0921" w:rsidP="00EB0921">
      <w:pPr>
        <w:spacing w:after="220" w:line="240" w:lineRule="auto"/>
        <w:ind w:left="720"/>
        <w:rPr>
          <w:rFonts w:ascii="Times New Roman" w:eastAsia="Times New Roman" w:hAnsi="Times New Roman"/>
        </w:rPr>
      </w:pPr>
      <w:r w:rsidRPr="0059240B">
        <w:rPr>
          <w:rFonts w:ascii="Times New Roman" w:eastAsia="Times New Roman" w:hAnsi="Times New Roman"/>
        </w:rPr>
        <w:t xml:space="preserve">These requirements apply for valuation dates on or after January 1, 2020. A company may elect to phase in these requirements over a 36-month period beginning January 1, 2020.   A company may elect a longer phase-in period, </w:t>
      </w:r>
      <w:r w:rsidR="009A56D0" w:rsidRPr="0059240B">
        <w:rPr>
          <w:rFonts w:ascii="Times New Roman" w:eastAsia="Times New Roman" w:hAnsi="Times New Roman"/>
        </w:rPr>
        <w:t>up to</w:t>
      </w:r>
      <w:r w:rsidRPr="0059240B">
        <w:rPr>
          <w:rFonts w:ascii="Times New Roman" w:eastAsia="Times New Roman" w:hAnsi="Times New Roman"/>
        </w:rPr>
        <w:t xml:space="preserve"> 7 years, with approval of the domiciliary commissioner. The election of whether to phase in and the period of phase-in must be made prior to the </w:t>
      </w:r>
      <w:r w:rsidR="00730EC7" w:rsidRPr="0059240B">
        <w:rPr>
          <w:rFonts w:ascii="Times New Roman" w:eastAsia="Times New Roman" w:hAnsi="Times New Roman"/>
        </w:rPr>
        <w:t xml:space="preserve">December 31, 2020 </w:t>
      </w:r>
      <w:r w:rsidRPr="0059240B">
        <w:rPr>
          <w:rFonts w:ascii="Times New Roman" w:eastAsia="Times New Roman" w:hAnsi="Times New Roman"/>
        </w:rPr>
        <w:t xml:space="preserve">valuation. </w:t>
      </w:r>
      <w:r w:rsidR="00B5561E" w:rsidRPr="0059240B">
        <w:rPr>
          <w:rFonts w:ascii="Times New Roman" w:eastAsia="Times New Roman" w:hAnsi="Times New Roman"/>
        </w:rPr>
        <w:t>At the company’s option, a</w:t>
      </w:r>
      <w:r w:rsidRPr="0059240B">
        <w:rPr>
          <w:rFonts w:ascii="Times New Roman" w:eastAsia="Times New Roman" w:hAnsi="Times New Roman"/>
        </w:rPr>
        <w:t xml:space="preserve"> phase-in may be terminated</w:t>
      </w:r>
      <w:r w:rsidR="00B5561E" w:rsidRPr="0059240B">
        <w:rPr>
          <w:rFonts w:ascii="Times New Roman" w:hAnsi="Times New Roman"/>
        </w:rPr>
        <w:t xml:space="preserve"> </w:t>
      </w:r>
      <w:r w:rsidR="00B5561E" w:rsidRPr="0059240B">
        <w:rPr>
          <w:rFonts w:ascii="Times New Roman" w:eastAsia="Times New Roman" w:hAnsi="Times New Roman"/>
        </w:rPr>
        <w:t xml:space="preserve">prior to the originally elected end of the phase-in period; the reserve would then be equal to the unadjusted reserve calculated according to the requirements of VM-21 applicable for valuation dates on or after January 1, 2020. </w:t>
      </w:r>
      <w:r w:rsidR="00DF20C2" w:rsidRPr="0059240B">
        <w:rPr>
          <w:rFonts w:ascii="Times New Roman" w:eastAsia="Times New Roman" w:hAnsi="Times New Roman"/>
        </w:rPr>
        <w:t xml:space="preserve">If there is a material decrease in the book of business by sale or reinsurance ceded, the company </w:t>
      </w:r>
      <w:r w:rsidR="00E36005" w:rsidRPr="0059240B">
        <w:rPr>
          <w:rFonts w:ascii="Times New Roman" w:eastAsia="Times New Roman" w:hAnsi="Times New Roman"/>
        </w:rPr>
        <w:t xml:space="preserve">shall adjust the amount of the phase-in provision. The phase-in amount (C = R1 – R2 as described below) must be scaled down in proportion to the reduction in the excess reserve, measured on the effective transaction date as the reserve amount in excess of cash surrender value before and after the impact of the transaction. The company </w:t>
      </w:r>
      <w:r w:rsidR="00DF20C2" w:rsidRPr="0059240B">
        <w:rPr>
          <w:rFonts w:ascii="Times New Roman" w:eastAsia="Times New Roman" w:hAnsi="Times New Roman"/>
        </w:rPr>
        <w:t xml:space="preserve">must obtain approval </w:t>
      </w:r>
      <w:r w:rsidR="00E36005" w:rsidRPr="0059240B">
        <w:rPr>
          <w:rFonts w:ascii="Times New Roman" w:eastAsia="Times New Roman" w:hAnsi="Times New Roman"/>
        </w:rPr>
        <w:t xml:space="preserve">e </w:t>
      </w:r>
      <w:r w:rsidR="00DF20C2" w:rsidRPr="0059240B">
        <w:rPr>
          <w:rFonts w:ascii="Times New Roman" w:eastAsia="Times New Roman" w:hAnsi="Times New Roman"/>
        </w:rPr>
        <w:t xml:space="preserve">for </w:t>
      </w:r>
      <w:r w:rsidR="00E36005" w:rsidRPr="0059240B">
        <w:rPr>
          <w:rFonts w:ascii="Times New Roman" w:eastAsia="Times New Roman" w:hAnsi="Times New Roman"/>
        </w:rPr>
        <w:t>any other</w:t>
      </w:r>
      <w:r w:rsidR="00DF20C2" w:rsidRPr="0059240B">
        <w:rPr>
          <w:rFonts w:ascii="Times New Roman" w:eastAsia="Times New Roman" w:hAnsi="Times New Roman"/>
        </w:rPr>
        <w:t xml:space="preserve"> modification of the remaining phase-in</w:t>
      </w:r>
      <w:r w:rsidR="00E36005" w:rsidRPr="0059240B">
        <w:rPr>
          <w:rFonts w:ascii="Times New Roman" w:eastAsia="Times New Roman" w:hAnsi="Times New Roman"/>
        </w:rPr>
        <w:t xml:space="preserve"> amount</w:t>
      </w:r>
      <w:r w:rsidR="00DF20C2" w:rsidRPr="0059240B">
        <w:rPr>
          <w:rFonts w:ascii="Times New Roman" w:eastAsia="Times New Roman" w:hAnsi="Times New Roman"/>
        </w:rPr>
        <w:t>.</w:t>
      </w:r>
      <w:r w:rsidR="00B5561E" w:rsidRPr="0059240B">
        <w:rPr>
          <w:rFonts w:ascii="Times New Roman" w:eastAsia="Times New Roman" w:hAnsi="Times New Roman"/>
        </w:rPr>
        <w:t xml:space="preserve"> The method to be used for the phase-in calculation is as follows:</w:t>
      </w:r>
      <w:r w:rsidRPr="0059240B">
        <w:rPr>
          <w:rFonts w:ascii="Times New Roman" w:eastAsia="Times New Roman" w:hAnsi="Times New Roman"/>
        </w:rPr>
        <w:t xml:space="preserve">  </w:t>
      </w:r>
    </w:p>
    <w:p w14:paraId="2A123CD0" w14:textId="199A64C3" w:rsidR="00EB0921" w:rsidRPr="0059240B" w:rsidRDefault="00EB0921" w:rsidP="00EB0921">
      <w:pPr>
        <w:spacing w:after="220" w:line="240" w:lineRule="auto"/>
        <w:ind w:left="1440"/>
        <w:rPr>
          <w:rFonts w:ascii="Times New Roman" w:eastAsia="Times New Roman" w:hAnsi="Times New Roman"/>
        </w:rPr>
      </w:pPr>
      <w:r w:rsidRPr="0059240B">
        <w:rPr>
          <w:rFonts w:ascii="Times New Roman" w:eastAsia="Times New Roman" w:hAnsi="Times New Roman"/>
        </w:rPr>
        <w:t>1. Compute R1 =</w:t>
      </w:r>
      <w:r w:rsidR="00C44687" w:rsidRPr="0059240B">
        <w:t xml:space="preserve"> </w:t>
      </w:r>
      <w:r w:rsidR="00C44687" w:rsidRPr="0059240B">
        <w:rPr>
          <w:rFonts w:ascii="Times New Roman" w:eastAsia="Times New Roman" w:hAnsi="Times New Roman"/>
        </w:rPr>
        <w:t xml:space="preserve">the reserve as of January 1, 2020 following the VM-21 requirements applicable </w:t>
      </w:r>
      <w:r w:rsidR="00DF20C2" w:rsidRPr="0059240B">
        <w:rPr>
          <w:rFonts w:ascii="Times New Roman" w:eastAsia="Times New Roman" w:hAnsi="Times New Roman"/>
        </w:rPr>
        <w:t xml:space="preserve">in the 2020 NAIC </w:t>
      </w:r>
      <w:r w:rsidR="00DF20C2" w:rsidRPr="0059240B">
        <w:rPr>
          <w:rFonts w:ascii="Times New Roman" w:eastAsia="Times New Roman" w:hAnsi="Times New Roman"/>
          <w:i/>
        </w:rPr>
        <w:t>Valuation Manual</w:t>
      </w:r>
      <w:r w:rsidR="00DF20C2" w:rsidRPr="0059240B">
        <w:rPr>
          <w:rFonts w:ascii="Times New Roman" w:eastAsia="Times New Roman" w:hAnsi="Times New Roman"/>
        </w:rPr>
        <w:t xml:space="preserve"> </w:t>
      </w:r>
      <w:r w:rsidR="00C44687" w:rsidRPr="0059240B">
        <w:rPr>
          <w:rFonts w:ascii="Times New Roman" w:eastAsia="Times New Roman" w:hAnsi="Times New Roman"/>
        </w:rPr>
        <w:t xml:space="preserve">for all business in-force on the valuation date. The </w:t>
      </w:r>
      <w:r w:rsidR="00DD29B3" w:rsidRPr="0059240B">
        <w:rPr>
          <w:rFonts w:ascii="Times New Roman" w:eastAsia="Times New Roman" w:hAnsi="Times New Roman"/>
        </w:rPr>
        <w:t>in force</w:t>
      </w:r>
      <w:r w:rsidR="00C44687" w:rsidRPr="0059240B">
        <w:rPr>
          <w:rFonts w:ascii="Times New Roman" w:eastAsia="Times New Roman" w:hAnsi="Times New Roman"/>
        </w:rPr>
        <w:t xml:space="preserve"> used should include any reinsurance that is expected to be recaptured during 2020</w:t>
      </w:r>
      <w:r w:rsidRPr="0059240B">
        <w:rPr>
          <w:rFonts w:ascii="Times New Roman" w:hAnsi="Times New Roman"/>
        </w:rPr>
        <w:t xml:space="preserve">.  </w:t>
      </w:r>
    </w:p>
    <w:p w14:paraId="18B3B0A9" w14:textId="53183A52" w:rsidR="00EB0921" w:rsidRPr="0059240B" w:rsidRDefault="00EB0921" w:rsidP="00EB0921">
      <w:pPr>
        <w:spacing w:after="220" w:line="240" w:lineRule="auto"/>
        <w:ind w:left="1440"/>
        <w:rPr>
          <w:rFonts w:ascii="Times New Roman" w:eastAsia="Times New Roman" w:hAnsi="Times New Roman"/>
        </w:rPr>
      </w:pPr>
      <w:r w:rsidRPr="0059240B">
        <w:rPr>
          <w:rFonts w:ascii="Times New Roman" w:eastAsia="Times New Roman" w:hAnsi="Times New Roman"/>
        </w:rPr>
        <w:t>2. Separately</w:t>
      </w:r>
      <w:r w:rsidR="008A716B" w:rsidRPr="0059240B">
        <w:rPr>
          <w:rFonts w:ascii="Times New Roman" w:eastAsia="Times New Roman" w:hAnsi="Times New Roman"/>
        </w:rPr>
        <w:t>,</w:t>
      </w:r>
      <w:r w:rsidRPr="0059240B">
        <w:rPr>
          <w:rFonts w:ascii="Times New Roman" w:eastAsia="Times New Roman" w:hAnsi="Times New Roman"/>
        </w:rPr>
        <w:t xml:space="preserve"> compute R2 = the reserve as of </w:t>
      </w:r>
      <w:r w:rsidR="008A716B" w:rsidRPr="0059240B">
        <w:rPr>
          <w:rFonts w:ascii="Times New Roman" w:eastAsia="Times New Roman" w:hAnsi="Times New Roman"/>
        </w:rPr>
        <w:t xml:space="preserve">January 1, 2020 </w:t>
      </w:r>
      <w:r w:rsidRPr="0059240B">
        <w:rPr>
          <w:rFonts w:ascii="Times New Roman" w:eastAsia="Times New Roman" w:hAnsi="Times New Roman"/>
        </w:rPr>
        <w:t xml:space="preserve">following the </w:t>
      </w:r>
      <w:r w:rsidR="008A716B" w:rsidRPr="0059240B">
        <w:rPr>
          <w:rFonts w:ascii="Times New Roman" w:eastAsia="Times New Roman" w:hAnsi="Times New Roman"/>
        </w:rPr>
        <w:t>VM-21</w:t>
      </w:r>
      <w:r w:rsidRPr="0059240B">
        <w:rPr>
          <w:rFonts w:ascii="Times New Roman" w:eastAsia="Times New Roman" w:hAnsi="Times New Roman"/>
        </w:rPr>
        <w:t xml:space="preserve"> requirements </w:t>
      </w:r>
      <w:r w:rsidR="008A716B" w:rsidRPr="0059240B">
        <w:rPr>
          <w:rFonts w:ascii="Times New Roman" w:eastAsia="Times New Roman" w:hAnsi="Times New Roman"/>
        </w:rPr>
        <w:t xml:space="preserve">applicable </w:t>
      </w:r>
      <w:r w:rsidRPr="0059240B">
        <w:rPr>
          <w:rFonts w:ascii="Times New Roman" w:eastAsia="Times New Roman" w:hAnsi="Times New Roman"/>
        </w:rPr>
        <w:t xml:space="preserve">in the 2019 NAIC </w:t>
      </w:r>
      <w:r w:rsidRPr="0059240B">
        <w:rPr>
          <w:rFonts w:ascii="Times New Roman" w:eastAsia="Times New Roman" w:hAnsi="Times New Roman"/>
          <w:i/>
        </w:rPr>
        <w:t>Valuation Manual</w:t>
      </w:r>
      <w:r w:rsidRPr="0059240B">
        <w:rPr>
          <w:rFonts w:ascii="Times New Roman" w:eastAsia="Times New Roman" w:hAnsi="Times New Roman"/>
        </w:rPr>
        <w:t xml:space="preserve"> for the same in-force contracts used to compute R1</w:t>
      </w:r>
      <w:r w:rsidR="008A716B" w:rsidRPr="0059240B">
        <w:rPr>
          <w:rFonts w:ascii="Times New Roman" w:eastAsia="Times New Roman" w:hAnsi="Times New Roman"/>
        </w:rPr>
        <w:t>.</w:t>
      </w:r>
      <w:r w:rsidRPr="0059240B">
        <w:rPr>
          <w:rFonts w:ascii="Times New Roman" w:eastAsia="Times New Roman" w:hAnsi="Times New Roman"/>
        </w:rPr>
        <w:t xml:space="preserve"> </w:t>
      </w:r>
    </w:p>
    <w:p w14:paraId="7D433F86" w14:textId="4B5886F6" w:rsidR="00EB0921" w:rsidRPr="0059240B" w:rsidRDefault="00DF20C2" w:rsidP="00EB0921">
      <w:pPr>
        <w:spacing w:after="220" w:line="240" w:lineRule="auto"/>
        <w:ind w:left="1440"/>
        <w:rPr>
          <w:rFonts w:ascii="Times New Roman" w:eastAsia="Times New Roman" w:hAnsi="Times New Roman"/>
        </w:rPr>
      </w:pPr>
      <w:r w:rsidRPr="0059240B">
        <w:rPr>
          <w:rFonts w:ascii="Times New Roman" w:eastAsia="Times New Roman" w:hAnsi="Times New Roman"/>
        </w:rPr>
        <w:t>3.</w:t>
      </w:r>
      <w:r w:rsidR="00EB0921" w:rsidRPr="0059240B">
        <w:rPr>
          <w:rFonts w:ascii="Times New Roman" w:eastAsia="Times New Roman" w:hAnsi="Times New Roman"/>
        </w:rPr>
        <w:t xml:space="preserve"> Compute the reported reserve </w:t>
      </w:r>
      <w:r w:rsidRPr="0059240B">
        <w:rPr>
          <w:rFonts w:ascii="Times New Roman" w:eastAsia="Times New Roman" w:hAnsi="Times New Roman"/>
        </w:rPr>
        <w:t xml:space="preserve">on the valuation date </w:t>
      </w:r>
      <w:r w:rsidR="00EB0921" w:rsidRPr="0059240B">
        <w:rPr>
          <w:rFonts w:ascii="Times New Roman" w:eastAsia="Times New Roman" w:hAnsi="Times New Roman"/>
        </w:rPr>
        <w:t>as follows:</w:t>
      </w:r>
    </w:p>
    <w:p w14:paraId="17E8E201" w14:textId="2121713A" w:rsidR="00EB0921" w:rsidRPr="0059240B" w:rsidRDefault="00EB0921" w:rsidP="00EB0921">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Reserve = </w:t>
      </w:r>
      <w:r w:rsidR="001758A0" w:rsidRPr="0059240B">
        <w:rPr>
          <w:rFonts w:ascii="Times New Roman" w:eastAsia="Times New Roman" w:hAnsi="Times New Roman"/>
        </w:rPr>
        <w:t>D</w:t>
      </w:r>
      <w:r w:rsidRPr="0059240B">
        <w:rPr>
          <w:rFonts w:ascii="Times New Roman" w:eastAsia="Times New Roman" w:hAnsi="Times New Roman"/>
        </w:rPr>
        <w:t xml:space="preserve"> </w:t>
      </w:r>
      <w:r w:rsidR="0049014F" w:rsidRPr="0059240B">
        <w:rPr>
          <w:rFonts w:ascii="Times New Roman" w:eastAsia="Times New Roman" w:hAnsi="Times New Roman"/>
        </w:rPr>
        <w:t>-</w:t>
      </w:r>
      <w:r w:rsidR="008A716B" w:rsidRPr="0059240B">
        <w:rPr>
          <w:rFonts w:ascii="Times New Roman" w:eastAsia="Times New Roman" w:hAnsi="Times New Roman"/>
        </w:rPr>
        <w:t xml:space="preserve"> </w:t>
      </w:r>
      <w:r w:rsidRPr="0059240B">
        <w:rPr>
          <w:rFonts w:ascii="Times New Roman" w:eastAsia="Times New Roman" w:hAnsi="Times New Roman"/>
        </w:rPr>
        <w:t>(B-A)</w:t>
      </w:r>
      <w:r w:rsidR="00743604" w:rsidRPr="0059240B">
        <w:rPr>
          <w:rFonts w:ascii="Times New Roman" w:eastAsia="Times New Roman" w:hAnsi="Times New Roman"/>
        </w:rPr>
        <w:t xml:space="preserve"> </w:t>
      </w:r>
      <w:r w:rsidRPr="0059240B">
        <w:rPr>
          <w:rFonts w:ascii="Times New Roman" w:eastAsia="Times New Roman" w:hAnsi="Times New Roman"/>
        </w:rPr>
        <w:t>*</w:t>
      </w:r>
      <w:r w:rsidR="00743604" w:rsidRPr="0059240B">
        <w:rPr>
          <w:rFonts w:ascii="Times New Roman" w:eastAsia="Times New Roman" w:hAnsi="Times New Roman"/>
        </w:rPr>
        <w:t xml:space="preserve"> </w:t>
      </w:r>
      <w:r w:rsidR="00FB05AF" w:rsidRPr="0059240B">
        <w:rPr>
          <w:rFonts w:ascii="Times New Roman" w:eastAsia="Times New Roman" w:hAnsi="Times New Roman"/>
        </w:rPr>
        <w:t>C</w:t>
      </w:r>
      <w:r w:rsidR="008A716B" w:rsidRPr="0059240B">
        <w:rPr>
          <w:rFonts w:ascii="Times New Roman" w:eastAsia="Times New Roman" w:hAnsi="Times New Roman"/>
        </w:rPr>
        <w:t xml:space="preserve"> </w:t>
      </w:r>
      <w:r w:rsidRPr="0059240B">
        <w:rPr>
          <w:rFonts w:ascii="Times New Roman" w:eastAsia="Times New Roman" w:hAnsi="Times New Roman"/>
        </w:rPr>
        <w:t>/B, where</w:t>
      </w:r>
    </w:p>
    <w:p w14:paraId="5C33109C" w14:textId="63823F71" w:rsidR="00EB0921" w:rsidRPr="0059240B" w:rsidRDefault="00EB0921" w:rsidP="00E87EFC">
      <w:pPr>
        <w:pStyle w:val="ListParagraph"/>
        <w:numPr>
          <w:ilvl w:val="0"/>
          <w:numId w:val="28"/>
        </w:numPr>
        <w:spacing w:after="220" w:line="240" w:lineRule="auto"/>
        <w:rPr>
          <w:rFonts w:ascii="Times New Roman" w:eastAsia="Times New Roman" w:hAnsi="Times New Roman"/>
        </w:rPr>
      </w:pPr>
      <w:r w:rsidRPr="0059240B">
        <w:rPr>
          <w:rFonts w:ascii="Times New Roman" w:eastAsia="Times New Roman" w:hAnsi="Times New Roman"/>
        </w:rPr>
        <w:t>A is the number of months that ha</w:t>
      </w:r>
      <w:r w:rsidR="004665A7" w:rsidRPr="0059240B">
        <w:rPr>
          <w:rFonts w:ascii="Times New Roman" w:eastAsia="Times New Roman" w:hAnsi="Times New Roman"/>
        </w:rPr>
        <w:t>ve</w:t>
      </w:r>
      <w:r w:rsidRPr="0059240B">
        <w:rPr>
          <w:rFonts w:ascii="Times New Roman" w:eastAsia="Times New Roman" w:hAnsi="Times New Roman"/>
        </w:rPr>
        <w:t xml:space="preserve"> elapsed since December 31, 2019. For example, for the March 31, 2020 valuation, A = 3.</w:t>
      </w:r>
    </w:p>
    <w:p w14:paraId="2E111F1E" w14:textId="5B37A39E" w:rsidR="00EB0921" w:rsidRPr="0059240B" w:rsidRDefault="00EB0921" w:rsidP="00E87EFC">
      <w:pPr>
        <w:pStyle w:val="ListParagraph"/>
        <w:numPr>
          <w:ilvl w:val="0"/>
          <w:numId w:val="28"/>
        </w:numPr>
        <w:spacing w:after="220" w:line="240" w:lineRule="auto"/>
        <w:rPr>
          <w:rFonts w:ascii="Times New Roman" w:eastAsia="Times New Roman" w:hAnsi="Times New Roman"/>
        </w:rPr>
      </w:pPr>
      <w:r w:rsidRPr="0059240B">
        <w:rPr>
          <w:rFonts w:ascii="Times New Roman" w:eastAsia="Times New Roman" w:hAnsi="Times New Roman"/>
        </w:rPr>
        <w:t>B = 36 unless the company has obtained approval for a longer phase-in, in which case B = number of months of approved phase-in</w:t>
      </w:r>
    </w:p>
    <w:p w14:paraId="008CCA74" w14:textId="2D4F1C44" w:rsidR="008A716B" w:rsidRPr="0059240B" w:rsidRDefault="008A716B" w:rsidP="00E87EFC">
      <w:pPr>
        <w:pStyle w:val="ListParagraph"/>
        <w:numPr>
          <w:ilvl w:val="0"/>
          <w:numId w:val="28"/>
        </w:numPr>
        <w:spacing w:after="220" w:line="240" w:lineRule="auto"/>
        <w:rPr>
          <w:rFonts w:ascii="Times New Roman" w:eastAsia="Times New Roman" w:hAnsi="Times New Roman"/>
        </w:rPr>
      </w:pPr>
      <w:r w:rsidRPr="0059240B">
        <w:rPr>
          <w:rFonts w:ascii="Times New Roman" w:hAnsi="Times New Roman"/>
        </w:rPr>
        <w:lastRenderedPageBreak/>
        <w:t>C = R1 minus R2</w:t>
      </w:r>
    </w:p>
    <w:p w14:paraId="4EFC2D2D" w14:textId="6459579B" w:rsidR="001758A0" w:rsidRPr="0059240B" w:rsidRDefault="001758A0" w:rsidP="00E87EFC">
      <w:pPr>
        <w:pStyle w:val="ListParagraph"/>
        <w:numPr>
          <w:ilvl w:val="0"/>
          <w:numId w:val="28"/>
        </w:numPr>
        <w:spacing w:after="220" w:line="240" w:lineRule="auto"/>
        <w:rPr>
          <w:rFonts w:ascii="Times New Roman" w:eastAsia="Times New Roman" w:hAnsi="Times New Roman"/>
        </w:rPr>
      </w:pPr>
      <w:r w:rsidRPr="0059240B">
        <w:rPr>
          <w:rFonts w:ascii="Times New Roman" w:hAnsi="Times New Roman"/>
        </w:rPr>
        <w:t xml:space="preserve">D </w:t>
      </w:r>
      <w:r w:rsidR="00DF20C2" w:rsidRPr="0059240B">
        <w:rPr>
          <w:rFonts w:ascii="Times New Roman" w:hAnsi="Times New Roman"/>
        </w:rPr>
        <w:t>is t</w:t>
      </w:r>
      <w:r w:rsidRPr="0059240B">
        <w:rPr>
          <w:rFonts w:ascii="Times New Roman" w:hAnsi="Times New Roman"/>
        </w:rPr>
        <w:t>he</w:t>
      </w:r>
      <w:r w:rsidRPr="0059240B">
        <w:t xml:space="preserve"> </w:t>
      </w:r>
      <w:r w:rsidRPr="0059240B">
        <w:rPr>
          <w:rFonts w:ascii="Times New Roman" w:hAnsi="Times New Roman"/>
        </w:rPr>
        <w:t xml:space="preserve">reserve on the valuation date </w:t>
      </w:r>
      <w:r w:rsidR="00DF20C2" w:rsidRPr="0059240B">
        <w:rPr>
          <w:rFonts w:ascii="Times New Roman" w:hAnsi="Times New Roman"/>
        </w:rPr>
        <w:t xml:space="preserve">determined </w:t>
      </w:r>
      <w:r w:rsidRPr="0059240B">
        <w:rPr>
          <w:rFonts w:ascii="Times New Roman" w:hAnsi="Times New Roman"/>
        </w:rPr>
        <w:t>according to the</w:t>
      </w:r>
      <w:r w:rsidR="00DF20C2" w:rsidRPr="0059240B">
        <w:rPr>
          <w:rFonts w:ascii="Times New Roman" w:hAnsi="Times New Roman"/>
        </w:rPr>
        <w:t>se</w:t>
      </w:r>
      <w:r w:rsidRPr="0059240B">
        <w:rPr>
          <w:rFonts w:ascii="Times New Roman" w:hAnsi="Times New Roman"/>
        </w:rPr>
        <w:t xml:space="preserve"> requirements, </w:t>
      </w:r>
      <w:r w:rsidR="00DF20C2" w:rsidRPr="0059240B">
        <w:rPr>
          <w:rFonts w:ascii="Times New Roman" w:hAnsi="Times New Roman"/>
        </w:rPr>
        <w:t>prior to the p</w:t>
      </w:r>
      <w:r w:rsidRPr="0059240B">
        <w:rPr>
          <w:rFonts w:ascii="Times New Roman" w:hAnsi="Times New Roman"/>
        </w:rPr>
        <w:t>hase-in adjustment.</w:t>
      </w:r>
    </w:p>
    <w:p w14:paraId="7F4C58DB" w14:textId="77777777" w:rsidR="00EB0921" w:rsidRPr="0059240B" w:rsidRDefault="00EB0921" w:rsidP="005F7412">
      <w:pPr>
        <w:spacing w:after="220" w:line="240" w:lineRule="auto"/>
        <w:ind w:left="720"/>
        <w:rPr>
          <w:rFonts w:ascii="Times New Roman" w:eastAsia="Times New Roman" w:hAnsi="Times New Roman"/>
        </w:rPr>
      </w:pPr>
    </w:p>
    <w:p w14:paraId="3740B5A7" w14:textId="7889F150" w:rsidR="005F7412" w:rsidRPr="0059240B" w:rsidRDefault="005F7412" w:rsidP="00067EEF">
      <w:pPr>
        <w:spacing w:after="220" w:line="240" w:lineRule="auto"/>
        <w:ind w:left="720"/>
        <w:rPr>
          <w:rFonts w:ascii="Times New Roman" w:eastAsia="Times New Roman" w:hAnsi="Times New Roman"/>
        </w:rPr>
      </w:pPr>
      <w:r w:rsidRPr="0059240B">
        <w:rPr>
          <w:rFonts w:ascii="Times New Roman" w:eastAsia="Times New Roman" w:hAnsi="Times New Roman"/>
        </w:rPr>
        <w:t>A company may elect to apply</w:t>
      </w:r>
      <w:r w:rsidR="004665A7" w:rsidRPr="0059240B">
        <w:rPr>
          <w:rFonts w:ascii="Times New Roman" w:eastAsia="Times New Roman" w:hAnsi="Times New Roman"/>
        </w:rPr>
        <w:t xml:space="preserve"> the VM-21 requirements applicable to the 2020 NAIC </w:t>
      </w:r>
      <w:r w:rsidR="004665A7" w:rsidRPr="0059240B">
        <w:rPr>
          <w:rFonts w:ascii="Times New Roman" w:eastAsia="Times New Roman" w:hAnsi="Times New Roman"/>
          <w:i/>
        </w:rPr>
        <w:t>Valuation Manual</w:t>
      </w:r>
      <w:r w:rsidRPr="0059240B">
        <w:rPr>
          <w:rFonts w:ascii="Times New Roman" w:eastAsia="Times New Roman" w:hAnsi="Times New Roman"/>
        </w:rPr>
        <w:t xml:space="preserve"> as the </w:t>
      </w:r>
      <w:r w:rsidR="009B3465" w:rsidRPr="0059240B">
        <w:rPr>
          <w:rFonts w:ascii="Times New Roman" w:eastAsia="Times New Roman" w:hAnsi="Times New Roman"/>
          <w:i/>
        </w:rPr>
        <w:t>Valuation Manual</w:t>
      </w:r>
      <w:r w:rsidR="009B3465" w:rsidRPr="0059240B">
        <w:rPr>
          <w:rFonts w:ascii="Times New Roman" w:eastAsia="Times New Roman" w:hAnsi="Times New Roman"/>
        </w:rPr>
        <w:t xml:space="preserve"> </w:t>
      </w:r>
      <w:r w:rsidRPr="0059240B">
        <w:rPr>
          <w:rFonts w:ascii="Times New Roman" w:eastAsia="Times New Roman" w:hAnsi="Times New Roman"/>
        </w:rPr>
        <w:t xml:space="preserve">requirements for the valuation on December 31, 2019. </w:t>
      </w:r>
      <w:r w:rsidR="001706FD" w:rsidRPr="0059240B">
        <w:rPr>
          <w:rFonts w:ascii="Times New Roman" w:eastAsia="Times New Roman" w:hAnsi="Times New Roman"/>
        </w:rPr>
        <w:t>For such election, the phase-in provision of Section 2.B may not be elected.</w:t>
      </w:r>
      <w:r w:rsidRPr="0059240B">
        <w:rPr>
          <w:rFonts w:ascii="Times New Roman" w:eastAsia="Times New Roman" w:hAnsi="Times New Roman"/>
        </w:rPr>
        <w:t xml:space="preserve"> Any company electing </w:t>
      </w:r>
      <w:r w:rsidR="001706FD" w:rsidRPr="0059240B">
        <w:rPr>
          <w:rFonts w:ascii="Times New Roman" w:eastAsia="Times New Roman" w:hAnsi="Times New Roman"/>
        </w:rPr>
        <w:t>early adoption of VM-21shall also:</w:t>
      </w:r>
    </w:p>
    <w:p w14:paraId="7F2D37EC" w14:textId="46DFE306" w:rsidR="001706FD" w:rsidRPr="0059240B" w:rsidRDefault="001706FD" w:rsidP="001706FD">
      <w:pPr>
        <w:pStyle w:val="ListParagraph"/>
        <w:numPr>
          <w:ilvl w:val="0"/>
          <w:numId w:val="207"/>
        </w:numPr>
        <w:spacing w:after="220" w:line="240" w:lineRule="auto"/>
        <w:rPr>
          <w:rFonts w:ascii="Times New Roman" w:eastAsia="Times New Roman" w:hAnsi="Times New Roman"/>
        </w:rPr>
      </w:pPr>
      <w:r w:rsidRPr="0059240B">
        <w:rPr>
          <w:rFonts w:ascii="Times New Roman" w:eastAsia="Times New Roman" w:hAnsi="Times New Roman"/>
        </w:rPr>
        <w:t>apply the provisions of Actuarial Guideline XLIII as amended for 2020 to the December 31, 2019 valuation of contracts within the scope of that guideline,</w:t>
      </w:r>
    </w:p>
    <w:p w14:paraId="161534C6" w14:textId="475D585E" w:rsidR="001706FD" w:rsidRPr="0059240B" w:rsidRDefault="001706FD" w:rsidP="001706FD">
      <w:pPr>
        <w:pStyle w:val="ListParagraph"/>
        <w:numPr>
          <w:ilvl w:val="0"/>
          <w:numId w:val="207"/>
        </w:numPr>
        <w:spacing w:after="220" w:line="240" w:lineRule="auto"/>
        <w:rPr>
          <w:rFonts w:ascii="Times New Roman" w:eastAsia="Times New Roman" w:hAnsi="Times New Roman"/>
        </w:rPr>
      </w:pPr>
      <w:r w:rsidRPr="0059240B">
        <w:rPr>
          <w:rFonts w:ascii="Times New Roman" w:eastAsia="Times New Roman" w:hAnsi="Times New Roman"/>
        </w:rPr>
        <w:t>apply the Life RBC instructions for 2020 in the calculation of C-3 RBC in LR027 for 2019,</w:t>
      </w:r>
    </w:p>
    <w:p w14:paraId="6313D8DA" w14:textId="0B5CC29D" w:rsidR="001706FD" w:rsidRPr="0059240B" w:rsidRDefault="001706FD" w:rsidP="001706FD">
      <w:pPr>
        <w:pStyle w:val="ListParagraph"/>
        <w:numPr>
          <w:ilvl w:val="0"/>
          <w:numId w:val="207"/>
        </w:numPr>
        <w:spacing w:after="220" w:line="240" w:lineRule="auto"/>
        <w:rPr>
          <w:rFonts w:ascii="Times New Roman" w:eastAsia="Times New Roman" w:hAnsi="Times New Roman"/>
        </w:rPr>
      </w:pPr>
      <w:r w:rsidRPr="0059240B">
        <w:rPr>
          <w:rFonts w:ascii="Times New Roman" w:eastAsia="Times New Roman" w:hAnsi="Times New Roman"/>
        </w:rPr>
        <w:t>follow the documentation and certification requirements of VM-31 from the 2020 Valuation Manual for the Variable Annuity Business. In the VA Summary, clearly indicate the use of the new requirements in the section on change in methods from prior year, and</w:t>
      </w:r>
    </w:p>
    <w:p w14:paraId="00A2C500" w14:textId="03AFF16C" w:rsidR="001706FD" w:rsidRPr="0059240B" w:rsidRDefault="001706FD" w:rsidP="001706FD">
      <w:pPr>
        <w:pStyle w:val="ListParagraph"/>
        <w:numPr>
          <w:ilvl w:val="0"/>
          <w:numId w:val="207"/>
        </w:numPr>
        <w:spacing w:after="220" w:line="240" w:lineRule="auto"/>
        <w:rPr>
          <w:rFonts w:ascii="Times New Roman" w:eastAsia="Times New Roman" w:hAnsi="Times New Roman"/>
        </w:rPr>
      </w:pPr>
      <w:r w:rsidRPr="0059240B">
        <w:rPr>
          <w:rFonts w:ascii="Times New Roman" w:eastAsia="Times New Roman" w:hAnsi="Times New Roman"/>
        </w:rPr>
        <w:t>notify the Commissioner of the state of domicile of such elections.</w:t>
      </w:r>
    </w:p>
    <w:p w14:paraId="7E663303" w14:textId="77777777" w:rsidR="001706FD" w:rsidRPr="0059240B" w:rsidRDefault="001706FD" w:rsidP="00067EEF">
      <w:pPr>
        <w:spacing w:after="220" w:line="240" w:lineRule="auto"/>
        <w:ind w:left="720"/>
        <w:rPr>
          <w:rFonts w:ascii="Times New Roman" w:eastAsia="Times New Roman" w:hAnsi="Times New Roman"/>
        </w:rPr>
      </w:pPr>
    </w:p>
    <w:p w14:paraId="3AE136A9" w14:textId="77777777" w:rsidR="00B4207B" w:rsidRPr="0059240B" w:rsidRDefault="00B4207B" w:rsidP="00B4207B">
      <w:pPr>
        <w:tabs>
          <w:tab w:val="left" w:pos="2160"/>
        </w:tabs>
        <w:spacing w:after="220" w:line="240" w:lineRule="auto"/>
        <w:ind w:left="2160" w:hanging="720"/>
        <w:jc w:val="both"/>
        <w:rPr>
          <w:rFonts w:ascii="Times New Roman" w:eastAsia="Times New Roman" w:hAnsi="Times New Roman"/>
        </w:rPr>
      </w:pPr>
      <w:bookmarkStart w:id="2" w:name="_Section_2._Reserve_1"/>
      <w:bookmarkEnd w:id="2"/>
    </w:p>
    <w:p w14:paraId="22366C8A" w14:textId="61CE71A4" w:rsidR="0021502F" w:rsidRPr="0059240B" w:rsidRDefault="0021502F" w:rsidP="00B4207B">
      <w:pPr>
        <w:pStyle w:val="Heading3"/>
        <w:spacing w:after="220"/>
        <w:rPr>
          <w:sz w:val="22"/>
          <w:szCs w:val="22"/>
        </w:rPr>
      </w:pPr>
      <w:r w:rsidRPr="0059240B">
        <w:rPr>
          <w:b w:val="0"/>
        </w:rPr>
        <w:t xml:space="preserve">Section </w:t>
      </w:r>
      <w:r w:rsidR="00B4207B" w:rsidRPr="0059240B">
        <w:rPr>
          <w:b w:val="0"/>
        </w:rPr>
        <w:t>3</w:t>
      </w:r>
      <w:r w:rsidRPr="0059240B">
        <w:rPr>
          <w:sz w:val="22"/>
          <w:szCs w:val="22"/>
        </w:rPr>
        <w:t>: Reserve Methodology</w:t>
      </w:r>
    </w:p>
    <w:p w14:paraId="1CEEBE5B" w14:textId="47EA8E93" w:rsidR="0021502F" w:rsidRPr="0059240B" w:rsidRDefault="007E2231"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59240B">
        <w:rPr>
          <w:rFonts w:ascii="Times New Roman" w:eastAsia="Times New Roman" w:hAnsi="Times New Roman"/>
        </w:rPr>
        <w:t>Aggregate Reserve</w:t>
      </w:r>
    </w:p>
    <w:p w14:paraId="0E0962D5" w14:textId="6C53870D" w:rsidR="0021502F" w:rsidRPr="0059240B" w:rsidRDefault="0021502F" w:rsidP="00067EEF">
      <w:pPr>
        <w:pStyle w:val="ListParagraph"/>
        <w:spacing w:after="220" w:line="240" w:lineRule="auto"/>
        <w:contextualSpacing w:val="0"/>
        <w:rPr>
          <w:rFonts w:ascii="Times New Roman" w:eastAsia="Times New Roman" w:hAnsi="Times New Roman"/>
        </w:rPr>
      </w:pPr>
      <w:r w:rsidRPr="0059240B">
        <w:rPr>
          <w:rFonts w:ascii="Times New Roman" w:eastAsia="Times New Roman" w:hAnsi="Times New Roman"/>
        </w:rPr>
        <w:t xml:space="preserve">The </w:t>
      </w:r>
      <w:r w:rsidR="00151A1B" w:rsidRPr="0059240B">
        <w:rPr>
          <w:rFonts w:ascii="Times New Roman" w:eastAsia="Times New Roman" w:hAnsi="Times New Roman"/>
        </w:rPr>
        <w:t xml:space="preserve">aggregate reserve </w:t>
      </w:r>
      <w:r w:rsidRPr="0059240B">
        <w:rPr>
          <w:rFonts w:ascii="Times New Roman" w:eastAsia="Times New Roman" w:hAnsi="Times New Roman"/>
        </w:rPr>
        <w:t xml:space="preserve">for contracts falling within the scope of these requirements shall equal the </w:t>
      </w:r>
      <w:r w:rsidR="006D05BD" w:rsidRPr="0059240B">
        <w:rPr>
          <w:rFonts w:ascii="Times New Roman" w:eastAsia="Times New Roman" w:hAnsi="Times New Roman"/>
        </w:rPr>
        <w:t xml:space="preserve">stochastic reserve (following the requirements of Section 4) plus </w:t>
      </w:r>
      <w:r w:rsidRPr="0059240B">
        <w:rPr>
          <w:rFonts w:ascii="Times New Roman" w:eastAsia="Times New Roman" w:hAnsi="Times New Roman"/>
        </w:rPr>
        <w:t xml:space="preserve">the </w:t>
      </w:r>
      <w:r w:rsidR="006D05BD" w:rsidRPr="0059240B">
        <w:rPr>
          <w:rFonts w:ascii="Times New Roman" w:eastAsia="Times New Roman" w:hAnsi="Times New Roman"/>
        </w:rPr>
        <w:t xml:space="preserve">additional </w:t>
      </w:r>
      <w:r w:rsidR="00151A1B" w:rsidRPr="0059240B">
        <w:rPr>
          <w:rFonts w:ascii="Times New Roman" w:eastAsia="Times New Roman" w:hAnsi="Times New Roman"/>
        </w:rPr>
        <w:t xml:space="preserve">standard </w:t>
      </w:r>
      <w:r w:rsidR="006D05BD" w:rsidRPr="0059240B">
        <w:rPr>
          <w:rFonts w:ascii="Times New Roman" w:eastAsia="Times New Roman" w:hAnsi="Times New Roman"/>
        </w:rPr>
        <w:t>projection</w:t>
      </w:r>
      <w:r w:rsidR="00151A1B" w:rsidRPr="0059240B">
        <w:rPr>
          <w:rFonts w:ascii="Times New Roman" w:eastAsia="Times New Roman" w:hAnsi="Times New Roman"/>
        </w:rPr>
        <w:t xml:space="preserve"> amount</w:t>
      </w:r>
      <w:r w:rsidR="00516942" w:rsidRPr="0059240B">
        <w:rPr>
          <w:rFonts w:ascii="Times New Roman" w:eastAsia="Times New Roman" w:hAnsi="Times New Roman"/>
        </w:rPr>
        <w:t xml:space="preserve"> </w:t>
      </w:r>
      <w:r w:rsidR="006D05BD" w:rsidRPr="0059240B">
        <w:rPr>
          <w:rFonts w:ascii="Times New Roman" w:eastAsia="Times New Roman" w:hAnsi="Times New Roman"/>
        </w:rPr>
        <w:t>(following the requirements of Section 6) less any</w:t>
      </w:r>
      <w:r w:rsidR="00516942" w:rsidRPr="0059240B">
        <w:rPr>
          <w:rFonts w:ascii="Times New Roman" w:eastAsia="Times New Roman" w:hAnsi="Times New Roman"/>
        </w:rPr>
        <w:t xml:space="preserve"> applicable</w:t>
      </w:r>
      <w:r w:rsidR="006D05BD" w:rsidRPr="0059240B">
        <w:rPr>
          <w:rFonts w:ascii="Times New Roman" w:eastAsia="Times New Roman" w:hAnsi="Times New Roman"/>
        </w:rPr>
        <w:t xml:space="preserve"> PIMR for all contracts not valued under the Alternative Methodology (Section 7)</w:t>
      </w:r>
      <w:r w:rsidRPr="0059240B">
        <w:rPr>
          <w:rFonts w:ascii="Times New Roman" w:eastAsia="Times New Roman" w:hAnsi="Times New Roman"/>
        </w:rPr>
        <w:t xml:space="preserve">, </w:t>
      </w:r>
      <w:r w:rsidR="006D05BD" w:rsidRPr="0059240B">
        <w:t xml:space="preserve"> </w:t>
      </w:r>
      <w:r w:rsidR="006D05BD" w:rsidRPr="0059240B">
        <w:rPr>
          <w:rFonts w:ascii="Times New Roman" w:eastAsia="Times New Roman" w:hAnsi="Times New Roman"/>
        </w:rPr>
        <w:t>plus the reserve for any contracts determined using the Alternative Methodology (following the requirements of Section 7)</w:t>
      </w:r>
      <w:r w:rsidRPr="0059240B">
        <w:rPr>
          <w:rFonts w:ascii="Times New Roman" w:eastAsia="Times New Roman" w:hAnsi="Times New Roman"/>
        </w:rPr>
        <w:t>.</w:t>
      </w:r>
      <w:r w:rsidR="004B346F" w:rsidRPr="0059240B">
        <w:rPr>
          <w:rFonts w:ascii="Times New Roman" w:eastAsia="Times New Roman" w:hAnsi="Times New Roman"/>
        </w:rPr>
        <w:t xml:space="preserve"> </w:t>
      </w:r>
    </w:p>
    <w:p w14:paraId="19213A95" w14:textId="77777777" w:rsidR="0021502F" w:rsidRPr="0059240B"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59240B">
        <w:rPr>
          <w:rFonts w:ascii="Times New Roman" w:eastAsia="Times New Roman" w:hAnsi="Times New Roman"/>
        </w:rPr>
        <w:t>Impact of Reinsurance Ceded</w:t>
      </w:r>
    </w:p>
    <w:p w14:paraId="2AD11842" w14:textId="75BE66C4" w:rsidR="0021502F" w:rsidRPr="0059240B" w:rsidRDefault="0021502F" w:rsidP="00067EEF">
      <w:pPr>
        <w:pStyle w:val="ListParagraph"/>
        <w:spacing w:after="220" w:line="240" w:lineRule="auto"/>
        <w:contextualSpacing w:val="0"/>
        <w:rPr>
          <w:rFonts w:ascii="Times New Roman" w:eastAsia="Times New Roman" w:hAnsi="Times New Roman"/>
        </w:rPr>
      </w:pPr>
      <w:r w:rsidRPr="0059240B">
        <w:rPr>
          <w:rFonts w:ascii="Times New Roman" w:eastAsia="Times New Roman" w:hAnsi="Times New Roman"/>
        </w:rPr>
        <w:t xml:space="preserve">Where reinsurance is ceded for all or a portion of the contracts, </w:t>
      </w:r>
      <w:r w:rsidR="00DE5A16" w:rsidRPr="0059240B">
        <w:rPr>
          <w:rFonts w:ascii="Times New Roman" w:eastAsia="Times New Roman" w:hAnsi="Times New Roman"/>
        </w:rPr>
        <w:t xml:space="preserve">all </w:t>
      </w:r>
      <w:r w:rsidRPr="0059240B">
        <w:rPr>
          <w:rFonts w:ascii="Times New Roman" w:eastAsia="Times New Roman" w:hAnsi="Times New Roman"/>
        </w:rPr>
        <w:t xml:space="preserve">components in the </w:t>
      </w:r>
      <w:r w:rsidR="00151A1B" w:rsidRPr="0059240B">
        <w:rPr>
          <w:rFonts w:ascii="Times New Roman" w:eastAsia="Times New Roman" w:hAnsi="Times New Roman"/>
        </w:rPr>
        <w:t>aggregate reserve</w:t>
      </w:r>
      <w:r w:rsidRPr="0059240B">
        <w:rPr>
          <w:rFonts w:ascii="Times New Roman" w:eastAsia="Times New Roman" w:hAnsi="Times New Roman"/>
        </w:rPr>
        <w:t xml:space="preserve"> shall be determined </w:t>
      </w:r>
      <w:r w:rsidR="003555F8" w:rsidRPr="0059240B">
        <w:rPr>
          <w:rFonts w:ascii="Times New Roman" w:eastAsia="Times New Roman" w:hAnsi="Times New Roman"/>
        </w:rPr>
        <w:t xml:space="preserve">post-reinsurance ceded, that is, </w:t>
      </w:r>
      <w:r w:rsidRPr="0059240B">
        <w:rPr>
          <w:rFonts w:ascii="Times New Roman" w:eastAsia="Times New Roman" w:hAnsi="Times New Roman"/>
        </w:rPr>
        <w:t>net of any reinsurance treaties that meet the statutory requirements that would allow the treaty to be accounted for as reinsurance</w:t>
      </w:r>
      <w:r w:rsidR="001D7FEE" w:rsidRPr="0059240B">
        <w:rPr>
          <w:rFonts w:ascii="Times New Roman" w:eastAsia="Times New Roman" w:hAnsi="Times New Roman"/>
        </w:rPr>
        <w:t>, and pre-reinsurance ceded, that is, ignoring such costs and benefits</w:t>
      </w:r>
      <w:r w:rsidRPr="0059240B">
        <w:rPr>
          <w:rFonts w:ascii="Times New Roman" w:eastAsia="Times New Roman" w:hAnsi="Times New Roman"/>
        </w:rPr>
        <w:t>.</w:t>
      </w:r>
    </w:p>
    <w:p w14:paraId="55A9FCFD" w14:textId="1842FA60" w:rsidR="00D670B1" w:rsidRPr="0059240B" w:rsidRDefault="00D670B1" w:rsidP="00067EEF">
      <w:pPr>
        <w:pStyle w:val="ListParagraph"/>
        <w:tabs>
          <w:tab w:val="left" w:pos="720"/>
        </w:tabs>
        <w:spacing w:after="220" w:line="240" w:lineRule="auto"/>
        <w:contextualSpacing w:val="0"/>
        <w:rPr>
          <w:rFonts w:ascii="Times New Roman" w:eastAsia="Times New Roman" w:hAnsi="Times New Roman"/>
        </w:rPr>
      </w:pPr>
    </w:p>
    <w:p w14:paraId="349AA48B" w14:textId="5C8BF084" w:rsidR="0021502F" w:rsidRPr="0059240B" w:rsidRDefault="0021502F" w:rsidP="00067EEF">
      <w:pPr>
        <w:pStyle w:val="ListParagraph"/>
        <w:keepNext/>
        <w:numPr>
          <w:ilvl w:val="0"/>
          <w:numId w:val="7"/>
        </w:numPr>
        <w:spacing w:after="220" w:line="240" w:lineRule="auto"/>
        <w:ind w:left="720" w:hanging="720"/>
        <w:contextualSpacing w:val="0"/>
        <w:rPr>
          <w:rFonts w:ascii="Times New Roman" w:eastAsia="Times New Roman" w:hAnsi="Times New Roman"/>
        </w:rPr>
      </w:pPr>
      <w:r w:rsidRPr="0059240B">
        <w:rPr>
          <w:rFonts w:ascii="Times New Roman" w:eastAsia="Times New Roman" w:hAnsi="Times New Roman"/>
        </w:rPr>
        <w:t>The</w:t>
      </w:r>
      <w:r w:rsidR="00500629" w:rsidRPr="0059240B">
        <w:rPr>
          <w:rFonts w:ascii="Times New Roman" w:eastAsia="Times New Roman" w:hAnsi="Times New Roman"/>
        </w:rPr>
        <w:t xml:space="preserve"> Additional</w:t>
      </w:r>
      <w:r w:rsidRPr="0059240B">
        <w:rPr>
          <w:rFonts w:ascii="Times New Roman" w:eastAsia="Times New Roman" w:hAnsi="Times New Roman"/>
        </w:rPr>
        <w:t xml:space="preserve"> Standard </w:t>
      </w:r>
      <w:r w:rsidR="00500629" w:rsidRPr="0059240B">
        <w:rPr>
          <w:rFonts w:ascii="Times New Roman" w:eastAsia="Times New Roman" w:hAnsi="Times New Roman"/>
        </w:rPr>
        <w:t xml:space="preserve">Projection </w:t>
      </w:r>
      <w:r w:rsidRPr="0059240B">
        <w:rPr>
          <w:rFonts w:ascii="Times New Roman" w:eastAsia="Times New Roman" w:hAnsi="Times New Roman"/>
        </w:rPr>
        <w:t>Amount</w:t>
      </w:r>
    </w:p>
    <w:p w14:paraId="2BA72FFB" w14:textId="05750D1F" w:rsidR="0021502F" w:rsidRPr="0059240B" w:rsidRDefault="0021502F" w:rsidP="00C27491">
      <w:pPr>
        <w:pStyle w:val="ListParagraph"/>
        <w:spacing w:after="220" w:line="240" w:lineRule="auto"/>
        <w:contextualSpacing w:val="0"/>
        <w:rPr>
          <w:rFonts w:ascii="Times New Roman" w:eastAsia="Times New Roman" w:hAnsi="Times New Roman"/>
        </w:rPr>
      </w:pPr>
      <w:r w:rsidRPr="0059240B">
        <w:rPr>
          <w:rFonts w:ascii="Times New Roman" w:eastAsia="Times New Roman" w:hAnsi="Times New Roman"/>
        </w:rPr>
        <w:t>The</w:t>
      </w:r>
      <w:r w:rsidR="00500629" w:rsidRPr="0059240B">
        <w:rPr>
          <w:rFonts w:ascii="Times New Roman" w:eastAsia="Times New Roman" w:hAnsi="Times New Roman"/>
        </w:rPr>
        <w:t xml:space="preserve"> additional</w:t>
      </w:r>
      <w:r w:rsidRPr="0059240B">
        <w:rPr>
          <w:rFonts w:ascii="Times New Roman" w:eastAsia="Times New Roman" w:hAnsi="Times New Roman"/>
        </w:rPr>
        <w:t xml:space="preserve"> </w:t>
      </w:r>
      <w:r w:rsidR="00004D48" w:rsidRPr="0059240B">
        <w:rPr>
          <w:rFonts w:ascii="Times New Roman" w:eastAsia="Times New Roman" w:hAnsi="Times New Roman"/>
        </w:rPr>
        <w:t xml:space="preserve">standard </w:t>
      </w:r>
      <w:r w:rsidR="00500629" w:rsidRPr="0059240B">
        <w:rPr>
          <w:rFonts w:ascii="Times New Roman" w:eastAsia="Times New Roman" w:hAnsi="Times New Roman"/>
        </w:rPr>
        <w:t xml:space="preserve">projection </w:t>
      </w:r>
      <w:r w:rsidR="00004D48" w:rsidRPr="0059240B">
        <w:rPr>
          <w:rFonts w:ascii="Times New Roman" w:eastAsia="Times New Roman" w:hAnsi="Times New Roman"/>
        </w:rPr>
        <w:t xml:space="preserve">amount </w:t>
      </w:r>
      <w:r w:rsidRPr="0059240B">
        <w:rPr>
          <w:rFonts w:ascii="Times New Roman" w:eastAsia="Times New Roman" w:hAnsi="Times New Roman"/>
        </w:rPr>
        <w:t xml:space="preserve">is determined by applying </w:t>
      </w:r>
      <w:r w:rsidR="00D670B1" w:rsidRPr="0059240B">
        <w:rPr>
          <w:rFonts w:ascii="Times New Roman" w:eastAsia="Times New Roman" w:hAnsi="Times New Roman"/>
        </w:rPr>
        <w:t xml:space="preserve">one of </w:t>
      </w:r>
      <w:r w:rsidRPr="0059240B">
        <w:rPr>
          <w:rFonts w:ascii="Times New Roman" w:eastAsia="Times New Roman" w:hAnsi="Times New Roman"/>
        </w:rPr>
        <w:t xml:space="preserve">the </w:t>
      </w:r>
      <w:r w:rsidR="004F600F" w:rsidRPr="0059240B">
        <w:rPr>
          <w:rFonts w:ascii="Times New Roman" w:eastAsia="Times New Roman" w:hAnsi="Times New Roman"/>
        </w:rPr>
        <w:t xml:space="preserve">two </w:t>
      </w:r>
      <w:r w:rsidR="00004D48" w:rsidRPr="0059240B">
        <w:rPr>
          <w:rFonts w:ascii="Times New Roman" w:eastAsia="Times New Roman" w:hAnsi="Times New Roman"/>
        </w:rPr>
        <w:t xml:space="preserve">standard </w:t>
      </w:r>
      <w:r w:rsidR="00500629" w:rsidRPr="0059240B">
        <w:rPr>
          <w:rFonts w:ascii="Times New Roman" w:eastAsia="Times New Roman" w:hAnsi="Times New Roman"/>
        </w:rPr>
        <w:t xml:space="preserve">projection </w:t>
      </w:r>
      <w:r w:rsidRPr="0059240B">
        <w:rPr>
          <w:rFonts w:ascii="Times New Roman" w:eastAsia="Times New Roman" w:hAnsi="Times New Roman"/>
        </w:rPr>
        <w:t>method</w:t>
      </w:r>
      <w:r w:rsidR="00D670B1" w:rsidRPr="0059240B">
        <w:rPr>
          <w:rFonts w:ascii="Times New Roman" w:eastAsia="Times New Roman" w:hAnsi="Times New Roman"/>
        </w:rPr>
        <w:t>s</w:t>
      </w:r>
      <w:r w:rsidR="00D1497A" w:rsidRPr="0059240B">
        <w:rPr>
          <w:rFonts w:ascii="Times New Roman" w:eastAsia="Times New Roman" w:hAnsi="Times New Roman"/>
        </w:rPr>
        <w:t xml:space="preserve"> defined in Section 6</w:t>
      </w:r>
      <w:r w:rsidR="000405E8" w:rsidRPr="0059240B">
        <w:rPr>
          <w:rFonts w:ascii="Times New Roman" w:eastAsia="Times New Roman" w:hAnsi="Times New Roman"/>
        </w:rPr>
        <w:t>.  The same method must be used for</w:t>
      </w:r>
      <w:r w:rsidRPr="0059240B">
        <w:rPr>
          <w:rFonts w:ascii="Times New Roman" w:eastAsia="Times New Roman" w:hAnsi="Times New Roman"/>
        </w:rPr>
        <w:t xml:space="preserve"> </w:t>
      </w:r>
      <w:r w:rsidR="00500629" w:rsidRPr="0059240B">
        <w:rPr>
          <w:rFonts w:ascii="Times New Roman" w:eastAsia="Times New Roman" w:hAnsi="Times New Roman"/>
        </w:rPr>
        <w:t>all</w:t>
      </w:r>
      <w:r w:rsidRPr="0059240B">
        <w:rPr>
          <w:rFonts w:ascii="Times New Roman" w:eastAsia="Times New Roman" w:hAnsi="Times New Roman"/>
        </w:rPr>
        <w:t xml:space="preserve"> contracts </w:t>
      </w:r>
      <w:r w:rsidR="000405E8" w:rsidRPr="0059240B">
        <w:rPr>
          <w:rFonts w:ascii="Times New Roman" w:eastAsia="Times New Roman" w:hAnsi="Times New Roman"/>
        </w:rPr>
        <w:t xml:space="preserve">within a group of contracts that are </w:t>
      </w:r>
      <w:r w:rsidR="00F2506E" w:rsidRPr="0059240B">
        <w:rPr>
          <w:rFonts w:ascii="Times New Roman" w:eastAsia="Times New Roman" w:hAnsi="Times New Roman"/>
        </w:rPr>
        <w:t xml:space="preserve">aggregated </w:t>
      </w:r>
      <w:r w:rsidR="00D1497A" w:rsidRPr="0059240B">
        <w:rPr>
          <w:rFonts w:ascii="Times New Roman" w:eastAsia="Times New Roman" w:hAnsi="Times New Roman"/>
        </w:rPr>
        <w:t xml:space="preserve">together </w:t>
      </w:r>
      <w:r w:rsidR="00F2506E" w:rsidRPr="0059240B">
        <w:rPr>
          <w:rFonts w:ascii="Times New Roman" w:eastAsia="Times New Roman" w:hAnsi="Times New Roman"/>
        </w:rPr>
        <w:t>to determine the reserve</w:t>
      </w:r>
      <w:r w:rsidR="00CA2188" w:rsidRPr="0059240B">
        <w:rPr>
          <w:rFonts w:ascii="Times New Roman" w:eastAsia="Times New Roman" w:hAnsi="Times New Roman"/>
        </w:rPr>
        <w:t xml:space="preserve">, and </w:t>
      </w:r>
      <w:r w:rsidR="005742E1" w:rsidRPr="0059240B">
        <w:rPr>
          <w:rFonts w:ascii="Times New Roman" w:eastAsia="Times New Roman" w:hAnsi="Times New Roman"/>
        </w:rPr>
        <w:t xml:space="preserve">the additional standard projection amount </w:t>
      </w:r>
      <w:r w:rsidR="007E2231" w:rsidRPr="0059240B">
        <w:rPr>
          <w:rFonts w:ascii="Times New Roman" w:eastAsia="Times New Roman" w:hAnsi="Times New Roman"/>
        </w:rPr>
        <w:t xml:space="preserve">excluding </w:t>
      </w:r>
      <w:r w:rsidR="00CA2188" w:rsidRPr="0059240B">
        <w:rPr>
          <w:rFonts w:ascii="Times New Roman" w:eastAsia="Times New Roman" w:hAnsi="Times New Roman"/>
        </w:rPr>
        <w:t>any contracts whose reserve is determined using the Alternative Methodology</w:t>
      </w:r>
      <w:r w:rsidR="00AA41FD" w:rsidRPr="0059240B">
        <w:rPr>
          <w:rFonts w:ascii="Times New Roman" w:eastAsia="Times New Roman" w:hAnsi="Times New Roman"/>
        </w:rPr>
        <w:t>.</w:t>
      </w:r>
      <w:r w:rsidRPr="0059240B">
        <w:rPr>
          <w:rFonts w:ascii="Times New Roman" w:eastAsia="Times New Roman" w:hAnsi="Times New Roman"/>
        </w:rPr>
        <w:t xml:space="preserve"> </w:t>
      </w:r>
      <w:r w:rsidR="00B47A05" w:rsidRPr="0059240B">
        <w:rPr>
          <w:rFonts w:ascii="Times New Roman" w:eastAsia="Times New Roman" w:hAnsi="Times New Roman"/>
        </w:rPr>
        <w:t xml:space="preserve"> </w:t>
      </w:r>
      <w:r w:rsidR="0054152C" w:rsidRPr="0059240B">
        <w:rPr>
          <w:rFonts w:ascii="Times New Roman" w:eastAsia="Times New Roman" w:hAnsi="Times New Roman"/>
        </w:rPr>
        <w:t>T</w:t>
      </w:r>
      <w:r w:rsidR="00D670B1" w:rsidRPr="0059240B">
        <w:rPr>
          <w:rFonts w:ascii="Times New Roman" w:eastAsia="Times New Roman" w:hAnsi="Times New Roman"/>
        </w:rPr>
        <w:t>he company shall elect which method they will use</w:t>
      </w:r>
      <w:r w:rsidR="00704528" w:rsidRPr="0059240B">
        <w:rPr>
          <w:rFonts w:ascii="Times New Roman" w:eastAsia="Times New Roman" w:hAnsi="Times New Roman"/>
        </w:rPr>
        <w:t xml:space="preserve"> to determine the </w:t>
      </w:r>
      <w:r w:rsidR="005E1E29" w:rsidRPr="0059240B">
        <w:rPr>
          <w:rFonts w:ascii="Times New Roman" w:eastAsia="Times New Roman" w:hAnsi="Times New Roman"/>
        </w:rPr>
        <w:t>additional s</w:t>
      </w:r>
      <w:r w:rsidR="00704528" w:rsidRPr="0059240B">
        <w:rPr>
          <w:rFonts w:ascii="Times New Roman" w:eastAsia="Times New Roman" w:hAnsi="Times New Roman"/>
        </w:rPr>
        <w:t xml:space="preserve">tandard </w:t>
      </w:r>
      <w:r w:rsidR="005E1E29" w:rsidRPr="0059240B">
        <w:rPr>
          <w:rFonts w:ascii="Times New Roman" w:eastAsia="Times New Roman" w:hAnsi="Times New Roman"/>
        </w:rPr>
        <w:t>p</w:t>
      </w:r>
      <w:r w:rsidR="00704528" w:rsidRPr="0059240B">
        <w:rPr>
          <w:rFonts w:ascii="Times New Roman" w:eastAsia="Times New Roman" w:hAnsi="Times New Roman"/>
        </w:rPr>
        <w:t>rojection</w:t>
      </w:r>
      <w:r w:rsidR="005E1E29" w:rsidRPr="0059240B">
        <w:rPr>
          <w:rFonts w:ascii="Times New Roman" w:eastAsia="Times New Roman" w:hAnsi="Times New Roman"/>
        </w:rPr>
        <w:t xml:space="preserve"> amount</w:t>
      </w:r>
      <w:r w:rsidR="00D670B1" w:rsidRPr="0059240B">
        <w:rPr>
          <w:rFonts w:ascii="Times New Roman" w:eastAsia="Times New Roman" w:hAnsi="Times New Roman"/>
        </w:rPr>
        <w:t xml:space="preserve">.  The company may not change that election for a future valuation without the approval of the </w:t>
      </w:r>
      <w:r w:rsidR="005E1E29" w:rsidRPr="0059240B">
        <w:rPr>
          <w:rFonts w:ascii="Times New Roman" w:eastAsia="Times New Roman" w:hAnsi="Times New Roman"/>
        </w:rPr>
        <w:t xml:space="preserve">domiciliary </w:t>
      </w:r>
      <w:r w:rsidR="00D670B1" w:rsidRPr="0059240B">
        <w:rPr>
          <w:rFonts w:ascii="Times New Roman" w:eastAsia="Times New Roman" w:hAnsi="Times New Roman"/>
        </w:rPr>
        <w:t xml:space="preserve">commissioner. </w:t>
      </w:r>
      <w:r w:rsidR="00D670B1" w:rsidRPr="0059240B">
        <w:rPr>
          <w:rFonts w:ascii="Times New Roman" w:hAnsi="Times New Roman"/>
        </w:rPr>
        <w:t xml:space="preserve"> </w:t>
      </w:r>
    </w:p>
    <w:p w14:paraId="47E86E99" w14:textId="14022A19" w:rsidR="0021502F" w:rsidRPr="0059240B" w:rsidRDefault="0021502F" w:rsidP="00E87EFC">
      <w:pPr>
        <w:pStyle w:val="ListParagraph"/>
        <w:numPr>
          <w:ilvl w:val="0"/>
          <w:numId w:val="7"/>
        </w:numPr>
        <w:spacing w:after="220" w:line="240" w:lineRule="auto"/>
        <w:ind w:left="720" w:hanging="720"/>
        <w:contextualSpacing w:val="0"/>
        <w:rPr>
          <w:rFonts w:ascii="Times New Roman" w:eastAsia="Times New Roman" w:hAnsi="Times New Roman"/>
        </w:rPr>
      </w:pPr>
      <w:r w:rsidRPr="0059240B">
        <w:rPr>
          <w:rFonts w:ascii="Times New Roman" w:eastAsia="Times New Roman" w:hAnsi="Times New Roman"/>
        </w:rPr>
        <w:t xml:space="preserve">The </w:t>
      </w:r>
      <w:r w:rsidR="00722D26" w:rsidRPr="0059240B">
        <w:rPr>
          <w:rFonts w:ascii="Times New Roman" w:eastAsia="Times New Roman" w:hAnsi="Times New Roman"/>
        </w:rPr>
        <w:t>Stochastic Reserve</w:t>
      </w:r>
    </w:p>
    <w:p w14:paraId="3AE7C92F" w14:textId="7501E727" w:rsidR="0021502F" w:rsidRPr="0059240B" w:rsidRDefault="0021502F" w:rsidP="00067EEF">
      <w:pPr>
        <w:pStyle w:val="ListParagraph"/>
        <w:spacing w:after="220" w:line="240" w:lineRule="auto"/>
        <w:contextualSpacing w:val="0"/>
        <w:rPr>
          <w:rFonts w:ascii="Times New Roman" w:eastAsia="Times New Roman" w:hAnsi="Times New Roman"/>
        </w:rPr>
      </w:pPr>
      <w:r w:rsidRPr="0059240B">
        <w:rPr>
          <w:rFonts w:ascii="Times New Roman" w:eastAsia="Times New Roman" w:hAnsi="Times New Roman"/>
        </w:rPr>
        <w:t xml:space="preserve">The </w:t>
      </w:r>
      <w:r w:rsidR="00722D26" w:rsidRPr="0059240B">
        <w:rPr>
          <w:rFonts w:ascii="Times New Roman" w:eastAsia="Times New Roman" w:hAnsi="Times New Roman"/>
        </w:rPr>
        <w:t>stochastic reserve</w:t>
      </w:r>
      <w:r w:rsidR="00004D48" w:rsidRPr="0059240B">
        <w:rPr>
          <w:rFonts w:ascii="Times New Roman" w:eastAsia="Times New Roman" w:hAnsi="Times New Roman"/>
        </w:rPr>
        <w:t xml:space="preserve"> </w:t>
      </w:r>
      <w:r w:rsidRPr="0059240B">
        <w:rPr>
          <w:rFonts w:ascii="Times New Roman" w:eastAsia="Times New Roman" w:hAnsi="Times New Roman"/>
        </w:rPr>
        <w:t xml:space="preserve">shall be determined based on </w:t>
      </w:r>
      <w:r w:rsidR="007E2231" w:rsidRPr="0059240B">
        <w:rPr>
          <w:rFonts w:ascii="Times New Roman" w:eastAsia="Times New Roman" w:hAnsi="Times New Roman"/>
        </w:rPr>
        <w:t xml:space="preserve">asset and liability </w:t>
      </w:r>
      <w:r w:rsidRPr="0059240B">
        <w:rPr>
          <w:rFonts w:ascii="Times New Roman" w:eastAsia="Times New Roman" w:hAnsi="Times New Roman"/>
        </w:rPr>
        <w:t>projection</w:t>
      </w:r>
      <w:r w:rsidR="00DF2227" w:rsidRPr="0059240B">
        <w:rPr>
          <w:rFonts w:ascii="Times New Roman" w:eastAsia="Times New Roman" w:hAnsi="Times New Roman"/>
        </w:rPr>
        <w:t>s</w:t>
      </w:r>
      <w:r w:rsidRPr="0059240B">
        <w:rPr>
          <w:rFonts w:ascii="Times New Roman" w:eastAsia="Times New Roman" w:hAnsi="Times New Roman"/>
        </w:rPr>
        <w:t xml:space="preserve"> </w:t>
      </w:r>
      <w:r w:rsidR="007E2231" w:rsidRPr="0059240B">
        <w:rPr>
          <w:rFonts w:ascii="Times New Roman" w:eastAsia="Times New Roman" w:hAnsi="Times New Roman"/>
        </w:rPr>
        <w:t>for</w:t>
      </w:r>
      <w:r w:rsidRPr="0059240B">
        <w:rPr>
          <w:rFonts w:ascii="Times New Roman" w:eastAsia="Times New Roman" w:hAnsi="Times New Roman"/>
        </w:rPr>
        <w:t xml:space="preserve"> the contracts falling </w:t>
      </w:r>
      <w:r w:rsidRPr="0059240B">
        <w:rPr>
          <w:rFonts w:ascii="Times New Roman" w:eastAsia="Times New Roman" w:hAnsi="Times New Roman"/>
        </w:rPr>
        <w:lastRenderedPageBreak/>
        <w:t>within the scope of these requirements</w:t>
      </w:r>
      <w:r w:rsidR="00CA2188" w:rsidRPr="0059240B">
        <w:rPr>
          <w:rFonts w:ascii="Times New Roman" w:eastAsia="Times New Roman" w:hAnsi="Times New Roman"/>
        </w:rPr>
        <w:t xml:space="preserve"> excluding those contracts valued using the Alternative Methodology</w:t>
      </w:r>
      <w:r w:rsidRPr="0059240B">
        <w:rPr>
          <w:rFonts w:ascii="Times New Roman" w:eastAsia="Times New Roman" w:hAnsi="Times New Roman"/>
        </w:rPr>
        <w:t>,, over a broad range of stochastically generated projection scenarios</w:t>
      </w:r>
      <w:r w:rsidR="001B727A" w:rsidRPr="0059240B">
        <w:rPr>
          <w:rFonts w:ascii="Times New Roman" w:eastAsia="Times New Roman" w:hAnsi="Times New Roman"/>
        </w:rPr>
        <w:t xml:space="preserve"> </w:t>
      </w:r>
      <w:r w:rsidR="004F600F" w:rsidRPr="0059240B">
        <w:rPr>
          <w:rFonts w:ascii="Times New Roman" w:eastAsia="Times New Roman" w:hAnsi="Times New Roman"/>
        </w:rPr>
        <w:t>described in Section 8</w:t>
      </w:r>
      <w:r w:rsidRPr="0059240B">
        <w:rPr>
          <w:rFonts w:ascii="Times New Roman" w:eastAsia="Times New Roman" w:hAnsi="Times New Roman"/>
        </w:rPr>
        <w:t xml:space="preserve"> and using </w:t>
      </w:r>
      <w:r w:rsidR="00004D48" w:rsidRPr="0059240B">
        <w:rPr>
          <w:rFonts w:ascii="Times New Roman" w:eastAsia="Times New Roman" w:hAnsi="Times New Roman"/>
        </w:rPr>
        <w:t xml:space="preserve">prudent estimate </w:t>
      </w:r>
      <w:r w:rsidRPr="0059240B">
        <w:rPr>
          <w:rFonts w:ascii="Times New Roman" w:eastAsia="Times New Roman" w:hAnsi="Times New Roman"/>
        </w:rPr>
        <w:t>assumptions</w:t>
      </w:r>
      <w:r w:rsidR="00596727" w:rsidRPr="0059240B">
        <w:rPr>
          <w:rFonts w:ascii="Times New Roman" w:eastAsia="Times New Roman" w:hAnsi="Times New Roman"/>
        </w:rPr>
        <w:t xml:space="preserve"> as required</w:t>
      </w:r>
      <w:r w:rsidR="00CA2188" w:rsidRPr="0059240B">
        <w:rPr>
          <w:rFonts w:ascii="Times New Roman" w:eastAsia="Times New Roman" w:hAnsi="Times New Roman"/>
        </w:rPr>
        <w:t xml:space="preserve"> herein</w:t>
      </w:r>
      <w:r w:rsidRPr="0059240B">
        <w:rPr>
          <w:rFonts w:ascii="Times New Roman" w:eastAsia="Times New Roman" w:hAnsi="Times New Roman"/>
        </w:rPr>
        <w:t>.</w:t>
      </w:r>
      <w:r w:rsidR="00D964A8" w:rsidRPr="0059240B">
        <w:rPr>
          <w:rFonts w:ascii="Times New Roman" w:eastAsia="Times New Roman" w:hAnsi="Times New Roman"/>
        </w:rPr>
        <w:t xml:space="preserve">  </w:t>
      </w:r>
    </w:p>
    <w:p w14:paraId="3D63F381" w14:textId="70733763" w:rsidR="0021502F" w:rsidRPr="0059240B" w:rsidRDefault="0021502F" w:rsidP="00067EEF">
      <w:pPr>
        <w:pStyle w:val="ListParagraph"/>
        <w:spacing w:after="220" w:line="240" w:lineRule="auto"/>
        <w:contextualSpacing w:val="0"/>
        <w:rPr>
          <w:rFonts w:ascii="Times New Roman" w:eastAsia="Times New Roman" w:hAnsi="Times New Roman"/>
        </w:rPr>
      </w:pPr>
      <w:r w:rsidRPr="0059240B">
        <w:rPr>
          <w:rFonts w:ascii="Times New Roman" w:eastAsia="Times New Roman" w:hAnsi="Times New Roman"/>
        </w:rPr>
        <w:t xml:space="preserve">The </w:t>
      </w:r>
      <w:r w:rsidR="00722D26" w:rsidRPr="0059240B">
        <w:rPr>
          <w:rFonts w:ascii="Times New Roman" w:eastAsia="Times New Roman" w:hAnsi="Times New Roman"/>
        </w:rPr>
        <w:t>stochastic reserve</w:t>
      </w:r>
      <w:r w:rsidR="00004D48" w:rsidRPr="0059240B">
        <w:rPr>
          <w:rFonts w:ascii="Times New Roman" w:eastAsia="Times New Roman" w:hAnsi="Times New Roman"/>
        </w:rPr>
        <w:t xml:space="preserve"> </w:t>
      </w:r>
      <w:r w:rsidRPr="0059240B">
        <w:rPr>
          <w:rFonts w:ascii="Times New Roman" w:eastAsia="Times New Roman" w:hAnsi="Times New Roman"/>
        </w:rPr>
        <w:t xml:space="preserve">may be determined in aggregate for all contracts falling within the scope </w:t>
      </w:r>
      <w:r w:rsidRPr="0059240B">
        <w:rPr>
          <w:rFonts w:ascii="Times New Roman" w:eastAsia="Times New Roman" w:hAnsi="Times New Roman"/>
          <w:position w:val="1"/>
        </w:rPr>
        <w:t xml:space="preserve">of these requirements (i.e., a single </w:t>
      </w:r>
      <w:r w:rsidR="002C7EA8" w:rsidRPr="0059240B">
        <w:rPr>
          <w:rFonts w:ascii="Times New Roman" w:eastAsia="Times New Roman" w:hAnsi="Times New Roman"/>
          <w:position w:val="1"/>
        </w:rPr>
        <w:t>model segment</w:t>
      </w:r>
      <w:r w:rsidRPr="0059240B">
        <w:rPr>
          <w:rFonts w:ascii="Times New Roman" w:eastAsia="Times New Roman" w:hAnsi="Times New Roman"/>
          <w:position w:val="1"/>
        </w:rPr>
        <w:t>)</w:t>
      </w:r>
      <w:r w:rsidR="004929B7" w:rsidRPr="0059240B">
        <w:rPr>
          <w:rFonts w:ascii="Times New Roman" w:eastAsia="Times New Roman" w:hAnsi="Times New Roman"/>
          <w:position w:val="1"/>
        </w:rPr>
        <w:t xml:space="preserve"> </w:t>
      </w:r>
      <w:r w:rsidR="00EE50A0" w:rsidRPr="0059240B">
        <w:rPr>
          <w:rFonts w:ascii="Times New Roman" w:eastAsia="Times New Roman" w:hAnsi="Times New Roman"/>
          <w:position w:val="1"/>
        </w:rPr>
        <w:t>or, a</w:t>
      </w:r>
      <w:r w:rsidRPr="0059240B">
        <w:rPr>
          <w:rFonts w:ascii="Times New Roman" w:eastAsia="Times New Roman" w:hAnsi="Times New Roman"/>
          <w:position w:val="1"/>
        </w:rPr>
        <w:t>t the option of the company, it may be determined by</w:t>
      </w:r>
      <w:r w:rsidRPr="0059240B">
        <w:rPr>
          <w:rFonts w:ascii="Times New Roman" w:hAnsi="Times New Roman"/>
          <w:position w:val="1"/>
        </w:rPr>
        <w:t xml:space="preserve"> </w:t>
      </w:r>
      <w:r w:rsidRPr="0059240B">
        <w:rPr>
          <w:rFonts w:ascii="Times New Roman" w:eastAsia="Times New Roman" w:hAnsi="Times New Roman"/>
        </w:rPr>
        <w:t>subgroupings of contracts</w:t>
      </w:r>
      <w:r w:rsidR="002C7EA8" w:rsidRPr="0059240B">
        <w:rPr>
          <w:rFonts w:ascii="Times New Roman" w:eastAsia="Times New Roman" w:hAnsi="Times New Roman"/>
        </w:rPr>
        <w:t xml:space="preserve"> into multiple model segments</w:t>
      </w:r>
      <w:r w:rsidRPr="0059240B">
        <w:rPr>
          <w:rFonts w:ascii="Times New Roman" w:eastAsia="Times New Roman" w:hAnsi="Times New Roman"/>
        </w:rPr>
        <w:t xml:space="preserve">, in which case the </w:t>
      </w:r>
      <w:r w:rsidR="00722D26" w:rsidRPr="0059240B">
        <w:rPr>
          <w:rFonts w:ascii="Times New Roman" w:eastAsia="Times New Roman" w:hAnsi="Times New Roman"/>
        </w:rPr>
        <w:t>stochastic reserve</w:t>
      </w:r>
      <w:r w:rsidR="00004D48" w:rsidRPr="0059240B">
        <w:rPr>
          <w:rFonts w:ascii="Times New Roman" w:eastAsia="Times New Roman" w:hAnsi="Times New Roman"/>
        </w:rPr>
        <w:t xml:space="preserve"> </w:t>
      </w:r>
      <w:r w:rsidRPr="0059240B">
        <w:rPr>
          <w:rFonts w:ascii="Times New Roman" w:eastAsia="Times New Roman" w:hAnsi="Times New Roman"/>
        </w:rPr>
        <w:t xml:space="preserve">shall equal the sum of the amounts computed for each </w:t>
      </w:r>
      <w:r w:rsidR="002C7EA8" w:rsidRPr="0059240B">
        <w:rPr>
          <w:rFonts w:ascii="Times New Roman" w:eastAsia="Times New Roman" w:hAnsi="Times New Roman"/>
        </w:rPr>
        <w:t>model segment</w:t>
      </w:r>
      <w:r w:rsidRPr="0059240B">
        <w:rPr>
          <w:rFonts w:ascii="Times New Roman" w:eastAsia="Times New Roman" w:hAnsi="Times New Roman"/>
        </w:rPr>
        <w:t>.</w:t>
      </w:r>
    </w:p>
    <w:p w14:paraId="6120F39B" w14:textId="21DE86DB" w:rsidR="0021502F" w:rsidRPr="0059240B" w:rsidRDefault="0021502F" w:rsidP="00067EEF">
      <w:pPr>
        <w:tabs>
          <w:tab w:val="left" w:pos="10440"/>
        </w:tabs>
        <w:spacing w:after="220" w:line="240" w:lineRule="auto"/>
        <w:ind w:left="460"/>
        <w:rPr>
          <w:rFonts w:ascii="Times New Roman" w:eastAsia="Times New Roman" w:hAnsi="Times New Roman"/>
        </w:rPr>
      </w:pPr>
      <w:r w:rsidRPr="0059240B">
        <w:rPr>
          <w:rFonts w:ascii="Times New Roman" w:eastAsia="Times New Roman" w:hAnsi="Times New Roman"/>
        </w:rPr>
        <w:t xml:space="preserve">The </w:t>
      </w:r>
      <w:r w:rsidR="00722D26" w:rsidRPr="0059240B">
        <w:rPr>
          <w:rFonts w:ascii="Times New Roman" w:eastAsia="Times New Roman" w:hAnsi="Times New Roman"/>
        </w:rPr>
        <w:t>stochastic reserve</w:t>
      </w:r>
      <w:r w:rsidR="00004D48" w:rsidRPr="0059240B">
        <w:rPr>
          <w:rFonts w:ascii="Times New Roman" w:eastAsia="Times New Roman" w:hAnsi="Times New Roman"/>
        </w:rPr>
        <w:t xml:space="preserve"> </w:t>
      </w:r>
      <w:r w:rsidR="003D249C" w:rsidRPr="0059240B">
        <w:rPr>
          <w:rFonts w:ascii="Times New Roman" w:eastAsia="Times New Roman" w:hAnsi="Times New Roman"/>
        </w:rPr>
        <w:t xml:space="preserve">for any group </w:t>
      </w:r>
      <w:r w:rsidR="00F2650E" w:rsidRPr="0059240B">
        <w:rPr>
          <w:rFonts w:ascii="Times New Roman" w:eastAsia="Times New Roman" w:hAnsi="Times New Roman"/>
        </w:rPr>
        <w:t xml:space="preserve">of contracts </w:t>
      </w:r>
      <w:r w:rsidRPr="0059240B">
        <w:rPr>
          <w:rFonts w:ascii="Times New Roman" w:eastAsia="Times New Roman" w:hAnsi="Times New Roman"/>
        </w:rPr>
        <w:t xml:space="preserve">shall be determined </w:t>
      </w:r>
      <w:r w:rsidR="0016232E" w:rsidRPr="0059240B">
        <w:rPr>
          <w:rFonts w:ascii="Times New Roman" w:eastAsia="Times New Roman" w:hAnsi="Times New Roman"/>
        </w:rPr>
        <w:t>as CTE</w:t>
      </w:r>
      <w:r w:rsidR="003E5975" w:rsidRPr="0059240B">
        <w:rPr>
          <w:rFonts w:ascii="Times New Roman" w:eastAsia="Times New Roman" w:hAnsi="Times New Roman"/>
        </w:rPr>
        <w:t xml:space="preserve"> </w:t>
      </w:r>
      <w:r w:rsidR="0016232E" w:rsidRPr="0059240B">
        <w:rPr>
          <w:rFonts w:ascii="Times New Roman" w:eastAsia="Times New Roman" w:hAnsi="Times New Roman"/>
        </w:rPr>
        <w:t>70</w:t>
      </w:r>
      <w:r w:rsidR="00CA2188" w:rsidRPr="0059240B">
        <w:rPr>
          <w:rFonts w:ascii="Times New Roman" w:eastAsia="Times New Roman" w:hAnsi="Times New Roman"/>
        </w:rPr>
        <w:t xml:space="preserve"> of the scenario reserves</w:t>
      </w:r>
      <w:r w:rsidR="0016232E" w:rsidRPr="0059240B">
        <w:rPr>
          <w:rFonts w:ascii="Times New Roman" w:eastAsia="Times New Roman" w:hAnsi="Times New Roman"/>
        </w:rPr>
        <w:t xml:space="preserve"> </w:t>
      </w:r>
      <w:r w:rsidR="002F4E4A" w:rsidRPr="0059240B">
        <w:rPr>
          <w:rFonts w:ascii="Times New Roman" w:eastAsia="Times New Roman" w:hAnsi="Times New Roman"/>
        </w:rPr>
        <w:t xml:space="preserve">following the requirements of Section 4.  </w:t>
      </w:r>
    </w:p>
    <w:p w14:paraId="482E590D" w14:textId="2C0C3852" w:rsidR="0021502F" w:rsidRPr="0059240B"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59240B">
        <w:rPr>
          <w:rFonts w:ascii="Times New Roman" w:eastAsia="Times New Roman" w:hAnsi="Times New Roman"/>
        </w:rPr>
        <w:t>Alternative Methodology</w:t>
      </w:r>
    </w:p>
    <w:p w14:paraId="351B1619" w14:textId="6680DF1A" w:rsidR="0021502F" w:rsidRPr="0059240B" w:rsidRDefault="0021502F" w:rsidP="00067EEF">
      <w:pPr>
        <w:pStyle w:val="ListParagraph"/>
        <w:spacing w:after="220" w:line="240" w:lineRule="auto"/>
        <w:contextualSpacing w:val="0"/>
        <w:rPr>
          <w:rFonts w:ascii="Times New Roman" w:eastAsia="Times New Roman" w:hAnsi="Times New Roman"/>
        </w:rPr>
      </w:pPr>
      <w:r w:rsidRPr="0059240B">
        <w:rPr>
          <w:rFonts w:ascii="Times New Roman" w:eastAsia="Times New Roman" w:hAnsi="Times New Roman"/>
        </w:rPr>
        <w:t xml:space="preserve">For </w:t>
      </w:r>
      <w:r w:rsidR="003D249C" w:rsidRPr="0059240B">
        <w:rPr>
          <w:rFonts w:ascii="Times New Roman" w:eastAsia="Times New Roman" w:hAnsi="Times New Roman"/>
        </w:rPr>
        <w:t xml:space="preserve">a group of </w:t>
      </w:r>
      <w:r w:rsidRPr="0059240B">
        <w:rPr>
          <w:rFonts w:ascii="Times New Roman" w:eastAsia="Times New Roman" w:hAnsi="Times New Roman"/>
        </w:rPr>
        <w:t xml:space="preserve">variable deferred annuity contracts that contain either no guaranteed benefits or only GMDBs (i.e., no VAGLBs), the </w:t>
      </w:r>
      <w:r w:rsidR="006E6F7F" w:rsidRPr="0059240B">
        <w:rPr>
          <w:rFonts w:ascii="Times New Roman" w:eastAsia="Times New Roman" w:hAnsi="Times New Roman"/>
        </w:rPr>
        <w:t>reserve</w:t>
      </w:r>
      <w:r w:rsidR="007C4828" w:rsidRPr="0059240B">
        <w:rPr>
          <w:rFonts w:ascii="Times New Roman" w:eastAsia="Times New Roman" w:hAnsi="Times New Roman"/>
        </w:rPr>
        <w:t xml:space="preserve"> </w:t>
      </w:r>
      <w:r w:rsidRPr="0059240B">
        <w:rPr>
          <w:rFonts w:ascii="Times New Roman" w:eastAsia="Times New Roman" w:hAnsi="Times New Roman"/>
        </w:rPr>
        <w:t xml:space="preserve">may be determined using the </w:t>
      </w:r>
      <w:r w:rsidR="007C4828" w:rsidRPr="0059240B">
        <w:rPr>
          <w:rFonts w:ascii="Times New Roman" w:eastAsia="Times New Roman" w:hAnsi="Times New Roman"/>
        </w:rPr>
        <w:t xml:space="preserve">alternative methodology </w:t>
      </w:r>
      <w:r w:rsidRPr="0059240B">
        <w:rPr>
          <w:rFonts w:ascii="Times New Roman" w:eastAsia="Times New Roman" w:hAnsi="Times New Roman"/>
        </w:rPr>
        <w:t xml:space="preserve">described in Section </w:t>
      </w:r>
      <w:r w:rsidR="00F2506E" w:rsidRPr="0059240B">
        <w:rPr>
          <w:rFonts w:ascii="Times New Roman" w:eastAsia="Times New Roman" w:hAnsi="Times New Roman"/>
        </w:rPr>
        <w:t>7</w:t>
      </w:r>
      <w:r w:rsidRPr="0059240B">
        <w:rPr>
          <w:rFonts w:ascii="Times New Roman" w:eastAsia="Times New Roman" w:hAnsi="Times New Roman"/>
        </w:rPr>
        <w:t xml:space="preserve"> rather than using the approach described in Section </w:t>
      </w:r>
      <w:r w:rsidR="00474E57" w:rsidRPr="0059240B">
        <w:rPr>
          <w:rFonts w:ascii="Times New Roman" w:eastAsia="Times New Roman" w:hAnsi="Times New Roman"/>
        </w:rPr>
        <w:t>3</w:t>
      </w:r>
      <w:r w:rsidR="00162C21" w:rsidRPr="0059240B">
        <w:rPr>
          <w:rFonts w:ascii="Times New Roman" w:eastAsia="Times New Roman" w:hAnsi="Times New Roman"/>
        </w:rPr>
        <w:t>.</w:t>
      </w:r>
      <w:r w:rsidR="00991FA6" w:rsidRPr="0059240B">
        <w:rPr>
          <w:rFonts w:ascii="Times New Roman" w:eastAsia="Times New Roman" w:hAnsi="Times New Roman"/>
        </w:rPr>
        <w:t>C and Section 3.</w:t>
      </w:r>
      <w:r w:rsidRPr="0059240B">
        <w:rPr>
          <w:rFonts w:ascii="Times New Roman" w:eastAsia="Times New Roman" w:hAnsi="Times New Roman"/>
        </w:rPr>
        <w:t xml:space="preserve">D. However, in the event the approach described in Section </w:t>
      </w:r>
      <w:r w:rsidR="00474E57" w:rsidRPr="0059240B">
        <w:rPr>
          <w:rFonts w:ascii="Times New Roman" w:eastAsia="Times New Roman" w:hAnsi="Times New Roman"/>
        </w:rPr>
        <w:t>3</w:t>
      </w:r>
      <w:r w:rsidR="00162C21" w:rsidRPr="0059240B">
        <w:rPr>
          <w:rFonts w:ascii="Times New Roman" w:eastAsia="Times New Roman" w:hAnsi="Times New Roman"/>
        </w:rPr>
        <w:t>.</w:t>
      </w:r>
      <w:r w:rsidR="00991FA6" w:rsidRPr="0059240B">
        <w:rPr>
          <w:rFonts w:ascii="Times New Roman" w:eastAsia="Times New Roman" w:hAnsi="Times New Roman"/>
        </w:rPr>
        <w:t>C and Section 3.</w:t>
      </w:r>
      <w:r w:rsidRPr="0059240B">
        <w:rPr>
          <w:rFonts w:ascii="Times New Roman" w:eastAsia="Times New Roman" w:hAnsi="Times New Roman"/>
        </w:rPr>
        <w:t>D has been used in prior valuations</w:t>
      </w:r>
      <w:r w:rsidR="003D249C" w:rsidRPr="0059240B">
        <w:rPr>
          <w:rFonts w:ascii="Times New Roman" w:eastAsia="Times New Roman" w:hAnsi="Times New Roman"/>
        </w:rPr>
        <w:t xml:space="preserve"> for that group of </w:t>
      </w:r>
      <w:r w:rsidR="009D310F" w:rsidRPr="0059240B">
        <w:rPr>
          <w:rFonts w:ascii="Times New Roman" w:eastAsia="Times New Roman" w:hAnsi="Times New Roman"/>
        </w:rPr>
        <w:t>contracts</w:t>
      </w:r>
      <w:r w:rsidRPr="0059240B">
        <w:rPr>
          <w:rFonts w:ascii="Times New Roman" w:eastAsia="Times New Roman" w:hAnsi="Times New Roman"/>
        </w:rPr>
        <w:t>, the Alternative Methodology may not be used without approval from the domiciliary commissioner.</w:t>
      </w:r>
    </w:p>
    <w:p w14:paraId="0243EDAB" w14:textId="09659036" w:rsidR="0021502F" w:rsidRPr="0059240B" w:rsidRDefault="0021502F" w:rsidP="00067EEF">
      <w:pPr>
        <w:pStyle w:val="ListParagraph"/>
        <w:keepLines/>
        <w:spacing w:after="220" w:line="240" w:lineRule="auto"/>
        <w:contextualSpacing w:val="0"/>
        <w:rPr>
          <w:rFonts w:ascii="Times New Roman" w:eastAsia="Times New Roman" w:hAnsi="Times New Roman"/>
        </w:rPr>
      </w:pPr>
      <w:r w:rsidRPr="0059240B">
        <w:rPr>
          <w:rFonts w:ascii="Times New Roman" w:eastAsia="Times New Roman" w:hAnsi="Times New Roman"/>
        </w:rPr>
        <w:t xml:space="preserve">The </w:t>
      </w:r>
      <w:r w:rsidR="00DE5A16" w:rsidRPr="0059240B">
        <w:rPr>
          <w:rFonts w:ascii="Times New Roman" w:eastAsia="Times New Roman" w:hAnsi="Times New Roman"/>
        </w:rPr>
        <w:t>reserve</w:t>
      </w:r>
      <w:r w:rsidR="007C4828" w:rsidRPr="0059240B">
        <w:rPr>
          <w:rFonts w:ascii="Times New Roman" w:eastAsia="Times New Roman" w:hAnsi="Times New Roman"/>
        </w:rPr>
        <w:t xml:space="preserve"> </w:t>
      </w:r>
      <w:r w:rsidRPr="0059240B">
        <w:rPr>
          <w:rFonts w:ascii="Times New Roman" w:eastAsia="Times New Roman" w:hAnsi="Times New Roman"/>
        </w:rPr>
        <w:t xml:space="preserve">for the group of contracts to which the Alternative Methodology is applied shall not be less than the aggregate </w:t>
      </w:r>
      <w:r w:rsidR="007C4828" w:rsidRPr="0059240B">
        <w:rPr>
          <w:rFonts w:ascii="Times New Roman" w:eastAsia="Times New Roman" w:hAnsi="Times New Roman"/>
        </w:rPr>
        <w:t xml:space="preserve">cash surrender value </w:t>
      </w:r>
      <w:r w:rsidRPr="0059240B">
        <w:rPr>
          <w:rFonts w:ascii="Times New Roman" w:eastAsia="Times New Roman" w:hAnsi="Times New Roman"/>
        </w:rPr>
        <w:t>of those contracts.</w:t>
      </w:r>
    </w:p>
    <w:p w14:paraId="03017465" w14:textId="53415FBA" w:rsidR="0021502F" w:rsidRPr="0059240B"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59240B">
        <w:rPr>
          <w:rFonts w:ascii="Times New Roman" w:eastAsia="Times New Roman" w:hAnsi="Times New Roman"/>
        </w:rPr>
        <w:t xml:space="preserve">Allocation of </w:t>
      </w:r>
      <w:r w:rsidR="003E5975" w:rsidRPr="0059240B">
        <w:rPr>
          <w:rFonts w:ascii="Times New Roman" w:eastAsia="Times New Roman" w:hAnsi="Times New Roman"/>
        </w:rPr>
        <w:t>the Aggregate Reserve</w:t>
      </w:r>
      <w:r w:rsidRPr="0059240B">
        <w:rPr>
          <w:rFonts w:ascii="Times New Roman" w:eastAsia="Times New Roman" w:hAnsi="Times New Roman"/>
        </w:rPr>
        <w:t xml:space="preserve"> to Contracts</w:t>
      </w:r>
    </w:p>
    <w:p w14:paraId="06D8BB01" w14:textId="0E024614" w:rsidR="00CC2E32" w:rsidRPr="0059240B" w:rsidRDefault="0021502F" w:rsidP="00067EEF">
      <w:pPr>
        <w:pStyle w:val="ListParagraph"/>
        <w:tabs>
          <w:tab w:val="left" w:pos="-1260"/>
        </w:tabs>
        <w:spacing w:after="220" w:line="240" w:lineRule="auto"/>
        <w:contextualSpacing w:val="0"/>
        <w:rPr>
          <w:rFonts w:ascii="Times New Roman" w:eastAsia="Times New Roman" w:hAnsi="Times New Roman"/>
        </w:rPr>
      </w:pPr>
      <w:r w:rsidRPr="0059240B">
        <w:rPr>
          <w:rFonts w:ascii="Times New Roman" w:eastAsia="Times New Roman" w:hAnsi="Times New Roman"/>
        </w:rPr>
        <w:t xml:space="preserve">The </w:t>
      </w:r>
      <w:r w:rsidR="007C4828" w:rsidRPr="0059240B">
        <w:rPr>
          <w:rFonts w:ascii="Times New Roman" w:eastAsia="Times New Roman" w:hAnsi="Times New Roman"/>
        </w:rPr>
        <w:t xml:space="preserve">aggregate reserve </w:t>
      </w:r>
      <w:r w:rsidRPr="0059240B">
        <w:rPr>
          <w:rFonts w:ascii="Times New Roman" w:eastAsia="Times New Roman" w:hAnsi="Times New Roman"/>
        </w:rPr>
        <w:t xml:space="preserve">shall be allocated to the contracts falling within the scope of these requirements using the method outlined in Section </w:t>
      </w:r>
      <w:bookmarkStart w:id="3" w:name="VM25"/>
      <w:bookmarkStart w:id="4" w:name="_Toc461784859"/>
      <w:r w:rsidR="00991FA6" w:rsidRPr="0059240B">
        <w:rPr>
          <w:rFonts w:ascii="Times New Roman" w:eastAsia="Times New Roman" w:hAnsi="Times New Roman"/>
        </w:rPr>
        <w:t>1</w:t>
      </w:r>
      <w:r w:rsidR="009A56D0" w:rsidRPr="0059240B">
        <w:rPr>
          <w:rFonts w:ascii="Times New Roman" w:eastAsia="Times New Roman" w:hAnsi="Times New Roman"/>
        </w:rPr>
        <w:t>2</w:t>
      </w:r>
      <w:r w:rsidR="00CC2E32" w:rsidRPr="0059240B">
        <w:rPr>
          <w:rFonts w:ascii="Times New Roman" w:eastAsia="Times New Roman" w:hAnsi="Times New Roman"/>
        </w:rPr>
        <w:t>.</w:t>
      </w:r>
    </w:p>
    <w:p w14:paraId="7170547E" w14:textId="686C60EF" w:rsidR="00CC2E32" w:rsidRPr="0059240B" w:rsidRDefault="00CC2E32" w:rsidP="00E87EFC">
      <w:pPr>
        <w:pStyle w:val="ListParagraph"/>
        <w:numPr>
          <w:ilvl w:val="0"/>
          <w:numId w:val="7"/>
        </w:numPr>
        <w:spacing w:after="220" w:line="240" w:lineRule="auto"/>
        <w:ind w:left="360"/>
        <w:rPr>
          <w:rFonts w:ascii="Times New Roman" w:eastAsia="Times New Roman" w:hAnsi="Times New Roman"/>
        </w:rPr>
      </w:pPr>
      <w:r w:rsidRPr="0059240B">
        <w:rPr>
          <w:rFonts w:ascii="Times New Roman" w:eastAsia="Times New Roman" w:hAnsi="Times New Roman"/>
        </w:rPr>
        <w:t>Reserve to Be Held in the General Account</w:t>
      </w:r>
    </w:p>
    <w:p w14:paraId="05A4EC17" w14:textId="08472923" w:rsidR="00576438" w:rsidRPr="0059240B" w:rsidRDefault="00576438" w:rsidP="003E5975">
      <w:pPr>
        <w:ind w:left="360"/>
        <w:rPr>
          <w:rFonts w:ascii="Times New Roman" w:eastAsia="Times New Roman" w:hAnsi="Times New Roman"/>
        </w:rPr>
      </w:pPr>
      <w:r w:rsidRPr="0059240B">
        <w:rPr>
          <w:noProof/>
        </w:rPr>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B76878" w:rsidRDefault="00B76878" w:rsidP="00241606">
                            <w:pPr>
                              <w:pStyle w:val="Subtitle"/>
                              <w:ind w:left="720"/>
                              <w:jc w:val="left"/>
                              <w:rPr>
                                <w:b w:val="0"/>
                                <w:sz w:val="22"/>
                                <w:szCs w:val="22"/>
                              </w:rPr>
                            </w:pPr>
                          </w:p>
                          <w:p w14:paraId="45E17ED0" w14:textId="1682F485" w:rsidR="00B76878" w:rsidRPr="00576438" w:rsidRDefault="00B76878" w:rsidP="00576438">
                            <w:pPr>
                              <w:rPr>
                                <w:rFonts w:ascii="Times New Roman" w:eastAsia="Times New Roman" w:hAnsi="Times New Roman"/>
                              </w:rPr>
                            </w:pPr>
                            <w:r w:rsidRPr="0060001D">
                              <w:rPr>
                                <w:rFonts w:ascii="Times New Roman" w:eastAsia="Times New Roman" w:hAnsi="Times New Roman"/>
                                <w:b/>
                              </w:rPr>
                              <w:t>Guidance Note:</w:t>
                            </w:r>
                            <w:r w:rsidRPr="0060001D">
                              <w:rPr>
                                <w:rFonts w:ascii="Times New Roman" w:eastAsia="Times New Roman" w:hAnsi="Times New Roman"/>
                              </w:rPr>
                              <w:t xml:space="preserve">  This approach is equivalent to assuming that the separate account performance is equal to the </w:t>
                            </w:r>
                            <w:r>
                              <w:rPr>
                                <w:rFonts w:ascii="Times New Roman" w:eastAsia="Times New Roman" w:hAnsi="Times New Roman"/>
                              </w:rPr>
                              <w:t>a</w:t>
                            </w:r>
                            <w:r w:rsidRPr="0060001D">
                              <w:rPr>
                                <w:rFonts w:ascii="Times New Roman" w:eastAsia="Times New Roman" w:hAnsi="Times New Roman"/>
                              </w:rPr>
                              <w:t xml:space="preserve">ssumed </w:t>
                            </w:r>
                            <w:r>
                              <w:rPr>
                                <w:rFonts w:ascii="Times New Roman" w:eastAsia="Times New Roman" w:hAnsi="Times New Roman"/>
                              </w:rPr>
                              <w:t>i</w:t>
                            </w:r>
                            <w:r w:rsidRPr="0060001D">
                              <w:rPr>
                                <w:rFonts w:ascii="Times New Roman" w:eastAsia="Times New Roman" w:hAnsi="Times New Roman"/>
                              </w:rPr>
                              <w:t>nvestment Return</w:t>
                            </w:r>
                            <w:r w:rsidRPr="000A6D07">
                              <w:rPr>
                                <w:rFonts w:ascii="Times New Roman" w:eastAsia="Times New Roman" w:hAnsi="Times New Roman"/>
                                <w:color w:val="1F497D"/>
                              </w:rPr>
                              <w:t>.</w:t>
                            </w:r>
                          </w:p>
                          <w:p w14:paraId="196403E2" w14:textId="77777777" w:rsidR="00B76878" w:rsidRDefault="00B76878" w:rsidP="00241606">
                            <w:pPr>
                              <w:pStyle w:val="Subtitle"/>
                              <w:ind w:left="720"/>
                              <w:jc w:val="left"/>
                              <w:rPr>
                                <w:b w:val="0"/>
                                <w:sz w:val="22"/>
                                <w:szCs w:val="22"/>
                              </w:rPr>
                            </w:pPr>
                          </w:p>
                          <w:p w14:paraId="2CF5B218" w14:textId="77777777" w:rsidR="00B76878" w:rsidRPr="00F202F7" w:rsidRDefault="00B76878" w:rsidP="00F35A23">
                            <w:pPr>
                              <w:pStyle w:val="Subtitle"/>
                              <w:ind w:left="72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left:0;text-align:left;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B76878" w:rsidRDefault="00B76878" w:rsidP="00241606">
                      <w:pPr>
                        <w:pStyle w:val="Subtitle"/>
                        <w:ind w:left="720"/>
                        <w:jc w:val="left"/>
                        <w:rPr>
                          <w:b w:val="0"/>
                          <w:sz w:val="22"/>
                          <w:szCs w:val="22"/>
                        </w:rPr>
                      </w:pPr>
                    </w:p>
                    <w:p w14:paraId="45E17ED0" w14:textId="1682F485" w:rsidR="00B76878" w:rsidRPr="00576438" w:rsidRDefault="00B76878" w:rsidP="00576438">
                      <w:pPr>
                        <w:rPr>
                          <w:rFonts w:ascii="Times New Roman" w:eastAsia="Times New Roman" w:hAnsi="Times New Roman"/>
                        </w:rPr>
                      </w:pPr>
                      <w:r w:rsidRPr="0060001D">
                        <w:rPr>
                          <w:rFonts w:ascii="Times New Roman" w:eastAsia="Times New Roman" w:hAnsi="Times New Roman"/>
                          <w:b/>
                        </w:rPr>
                        <w:t>Guidance Note:</w:t>
                      </w:r>
                      <w:r w:rsidRPr="0060001D">
                        <w:rPr>
                          <w:rFonts w:ascii="Times New Roman" w:eastAsia="Times New Roman" w:hAnsi="Times New Roman"/>
                        </w:rPr>
                        <w:t xml:space="preserve">  This approach is equivalent to assuming that the separate account performance is equal to the </w:t>
                      </w:r>
                      <w:r>
                        <w:rPr>
                          <w:rFonts w:ascii="Times New Roman" w:eastAsia="Times New Roman" w:hAnsi="Times New Roman"/>
                        </w:rPr>
                        <w:t>a</w:t>
                      </w:r>
                      <w:r w:rsidRPr="0060001D">
                        <w:rPr>
                          <w:rFonts w:ascii="Times New Roman" w:eastAsia="Times New Roman" w:hAnsi="Times New Roman"/>
                        </w:rPr>
                        <w:t xml:space="preserve">ssumed </w:t>
                      </w:r>
                      <w:r>
                        <w:rPr>
                          <w:rFonts w:ascii="Times New Roman" w:eastAsia="Times New Roman" w:hAnsi="Times New Roman"/>
                        </w:rPr>
                        <w:t>i</w:t>
                      </w:r>
                      <w:r w:rsidRPr="0060001D">
                        <w:rPr>
                          <w:rFonts w:ascii="Times New Roman" w:eastAsia="Times New Roman" w:hAnsi="Times New Roman"/>
                        </w:rPr>
                        <w:t>nvestment Return</w:t>
                      </w:r>
                      <w:r w:rsidRPr="000A6D07">
                        <w:rPr>
                          <w:rFonts w:ascii="Times New Roman" w:eastAsia="Times New Roman" w:hAnsi="Times New Roman"/>
                          <w:color w:val="1F497D"/>
                        </w:rPr>
                        <w:t>.</w:t>
                      </w:r>
                    </w:p>
                    <w:p w14:paraId="196403E2" w14:textId="77777777" w:rsidR="00B76878" w:rsidRDefault="00B76878" w:rsidP="00241606">
                      <w:pPr>
                        <w:pStyle w:val="Subtitle"/>
                        <w:ind w:left="720"/>
                        <w:jc w:val="left"/>
                        <w:rPr>
                          <w:b w:val="0"/>
                          <w:sz w:val="22"/>
                          <w:szCs w:val="22"/>
                        </w:rPr>
                      </w:pPr>
                    </w:p>
                    <w:p w14:paraId="2CF5B218" w14:textId="77777777" w:rsidR="00B76878" w:rsidRPr="00F202F7" w:rsidRDefault="00B76878" w:rsidP="00F35A23">
                      <w:pPr>
                        <w:pStyle w:val="Subtitle"/>
                        <w:ind w:left="720"/>
                        <w:rPr>
                          <w:sz w:val="22"/>
                          <w:szCs w:val="22"/>
                        </w:rPr>
                      </w:pPr>
                    </w:p>
                  </w:txbxContent>
                </v:textbox>
                <w10:wrap type="square"/>
              </v:shape>
            </w:pict>
          </mc:Fallback>
        </mc:AlternateContent>
      </w:r>
      <w:r w:rsidR="00CC2E32" w:rsidRPr="0059240B">
        <w:rPr>
          <w:rFonts w:ascii="Times New Roman" w:eastAsia="Times New Roman" w:hAnsi="Times New Roman"/>
        </w:rPr>
        <w:t xml:space="preserve">The </w:t>
      </w:r>
      <w:r w:rsidR="00DE5A16" w:rsidRPr="0059240B">
        <w:rPr>
          <w:rFonts w:ascii="Times New Roman" w:eastAsia="Times New Roman" w:hAnsi="Times New Roman"/>
        </w:rPr>
        <w:t xml:space="preserve">portion </w:t>
      </w:r>
      <w:r w:rsidR="00CC2E32" w:rsidRPr="0059240B">
        <w:rPr>
          <w:rFonts w:ascii="Times New Roman" w:eastAsia="Times New Roman" w:hAnsi="Times New Roman"/>
        </w:rPr>
        <w:t xml:space="preserve">of the aggregate reserve held in the general account shall not be less than the excess of the aggregate reserve over the </w:t>
      </w:r>
      <w:r w:rsidR="00CC2E32" w:rsidRPr="0059240B">
        <w:rPr>
          <w:rFonts w:ascii="Times New Roman" w:hAnsi="Times New Roman"/>
        </w:rPr>
        <w:t xml:space="preserve">aggregate cash surrender value held in the separate account and attributable to the </w:t>
      </w:r>
      <w:r w:rsidR="002C7EA8" w:rsidRPr="0059240B">
        <w:rPr>
          <w:rFonts w:ascii="Times New Roman" w:hAnsi="Times New Roman"/>
        </w:rPr>
        <w:t>separate account</w:t>
      </w:r>
      <w:r w:rsidR="00CC2E32" w:rsidRPr="0059240B">
        <w:rPr>
          <w:rFonts w:ascii="Times New Roman" w:hAnsi="Times New Roman"/>
        </w:rPr>
        <w:t xml:space="preserve"> portion of all such contracts.</w:t>
      </w:r>
      <w:r w:rsidR="00DE5A16" w:rsidRPr="0059240B">
        <w:rPr>
          <w:rFonts w:ascii="Times New Roman" w:hAnsi="Times New Roman"/>
        </w:rPr>
        <w:t xml:space="preserve"> For contracts for which a cash surrender value is not defined</w:t>
      </w:r>
      <w:r w:rsidR="00CC0F00" w:rsidRPr="0059240B">
        <w:rPr>
          <w:rFonts w:ascii="Times New Roman" w:hAnsi="Times New Roman"/>
        </w:rPr>
        <w:t xml:space="preserve">, the company shall substitute for cash surrender value </w:t>
      </w:r>
      <w:r w:rsidRPr="0059240B">
        <w:rPr>
          <w:rFonts w:ascii="Times New Roman" w:eastAsia="Times New Roman" w:hAnsi="Times New Roman"/>
        </w:rPr>
        <w:t>held in the separate account the implicit </w:t>
      </w:r>
      <w:r w:rsidR="00CC0F00" w:rsidRPr="0059240B">
        <w:rPr>
          <w:rFonts w:ascii="Times New Roman" w:hAnsi="Times New Roman"/>
        </w:rPr>
        <w:t>amount for which the contract</w:t>
      </w:r>
      <w:r w:rsidR="003B2C27" w:rsidRPr="0059240B">
        <w:rPr>
          <w:rFonts w:ascii="Times New Roman" w:hAnsi="Times New Roman"/>
        </w:rPr>
        <w:t xml:space="preserve"> </w:t>
      </w:r>
      <w:r w:rsidR="00CC0F00" w:rsidRPr="0059240B">
        <w:rPr>
          <w:rFonts w:ascii="Times New Roman" w:hAnsi="Times New Roman"/>
        </w:rPr>
        <w:t>holder is entitled to receive income based on the performance of the separate account.</w:t>
      </w:r>
      <w:r w:rsidRPr="0059240B">
        <w:rPr>
          <w:rFonts w:ascii="Times New Roman" w:hAnsi="Times New Roman"/>
        </w:rPr>
        <w:t xml:space="preserve"> </w:t>
      </w:r>
      <w:r w:rsidRPr="0059240B">
        <w:rPr>
          <w:rFonts w:ascii="Times New Roman" w:eastAsia="Times New Roman" w:hAnsi="Times New Roman"/>
        </w:rPr>
        <w:t xml:space="preserve">For example, for a variable payout annuity for which a specific number of units is payable, the implicit amount could be the present value of that number of units, discounted at the </w:t>
      </w:r>
      <w:r w:rsidR="00991FA6" w:rsidRPr="0059240B">
        <w:rPr>
          <w:rFonts w:ascii="Times New Roman" w:eastAsia="Times New Roman" w:hAnsi="Times New Roman"/>
        </w:rPr>
        <w:t>a</w:t>
      </w:r>
      <w:r w:rsidRPr="0059240B">
        <w:rPr>
          <w:rFonts w:ascii="Times New Roman" w:eastAsia="Times New Roman" w:hAnsi="Times New Roman"/>
        </w:rPr>
        <w:t xml:space="preserve">ssumed </w:t>
      </w:r>
      <w:r w:rsidR="00991FA6" w:rsidRPr="0059240B">
        <w:rPr>
          <w:rFonts w:ascii="Times New Roman" w:eastAsia="Times New Roman" w:hAnsi="Times New Roman"/>
        </w:rPr>
        <w:t>i</w:t>
      </w:r>
      <w:r w:rsidRPr="0059240B">
        <w:rPr>
          <w:rFonts w:ascii="Times New Roman" w:eastAsia="Times New Roman" w:hAnsi="Times New Roman"/>
        </w:rPr>
        <w:t xml:space="preserve">nvestment </w:t>
      </w:r>
      <w:r w:rsidR="00991FA6" w:rsidRPr="0059240B">
        <w:rPr>
          <w:rFonts w:ascii="Times New Roman" w:eastAsia="Times New Roman" w:hAnsi="Times New Roman"/>
        </w:rPr>
        <w:t>r</w:t>
      </w:r>
      <w:r w:rsidRPr="0059240B">
        <w:rPr>
          <w:rFonts w:ascii="Times New Roman" w:eastAsia="Times New Roman" w:hAnsi="Times New Roman"/>
        </w:rPr>
        <w:t xml:space="preserve">eturn and defined mortality, times the unit value as of the valuation date.  </w:t>
      </w:r>
    </w:p>
    <w:p w14:paraId="469FA5C3" w14:textId="566B4A1D" w:rsidR="00576438" w:rsidRPr="0059240B" w:rsidRDefault="00576438" w:rsidP="00241606">
      <w:pPr>
        <w:pStyle w:val="Subtitle"/>
        <w:ind w:left="720"/>
        <w:jc w:val="left"/>
        <w:rPr>
          <w:b w:val="0"/>
          <w:sz w:val="22"/>
          <w:szCs w:val="22"/>
        </w:rPr>
      </w:pPr>
    </w:p>
    <w:p w14:paraId="5943DD85" w14:textId="77E8E723" w:rsidR="00CC2E32" w:rsidRPr="0059240B" w:rsidRDefault="00CC2E32" w:rsidP="00CC2E32">
      <w:pPr>
        <w:pStyle w:val="Heading3"/>
        <w:spacing w:after="220"/>
        <w:jc w:val="left"/>
        <w:rPr>
          <w:rFonts w:asciiTheme="minorHAnsi" w:hAnsiTheme="minorHAnsi"/>
          <w:b w:val="0"/>
          <w:sz w:val="22"/>
          <w:szCs w:val="22"/>
        </w:rPr>
      </w:pPr>
    </w:p>
    <w:p w14:paraId="3CA8B7EF" w14:textId="42B9CB99" w:rsidR="00CC2E32" w:rsidRPr="0059240B" w:rsidRDefault="00CC2E32" w:rsidP="00067EEF">
      <w:pPr>
        <w:pStyle w:val="Heading3"/>
        <w:spacing w:after="220"/>
        <w:jc w:val="left"/>
        <w:rPr>
          <w:sz w:val="22"/>
          <w:szCs w:val="22"/>
        </w:rPr>
      </w:pPr>
      <w:bookmarkStart w:id="5" w:name="_Section_3._Determination"/>
      <w:bookmarkEnd w:id="5"/>
      <w:r w:rsidRPr="0059240B">
        <w:rPr>
          <w:sz w:val="22"/>
          <w:szCs w:val="22"/>
        </w:rPr>
        <w:t xml:space="preserve">Section </w:t>
      </w:r>
      <w:r w:rsidR="005F7412" w:rsidRPr="0059240B">
        <w:rPr>
          <w:sz w:val="22"/>
          <w:szCs w:val="22"/>
        </w:rPr>
        <w:t>4</w:t>
      </w:r>
      <w:r w:rsidRPr="0059240B">
        <w:rPr>
          <w:sz w:val="22"/>
          <w:szCs w:val="22"/>
        </w:rPr>
        <w:t xml:space="preserve">: Determination of </w:t>
      </w:r>
      <w:r w:rsidR="00614E55" w:rsidRPr="0059240B">
        <w:rPr>
          <w:sz w:val="22"/>
          <w:szCs w:val="22"/>
        </w:rPr>
        <w:t xml:space="preserve">the </w:t>
      </w:r>
      <w:r w:rsidR="00DA2604" w:rsidRPr="0059240B">
        <w:rPr>
          <w:sz w:val="22"/>
          <w:szCs w:val="22"/>
        </w:rPr>
        <w:t>Stochastic Reserve</w:t>
      </w:r>
      <w:r w:rsidRPr="0059240B">
        <w:rPr>
          <w:sz w:val="22"/>
          <w:szCs w:val="22"/>
        </w:rPr>
        <w:t xml:space="preserve"> </w:t>
      </w:r>
    </w:p>
    <w:p w14:paraId="2FA5164E" w14:textId="77777777" w:rsidR="00CC2E32" w:rsidRPr="0059240B" w:rsidRDefault="00CC2E32" w:rsidP="00067EEF">
      <w:pPr>
        <w:spacing w:after="220" w:line="240" w:lineRule="auto"/>
        <w:ind w:left="72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Projection of Accumulated Deficiencies</w:t>
      </w:r>
    </w:p>
    <w:p w14:paraId="6B5576F0"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General Description of Projection</w:t>
      </w:r>
    </w:p>
    <w:p w14:paraId="48C0D5C4" w14:textId="2FEFB22D"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lastRenderedPageBreak/>
        <w:t>The projection of accumulated deficiencies shall be made ignoring federal income tax in both cash flows and discount rates and reflect the dynamics of the expected cash flows for the entire group of contracts, reflecting all product features</w:t>
      </w:r>
      <w:r w:rsidR="006C6B89" w:rsidRPr="0059240B">
        <w:rPr>
          <w:rFonts w:ascii="Times New Roman" w:eastAsia="Times New Roman" w:hAnsi="Times New Roman"/>
        </w:rPr>
        <w:t>,</w:t>
      </w:r>
      <w:r w:rsidR="00803291" w:rsidRPr="0059240B">
        <w:rPr>
          <w:rFonts w:ascii="Times New Roman" w:eastAsia="Times New Roman" w:hAnsi="Times New Roman"/>
        </w:rPr>
        <w:t xml:space="preserve"> </w:t>
      </w:r>
      <w:r w:rsidRPr="0059240B">
        <w:rPr>
          <w:rFonts w:ascii="Times New Roman" w:eastAsia="Times New Roman" w:hAnsi="Times New Roman"/>
        </w:rPr>
        <w:t xml:space="preserve">including </w:t>
      </w:r>
      <w:r w:rsidR="00803291" w:rsidRPr="0059240B">
        <w:rPr>
          <w:rFonts w:ascii="Times New Roman" w:eastAsia="Times New Roman" w:hAnsi="Times New Roman"/>
        </w:rPr>
        <w:t xml:space="preserve">any </w:t>
      </w:r>
      <w:r w:rsidRPr="0059240B">
        <w:rPr>
          <w:rFonts w:ascii="Times New Roman" w:eastAsia="Times New Roman" w:hAnsi="Times New Roman"/>
        </w:rPr>
        <w:t xml:space="preserve">guarantees provided under the contracts. Insurance company expenses (including overhead and investment expense), fund expenses, contractual fees and charges, revenue-sharing income received by the company (net of applicable expenses), and cash flows associated with any reinsurance or hedging instruments are to be reflected on a basis consistent with the requirements herein. Cash flows from any fixed account options also shall be included. Any market value adjustment assessed on projected withdrawals or surrenders also shall be included (whether or not the cash surrender value reflects market value adjustments). </w:t>
      </w:r>
      <w:r w:rsidR="0037323E" w:rsidRPr="0059240B">
        <w:rPr>
          <w:rFonts w:ascii="Times New Roman" w:eastAsia="Times New Roman" w:hAnsi="Times New Roman"/>
        </w:rPr>
        <w:t xml:space="preserve">Throughout the projection, all assumptions shall be determined based on the requirements herein.  </w:t>
      </w:r>
      <w:r w:rsidR="00042FCD" w:rsidRPr="0059240B">
        <w:rPr>
          <w:rFonts w:ascii="Times New Roman" w:eastAsia="Times New Roman" w:hAnsi="Times New Roman"/>
        </w:rPr>
        <w:t>Accumulated d</w:t>
      </w:r>
      <w:r w:rsidR="002F4E4A" w:rsidRPr="0059240B">
        <w:rPr>
          <w:rFonts w:ascii="Times New Roman" w:eastAsia="Times New Roman" w:hAnsi="Times New Roman"/>
        </w:rPr>
        <w:t>eficienc</w:t>
      </w:r>
      <w:r w:rsidR="00A36744" w:rsidRPr="0059240B">
        <w:rPr>
          <w:rFonts w:ascii="Times New Roman" w:eastAsia="Times New Roman" w:hAnsi="Times New Roman"/>
        </w:rPr>
        <w:t>i</w:t>
      </w:r>
      <w:r w:rsidR="002F4E4A" w:rsidRPr="0059240B">
        <w:rPr>
          <w:rFonts w:ascii="Times New Roman" w:eastAsia="Times New Roman" w:hAnsi="Times New Roman"/>
        </w:rPr>
        <w:t xml:space="preserve">es shall be determined at the end of each projection year as the sum of the accumulated deficiencies for all contracts within each </w:t>
      </w:r>
      <w:r w:rsidR="002C7EA8" w:rsidRPr="0059240B">
        <w:rPr>
          <w:rFonts w:ascii="Times New Roman" w:eastAsia="Times New Roman" w:hAnsi="Times New Roman"/>
        </w:rPr>
        <w:t>model segment</w:t>
      </w:r>
      <w:r w:rsidR="002F4E4A" w:rsidRPr="0059240B">
        <w:rPr>
          <w:rFonts w:ascii="Times New Roman" w:eastAsia="Times New Roman" w:hAnsi="Times New Roman"/>
        </w:rPr>
        <w:t>.</w:t>
      </w:r>
    </w:p>
    <w:p w14:paraId="326924ED" w14:textId="19933381" w:rsidR="003E5975" w:rsidRPr="0059240B" w:rsidRDefault="003E5975" w:rsidP="003E5975">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59240B">
        <w:rPr>
          <w:rFonts w:ascii="Times New Roman" w:eastAsia="Times New Roman" w:hAnsi="Times New Roman"/>
          <w:b/>
          <w:bCs/>
        </w:rPr>
        <w:t>Guidance Note:</w:t>
      </w:r>
      <w:r w:rsidRPr="0059240B">
        <w:rPr>
          <w:rFonts w:ascii="Times New Roman" w:eastAsia="Times New Roman" w:hAnsi="Times New Roman"/>
          <w:bCs/>
        </w:rPr>
        <w:t xml:space="preserve"> Treatment of </w:t>
      </w:r>
      <w:r w:rsidR="00CD3B65" w:rsidRPr="0059240B">
        <w:rPr>
          <w:rFonts w:ascii="Times New Roman" w:eastAsia="Times New Roman" w:hAnsi="Times New Roman"/>
          <w:bCs/>
        </w:rPr>
        <w:t>cash flows with m</w:t>
      </w:r>
      <w:r w:rsidRPr="0059240B">
        <w:rPr>
          <w:rFonts w:ascii="Times New Roman" w:eastAsia="Times New Roman" w:hAnsi="Times New Roman"/>
          <w:bCs/>
        </w:rPr>
        <w:t xml:space="preserve">arket </w:t>
      </w:r>
      <w:r w:rsidR="00CD3B65" w:rsidRPr="0059240B">
        <w:rPr>
          <w:rFonts w:ascii="Times New Roman" w:eastAsia="Times New Roman" w:hAnsi="Times New Roman"/>
          <w:bCs/>
        </w:rPr>
        <w:t>v</w:t>
      </w:r>
      <w:r w:rsidRPr="0059240B">
        <w:rPr>
          <w:rFonts w:ascii="Times New Roman" w:eastAsia="Times New Roman" w:hAnsi="Times New Roman"/>
          <w:bCs/>
        </w:rPr>
        <w:t xml:space="preserve">alue adjustments in Section 4.A.1 deviates from the </w:t>
      </w:r>
      <w:r w:rsidR="00CD3B65" w:rsidRPr="0059240B">
        <w:rPr>
          <w:rFonts w:ascii="Times New Roman" w:eastAsia="Times New Roman" w:hAnsi="Times New Roman"/>
          <w:bCs/>
        </w:rPr>
        <w:t>treatment if MVAs in the definition of Cash Surrender Value because…</w:t>
      </w:r>
      <w:r w:rsidRPr="0059240B">
        <w:rPr>
          <w:rFonts w:ascii="Times New Roman" w:eastAsia="Times New Roman" w:hAnsi="Times New Roman"/>
        </w:rPr>
        <w:t>.</w:t>
      </w:r>
    </w:p>
    <w:p w14:paraId="28D58E5B"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Grouping of Variable Funds and Subaccounts</w:t>
      </w:r>
    </w:p>
    <w:p w14:paraId="23C2FDD8" w14:textId="13CAD57C" w:rsidR="00CC2E32" w:rsidRPr="0059240B" w:rsidRDefault="00CC2E32" w:rsidP="00067EEF">
      <w:pPr>
        <w:tabs>
          <w:tab w:val="left" w:pos="1080"/>
        </w:tabs>
        <w:spacing w:after="220" w:line="240" w:lineRule="auto"/>
        <w:ind w:left="1440"/>
        <w:rPr>
          <w:rFonts w:ascii="Times New Roman" w:eastAsia="Times New Roman" w:hAnsi="Times New Roman"/>
        </w:rPr>
      </w:pPr>
      <w:r w:rsidRPr="0059240B">
        <w:rPr>
          <w:rFonts w:ascii="Times New Roman" w:eastAsia="Times New Roman" w:hAnsi="Times New Roman"/>
        </w:rPr>
        <w:t xml:space="preserve">The portion of the starting asset amount held in the separate account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 and the parameters shall have the appropriate relationship to the stochastically generated projection scenarios described in Section </w:t>
      </w:r>
      <w:r w:rsidR="007240CA" w:rsidRPr="0059240B">
        <w:rPr>
          <w:rFonts w:ascii="Times New Roman" w:eastAsia="Times New Roman" w:hAnsi="Times New Roman"/>
        </w:rPr>
        <w:t>8</w:t>
      </w:r>
      <w:r w:rsidRPr="0059240B">
        <w:rPr>
          <w:rFonts w:ascii="Times New Roman" w:eastAsia="Times New Roman" w:hAnsi="Times New Roman"/>
        </w:rPr>
        <w:t>. The grouping shall reflect characteristics of the efficient frontier (i.e., returns generally cannot be increased without assuming additional risk).</w:t>
      </w:r>
    </w:p>
    <w:p w14:paraId="0A911792" w14:textId="26DC988B"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An appropriate proxy fund for each variable subaccount shall be designed in order to develop the investment return paths. The development of the scenarios for the proxy funds is a fundamental step in the modeling and can have a significant impact on results. As such, the </w:t>
      </w:r>
      <w:r w:rsidR="00FA5FBF" w:rsidRPr="0059240B">
        <w:rPr>
          <w:rFonts w:ascii="Times New Roman" w:eastAsia="Times New Roman" w:hAnsi="Times New Roman"/>
        </w:rPr>
        <w:t xml:space="preserve">company </w:t>
      </w:r>
      <w:r w:rsidRPr="0059240B">
        <w:rPr>
          <w:rFonts w:ascii="Times New Roman" w:eastAsia="Times New Roman" w:hAnsi="Times New Roman"/>
        </w:rPr>
        <w:t>must map each variable account to an appropriately crafted proxy fund normally expressed as a linear combination of recognized market indices, sub-indices or funds.</w:t>
      </w:r>
    </w:p>
    <w:p w14:paraId="7B41F62E" w14:textId="77D4E62F"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r>
      <w:r w:rsidR="002C7EA8" w:rsidRPr="0059240B">
        <w:rPr>
          <w:rFonts w:ascii="Times New Roman" w:eastAsia="Times New Roman" w:hAnsi="Times New Roman"/>
        </w:rPr>
        <w:t>Mode</w:t>
      </w:r>
      <w:r w:rsidR="00614E55" w:rsidRPr="0059240B">
        <w:rPr>
          <w:rFonts w:ascii="Times New Roman" w:eastAsia="Times New Roman" w:hAnsi="Times New Roman"/>
        </w:rPr>
        <w:t>l</w:t>
      </w:r>
      <w:r w:rsidR="002C7EA8" w:rsidRPr="0059240B">
        <w:rPr>
          <w:rFonts w:ascii="Times New Roman" w:eastAsia="Times New Roman" w:hAnsi="Times New Roman"/>
        </w:rPr>
        <w:t xml:space="preserve"> Cells</w:t>
      </w:r>
      <w:r w:rsidRPr="0059240B">
        <w:rPr>
          <w:rFonts w:ascii="Times New Roman" w:eastAsia="Times New Roman" w:hAnsi="Times New Roman"/>
        </w:rPr>
        <w:t xml:space="preserve"> </w:t>
      </w:r>
    </w:p>
    <w:p w14:paraId="2C8E411E" w14:textId="45A8109E" w:rsidR="00CC2E32" w:rsidRPr="0059240B" w:rsidRDefault="00CC2E32" w:rsidP="00067EEF">
      <w:pPr>
        <w:tabs>
          <w:tab w:val="left" w:pos="1080"/>
        </w:tabs>
        <w:spacing w:after="220" w:line="240" w:lineRule="auto"/>
        <w:ind w:left="1440"/>
        <w:rPr>
          <w:rFonts w:ascii="Times New Roman" w:eastAsia="Times New Roman" w:hAnsi="Times New Roman"/>
        </w:rPr>
      </w:pPr>
      <w:r w:rsidRPr="0059240B">
        <w:rPr>
          <w:rFonts w:ascii="Times New Roman" w:eastAsia="Times New Roman" w:hAnsi="Times New Roman"/>
        </w:rPr>
        <w:t>Projections may be performed for each contract in force on the date of valuation or by assigning contracts into representative cells of model plans using all characteristics and criteria having a material impact on the size of the reserve. Assigning contracts to model cells may not be done in a manner that intentionally understates the resulting reserve.</w:t>
      </w:r>
    </w:p>
    <w:p w14:paraId="6864DFDB"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Modeling of Hedges</w:t>
      </w:r>
    </w:p>
    <w:p w14:paraId="5B1BEA38" w14:textId="77777777" w:rsidR="005150C7" w:rsidRPr="0059240B" w:rsidRDefault="005150C7" w:rsidP="005150C7">
      <w:pPr>
        <w:spacing w:after="220" w:line="240" w:lineRule="auto"/>
        <w:ind w:left="144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 xml:space="preserve">For a company that does not have a CDHS: </w:t>
      </w:r>
    </w:p>
    <w:p w14:paraId="58F55277" w14:textId="45B50280" w:rsidR="005150C7" w:rsidRPr="0059240B" w:rsidRDefault="005150C7" w:rsidP="005150C7">
      <w:pPr>
        <w:spacing w:after="220" w:line="240" w:lineRule="auto"/>
        <w:ind w:left="216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r>
      <w:r w:rsidR="001C25CF" w:rsidRPr="0059240B">
        <w:rPr>
          <w:rFonts w:ascii="Times New Roman" w:eastAsia="Times New Roman" w:hAnsi="Times New Roman"/>
        </w:rPr>
        <w:t>T</w:t>
      </w:r>
      <w:r w:rsidRPr="0059240B">
        <w:rPr>
          <w:rFonts w:ascii="Times New Roman" w:eastAsia="Times New Roman" w:hAnsi="Times New Roman"/>
        </w:rPr>
        <w:t xml:space="preserve">he company shall not consider the cash flows from any future hedge purchases or any rebalancing of existing hedge assets in its modeling.  </w:t>
      </w:r>
    </w:p>
    <w:p w14:paraId="56697D31" w14:textId="047FB6C6" w:rsidR="005150C7" w:rsidRPr="0059240B" w:rsidRDefault="005150C7" w:rsidP="005150C7">
      <w:pPr>
        <w:spacing w:after="220" w:line="240" w:lineRule="auto"/>
        <w:ind w:left="216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Existing hedging instruments that are currently held by the company in support of the contracts falling under the scope of these requirements shall be included in the starting assets. The hedge assets may then be considered in one of two ways:</w:t>
      </w:r>
    </w:p>
    <w:p w14:paraId="27F4921A" w14:textId="6258C253" w:rsidR="005150C7" w:rsidRPr="0059240B" w:rsidRDefault="005150C7" w:rsidP="00E87EFC">
      <w:pPr>
        <w:pStyle w:val="ListParagraph"/>
        <w:numPr>
          <w:ilvl w:val="0"/>
          <w:numId w:val="32"/>
        </w:numPr>
        <w:spacing w:after="220" w:line="240" w:lineRule="auto"/>
        <w:ind w:left="3600" w:hanging="900"/>
        <w:rPr>
          <w:rFonts w:ascii="Times New Roman" w:eastAsia="Times New Roman" w:hAnsi="Times New Roman"/>
          <w:color w:val="E36C0A" w:themeColor="accent6" w:themeShade="BF"/>
        </w:rPr>
      </w:pPr>
      <w:r w:rsidRPr="0059240B">
        <w:rPr>
          <w:rFonts w:ascii="Times New Roman" w:eastAsia="Times New Roman" w:hAnsi="Times New Roman"/>
        </w:rPr>
        <w:t>Include the asset cash flows from any contractual payments and maturity values in the projection model, or</w:t>
      </w:r>
    </w:p>
    <w:p w14:paraId="7E92C832" w14:textId="164F462C" w:rsidR="001C25CF" w:rsidRPr="0059240B" w:rsidRDefault="005150C7" w:rsidP="00E87EFC">
      <w:pPr>
        <w:pStyle w:val="ListParagraph"/>
        <w:numPr>
          <w:ilvl w:val="0"/>
          <w:numId w:val="33"/>
        </w:numPr>
        <w:spacing w:after="220" w:line="240" w:lineRule="auto"/>
        <w:ind w:left="3600" w:hanging="900"/>
        <w:rPr>
          <w:rFonts w:ascii="Times New Roman" w:eastAsia="Times New Roman" w:hAnsi="Times New Roman"/>
          <w:color w:val="E36C0A" w:themeColor="accent6" w:themeShade="BF"/>
        </w:rPr>
      </w:pPr>
      <w:r w:rsidRPr="0059240B">
        <w:rPr>
          <w:rFonts w:ascii="Times New Roman" w:eastAsia="Times New Roman" w:hAnsi="Times New Roman"/>
        </w:rPr>
        <w:t xml:space="preserve">No hedge positions – in which case the hedge positions held on the </w:t>
      </w:r>
      <w:r w:rsidRPr="0059240B">
        <w:rPr>
          <w:rFonts w:ascii="Times New Roman" w:eastAsia="Times New Roman" w:hAnsi="Times New Roman"/>
        </w:rPr>
        <w:lastRenderedPageBreak/>
        <w:t xml:space="preserve">valuation date are replaced with cash and/or other general account assets in an amount equal to the aggregate market value of these hedge positions. </w:t>
      </w:r>
      <w:commentRangeStart w:id="6"/>
      <w:commentRangeEnd w:id="6"/>
    </w:p>
    <w:p w14:paraId="440DE41B" w14:textId="77777777" w:rsidR="005150C7" w:rsidRPr="0059240B" w:rsidRDefault="005150C7" w:rsidP="005150C7">
      <w:pPr>
        <w:spacing w:after="220" w:line="240" w:lineRule="auto"/>
        <w:ind w:left="2700"/>
        <w:rPr>
          <w:rFonts w:ascii="Times New Roman" w:eastAsia="Times New Roman" w:hAnsi="Times New Roman"/>
        </w:rPr>
      </w:pPr>
      <w:r w:rsidRPr="0059240B">
        <w:rPr>
          <w:rFonts w:ascii="Times New Roman" w:eastAsia="Times New Roman" w:hAnsi="Times New Roman"/>
        </w:rPr>
        <w:t>A company may switch from method a) to b) at any time, but may only change from b) to a) with approval of the domiciliary commissioner.</w:t>
      </w:r>
    </w:p>
    <w:p w14:paraId="63F4A9C3" w14:textId="77777777" w:rsidR="005150C7" w:rsidRPr="0059240B" w:rsidRDefault="005150C7" w:rsidP="005150C7">
      <w:pPr>
        <w:spacing w:after="220" w:line="240" w:lineRule="auto"/>
        <w:ind w:left="1440"/>
        <w:rPr>
          <w:rFonts w:ascii="Times New Roman" w:eastAsia="Times New Roman" w:hAnsi="Times New Roman"/>
        </w:rPr>
      </w:pPr>
    </w:p>
    <w:p w14:paraId="2536E6B5" w14:textId="31FA4F3F" w:rsidR="00CC0F00" w:rsidRPr="0059240B" w:rsidRDefault="005150C7" w:rsidP="005150C7">
      <w:pPr>
        <w:spacing w:after="220" w:line="240" w:lineRule="auto"/>
        <w:ind w:left="144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For a compa</w:t>
      </w:r>
      <w:r w:rsidR="005B7702" w:rsidRPr="0059240B">
        <w:rPr>
          <w:rFonts w:ascii="Times New Roman" w:eastAsia="Times New Roman" w:hAnsi="Times New Roman"/>
        </w:rPr>
        <w:t>n</w:t>
      </w:r>
      <w:r w:rsidRPr="0059240B">
        <w:rPr>
          <w:rFonts w:ascii="Times New Roman" w:eastAsia="Times New Roman" w:hAnsi="Times New Roman"/>
        </w:rPr>
        <w:t>y with a CDHS, t</w:t>
      </w:r>
      <w:r w:rsidR="00CC0F00" w:rsidRPr="0059240B">
        <w:rPr>
          <w:rFonts w:ascii="Times New Roman" w:eastAsia="Times New Roman" w:hAnsi="Times New Roman"/>
        </w:rPr>
        <w:t xml:space="preserve">he detailed requirements for the modeling of hedges are defined in Section 9.  The following </w:t>
      </w:r>
      <w:r w:rsidR="00E06E49" w:rsidRPr="0059240B">
        <w:rPr>
          <w:rFonts w:ascii="Times New Roman" w:eastAsia="Times New Roman" w:hAnsi="Times New Roman"/>
        </w:rPr>
        <w:t>paragraphs are</w:t>
      </w:r>
      <w:r w:rsidR="00CC0F00" w:rsidRPr="0059240B">
        <w:rPr>
          <w:rFonts w:ascii="Times New Roman" w:eastAsia="Times New Roman" w:hAnsi="Times New Roman"/>
        </w:rPr>
        <w:t xml:space="preserve"> a</w:t>
      </w:r>
      <w:r w:rsidR="001C25CF" w:rsidRPr="0059240B">
        <w:rPr>
          <w:rFonts w:ascii="Times New Roman" w:eastAsia="Times New Roman" w:hAnsi="Times New Roman"/>
        </w:rPr>
        <w:t xml:space="preserve"> high level</w:t>
      </w:r>
      <w:r w:rsidR="00E06E49" w:rsidRPr="0059240B">
        <w:rPr>
          <w:rFonts w:ascii="Times New Roman" w:eastAsia="Times New Roman" w:hAnsi="Times New Roman"/>
        </w:rPr>
        <w:t xml:space="preserve"> summary and do not </w:t>
      </w:r>
      <w:r w:rsidR="007240CA" w:rsidRPr="0059240B">
        <w:rPr>
          <w:rFonts w:ascii="Times New Roman" w:eastAsia="Times New Roman" w:hAnsi="Times New Roman"/>
        </w:rPr>
        <w:t xml:space="preserve">supersede </w:t>
      </w:r>
      <w:r w:rsidR="00E06E49" w:rsidRPr="0059240B">
        <w:rPr>
          <w:rFonts w:ascii="Times New Roman" w:eastAsia="Times New Roman" w:hAnsi="Times New Roman"/>
        </w:rPr>
        <w:t>the detailed requirements.</w:t>
      </w:r>
      <w:r w:rsidR="00CC0F00" w:rsidRPr="0059240B">
        <w:rPr>
          <w:rFonts w:ascii="Times New Roman" w:eastAsia="Times New Roman" w:hAnsi="Times New Roman"/>
        </w:rPr>
        <w:t xml:space="preserve"> </w:t>
      </w:r>
    </w:p>
    <w:p w14:paraId="0CE408D9" w14:textId="40182B46" w:rsidR="00E06E49" w:rsidRPr="0059240B" w:rsidRDefault="005150C7" w:rsidP="008E715F">
      <w:pPr>
        <w:spacing w:after="220" w:line="240" w:lineRule="auto"/>
        <w:ind w:left="2160" w:hanging="360"/>
        <w:rPr>
          <w:rFonts w:ascii="Times New Roman" w:eastAsia="Times New Roman" w:hAnsi="Times New Roman"/>
        </w:rPr>
      </w:pPr>
      <w:r w:rsidRPr="0059240B">
        <w:rPr>
          <w:rFonts w:ascii="Times New Roman" w:eastAsia="Times New Roman" w:hAnsi="Times New Roman"/>
        </w:rPr>
        <w:t>i</w:t>
      </w:r>
      <w:r w:rsidR="001C516B" w:rsidRPr="0059240B">
        <w:rPr>
          <w:rFonts w:ascii="Times New Roman" w:eastAsia="Times New Roman" w:hAnsi="Times New Roman"/>
        </w:rPr>
        <w:t>.</w:t>
      </w:r>
      <w:r w:rsidR="00E06E49" w:rsidRPr="0059240B">
        <w:rPr>
          <w:rFonts w:ascii="Times New Roman" w:eastAsia="Times New Roman" w:hAnsi="Times New Roman"/>
        </w:rPr>
        <w:tab/>
      </w:r>
      <w:r w:rsidR="00CC2E32" w:rsidRPr="0059240B">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r w:rsidR="00952221" w:rsidRPr="0059240B">
        <w:rPr>
          <w:rFonts w:ascii="Times New Roman" w:eastAsia="Times New Roman" w:hAnsi="Times New Roman"/>
        </w:rPr>
        <w:t xml:space="preserve"> used in the </w:t>
      </w:r>
      <w:r w:rsidR="00703F1B" w:rsidRPr="0059240B">
        <w:rPr>
          <w:rFonts w:ascii="Times New Roman" w:eastAsia="Times New Roman" w:hAnsi="Times New Roman"/>
        </w:rPr>
        <w:t>determination of the stochastic reserve</w:t>
      </w:r>
      <w:r w:rsidR="00CC2E32" w:rsidRPr="0059240B">
        <w:rPr>
          <w:rFonts w:ascii="Times New Roman" w:eastAsia="Times New Roman" w:hAnsi="Times New Roman"/>
        </w:rPr>
        <w:t xml:space="preserve">. </w:t>
      </w:r>
    </w:p>
    <w:p w14:paraId="3895F1C8" w14:textId="3F5D58ED" w:rsidR="00F7776B" w:rsidRPr="0059240B" w:rsidRDefault="005150C7" w:rsidP="00067EEF">
      <w:pPr>
        <w:spacing w:after="220" w:line="240" w:lineRule="auto"/>
        <w:ind w:left="2160" w:hanging="360"/>
        <w:rPr>
          <w:rFonts w:ascii="Times New Roman" w:eastAsia="Times New Roman" w:hAnsi="Times New Roman"/>
        </w:rPr>
      </w:pPr>
      <w:r w:rsidRPr="0059240B">
        <w:rPr>
          <w:rFonts w:ascii="Times New Roman" w:eastAsia="Times New Roman" w:hAnsi="Times New Roman"/>
        </w:rPr>
        <w:t>ii</w:t>
      </w:r>
      <w:r w:rsidR="001C516B" w:rsidRPr="0059240B">
        <w:rPr>
          <w:rFonts w:ascii="Times New Roman" w:eastAsia="Times New Roman" w:hAnsi="Times New Roman"/>
        </w:rPr>
        <w:t>.</w:t>
      </w:r>
      <w:r w:rsidR="00E06E49" w:rsidRPr="0059240B">
        <w:rPr>
          <w:rFonts w:ascii="Times New Roman" w:eastAsia="Times New Roman" w:hAnsi="Times New Roman"/>
        </w:rPr>
        <w:tab/>
      </w:r>
      <w:r w:rsidRPr="0059240B">
        <w:rPr>
          <w:rFonts w:ascii="Times New Roman" w:eastAsia="Times New Roman" w:hAnsi="Times New Roman"/>
        </w:rPr>
        <w:t>T</w:t>
      </w:r>
      <w:r w:rsidR="00CC2E32" w:rsidRPr="0059240B">
        <w:rPr>
          <w:rFonts w:ascii="Times New Roman" w:eastAsia="Times New Roman" w:hAnsi="Times New Roman"/>
        </w:rPr>
        <w:t xml:space="preserve">he projections shall take into account the appropriate costs and benefits of hedge positions expected to be held in the future through the execution of </w:t>
      </w:r>
      <w:r w:rsidR="00CD3B65" w:rsidRPr="0059240B">
        <w:rPr>
          <w:rFonts w:ascii="Times New Roman" w:eastAsia="Times New Roman" w:hAnsi="Times New Roman"/>
        </w:rPr>
        <w:t>the</w:t>
      </w:r>
      <w:r w:rsidR="001C25CF" w:rsidRPr="0059240B">
        <w:rPr>
          <w:rFonts w:ascii="Times New Roman" w:eastAsia="Times New Roman" w:hAnsi="Times New Roman"/>
        </w:rPr>
        <w:t xml:space="preserve"> CDHS</w:t>
      </w:r>
      <w:r w:rsidR="00CC2E32" w:rsidRPr="0059240B">
        <w:rPr>
          <w:rFonts w:ascii="Times New Roman" w:eastAsia="Times New Roman" w:hAnsi="Times New Roman"/>
        </w:rPr>
        <w:t>.</w:t>
      </w:r>
      <w:r w:rsidR="0076663C" w:rsidRPr="0059240B">
        <w:rPr>
          <w:rFonts w:ascii="Times New Roman" w:eastAsia="Times New Roman" w:hAnsi="Times New Roman"/>
        </w:rPr>
        <w:t xml:space="preserve">  </w:t>
      </w:r>
      <w:r w:rsidR="00F71D15" w:rsidRPr="0059240B">
        <w:rPr>
          <w:rFonts w:ascii="Times New Roman" w:eastAsia="Times New Roman" w:hAnsi="Times New Roman"/>
        </w:rPr>
        <w:t>Because models do not always accurately portray the results of hedge programs, t</w:t>
      </w:r>
      <w:r w:rsidR="0076663C" w:rsidRPr="0059240B">
        <w:rPr>
          <w:rFonts w:ascii="Times New Roman" w:eastAsia="Times New Roman" w:hAnsi="Times New Roman"/>
        </w:rPr>
        <w:t xml:space="preserve">he company shall, through back-testing and other means, </w:t>
      </w:r>
      <w:r w:rsidR="00977A2B" w:rsidRPr="0059240B">
        <w:rPr>
          <w:rFonts w:ascii="Times New Roman" w:eastAsia="Times New Roman" w:hAnsi="Times New Roman"/>
        </w:rPr>
        <w:t xml:space="preserve">assess </w:t>
      </w:r>
      <w:r w:rsidR="001C516B" w:rsidRPr="0059240B">
        <w:rPr>
          <w:rFonts w:ascii="Times New Roman" w:eastAsia="Times New Roman" w:hAnsi="Times New Roman"/>
        </w:rPr>
        <w:t>the accuracy of the</w:t>
      </w:r>
      <w:r w:rsidR="00CC2E32" w:rsidRPr="0059240B">
        <w:rPr>
          <w:rFonts w:ascii="Times New Roman" w:eastAsia="Times New Roman" w:hAnsi="Times New Roman"/>
        </w:rPr>
        <w:t xml:space="preserve"> hedge</w:t>
      </w:r>
      <w:r w:rsidR="001C516B" w:rsidRPr="0059240B">
        <w:rPr>
          <w:rFonts w:ascii="Times New Roman" w:eastAsia="Times New Roman" w:hAnsi="Times New Roman"/>
        </w:rPr>
        <w:t xml:space="preserve"> </w:t>
      </w:r>
      <w:r w:rsidR="0076663C" w:rsidRPr="0059240B">
        <w:rPr>
          <w:rFonts w:ascii="Times New Roman" w:eastAsia="Times New Roman" w:hAnsi="Times New Roman"/>
        </w:rPr>
        <w:t>modeling</w:t>
      </w:r>
      <w:r w:rsidR="00CC2E32" w:rsidRPr="0059240B">
        <w:rPr>
          <w:rFonts w:ascii="Times New Roman" w:eastAsia="Times New Roman" w:hAnsi="Times New Roman"/>
        </w:rPr>
        <w:t xml:space="preserve">. </w:t>
      </w:r>
      <w:r w:rsidR="0076663C" w:rsidRPr="0059240B">
        <w:rPr>
          <w:rFonts w:ascii="Times New Roman" w:eastAsia="Times New Roman" w:hAnsi="Times New Roman"/>
        </w:rPr>
        <w:t xml:space="preserve"> </w:t>
      </w:r>
      <w:r w:rsidR="001C516B" w:rsidRPr="0059240B">
        <w:rPr>
          <w:rFonts w:ascii="Times New Roman" w:eastAsia="Times New Roman" w:hAnsi="Times New Roman"/>
        </w:rPr>
        <w:t xml:space="preserve">The company shall </w:t>
      </w:r>
      <w:r w:rsidR="00AE42E2" w:rsidRPr="0059240B">
        <w:rPr>
          <w:rFonts w:ascii="Times New Roman" w:eastAsia="Times New Roman" w:hAnsi="Times New Roman"/>
        </w:rPr>
        <w:t xml:space="preserve">determine </w:t>
      </w:r>
      <w:r w:rsidR="001C516B" w:rsidRPr="0059240B">
        <w:rPr>
          <w:rFonts w:ascii="Times New Roman" w:eastAsia="Times New Roman" w:hAnsi="Times New Roman"/>
        </w:rPr>
        <w:t xml:space="preserve">a </w:t>
      </w:r>
      <w:r w:rsidR="00DA2604" w:rsidRPr="0059240B">
        <w:rPr>
          <w:rFonts w:ascii="Times New Roman" w:eastAsia="Times New Roman" w:hAnsi="Times New Roman"/>
        </w:rPr>
        <w:t>s</w:t>
      </w:r>
      <w:r w:rsidR="00952221" w:rsidRPr="0059240B">
        <w:rPr>
          <w:rFonts w:ascii="Times New Roman" w:eastAsia="Times New Roman" w:hAnsi="Times New Roman"/>
        </w:rPr>
        <w:t>tochastic</w:t>
      </w:r>
      <w:r w:rsidR="00DA2604" w:rsidRPr="0059240B">
        <w:rPr>
          <w:rFonts w:ascii="Times New Roman" w:eastAsia="Times New Roman" w:hAnsi="Times New Roman"/>
        </w:rPr>
        <w:t xml:space="preserve"> reserve </w:t>
      </w:r>
      <w:r w:rsidR="00952221" w:rsidRPr="0059240B">
        <w:rPr>
          <w:rFonts w:ascii="Times New Roman" w:eastAsia="Times New Roman" w:hAnsi="Times New Roman"/>
        </w:rPr>
        <w:t>as the weighted average</w:t>
      </w:r>
      <w:r w:rsidR="00DA2604" w:rsidRPr="0059240B">
        <w:rPr>
          <w:rFonts w:ascii="Times New Roman" w:eastAsia="Times New Roman" w:hAnsi="Times New Roman"/>
        </w:rPr>
        <w:t xml:space="preserve"> of two </w:t>
      </w:r>
      <w:r w:rsidR="001C516B" w:rsidRPr="0059240B">
        <w:rPr>
          <w:rFonts w:ascii="Times New Roman" w:eastAsia="Times New Roman" w:hAnsi="Times New Roman"/>
        </w:rPr>
        <w:t>C</w:t>
      </w:r>
      <w:r w:rsidR="00BE00BC" w:rsidRPr="0059240B">
        <w:rPr>
          <w:rFonts w:ascii="Times New Roman" w:eastAsia="Times New Roman" w:hAnsi="Times New Roman"/>
        </w:rPr>
        <w:t xml:space="preserve">TE </w:t>
      </w:r>
      <w:r w:rsidR="006E6F7F" w:rsidRPr="0059240B">
        <w:rPr>
          <w:rFonts w:ascii="Times New Roman" w:eastAsia="Times New Roman" w:hAnsi="Times New Roman"/>
        </w:rPr>
        <w:t>values</w:t>
      </w:r>
      <w:r w:rsidR="00977A2B" w:rsidRPr="0059240B">
        <w:rPr>
          <w:rFonts w:ascii="Times New Roman" w:eastAsia="Times New Roman" w:hAnsi="Times New Roman"/>
        </w:rPr>
        <w:t>;</w:t>
      </w:r>
      <w:r w:rsidR="00F71D15" w:rsidRPr="0059240B">
        <w:rPr>
          <w:rFonts w:ascii="Times New Roman" w:eastAsia="Times New Roman" w:hAnsi="Times New Roman"/>
        </w:rPr>
        <w:t xml:space="preserve"> first</w:t>
      </w:r>
      <w:r w:rsidR="00977A2B" w:rsidRPr="0059240B">
        <w:rPr>
          <w:rFonts w:ascii="Times New Roman" w:eastAsia="Times New Roman" w:hAnsi="Times New Roman"/>
        </w:rPr>
        <w:t>,</w:t>
      </w:r>
      <w:r w:rsidR="00F71D15" w:rsidRPr="0059240B">
        <w:rPr>
          <w:rFonts w:ascii="Times New Roman" w:eastAsia="Times New Roman" w:hAnsi="Times New Roman"/>
        </w:rPr>
        <w:t xml:space="preserve"> </w:t>
      </w:r>
      <w:r w:rsidR="00DA2604" w:rsidRPr="0059240B">
        <w:rPr>
          <w:rFonts w:ascii="Times New Roman" w:eastAsia="Times New Roman" w:hAnsi="Times New Roman"/>
        </w:rPr>
        <w:t xml:space="preserve">a </w:t>
      </w:r>
      <w:r w:rsidR="00BE00BC" w:rsidRPr="0059240B">
        <w:rPr>
          <w:rFonts w:ascii="Times New Roman" w:eastAsia="Times New Roman" w:hAnsi="Times New Roman"/>
        </w:rPr>
        <w:t>CTE</w:t>
      </w:r>
      <w:r w:rsidR="00DA2604" w:rsidRPr="0059240B">
        <w:rPr>
          <w:rFonts w:ascii="Times New Roman" w:eastAsia="Times New Roman" w:hAnsi="Times New Roman"/>
        </w:rPr>
        <w:t>70</w:t>
      </w:r>
      <w:r w:rsidR="00D541EC" w:rsidRPr="0059240B">
        <w:rPr>
          <w:rFonts w:ascii="Times New Roman" w:eastAsia="Times New Roman" w:hAnsi="Times New Roman"/>
        </w:rPr>
        <w:t xml:space="preserve"> </w:t>
      </w:r>
      <w:r w:rsidR="00BE00BC" w:rsidRPr="0059240B">
        <w:rPr>
          <w:rFonts w:ascii="Times New Roman" w:eastAsia="Times New Roman" w:hAnsi="Times New Roman"/>
        </w:rPr>
        <w:t>(</w:t>
      </w:r>
      <w:r w:rsidR="00DE16A5" w:rsidRPr="0059240B">
        <w:rPr>
          <w:rFonts w:ascii="Times New Roman" w:eastAsia="Times New Roman" w:hAnsi="Times New Roman"/>
        </w:rPr>
        <w:t>“</w:t>
      </w:r>
      <w:r w:rsidR="00BE00BC" w:rsidRPr="0059240B">
        <w:rPr>
          <w:rFonts w:ascii="Times New Roman" w:eastAsia="Times New Roman" w:hAnsi="Times New Roman"/>
        </w:rPr>
        <w:t>best efforts</w:t>
      </w:r>
      <w:r w:rsidR="00DE16A5" w:rsidRPr="0059240B">
        <w:rPr>
          <w:rFonts w:ascii="Times New Roman" w:eastAsia="Times New Roman" w:hAnsi="Times New Roman"/>
        </w:rPr>
        <w:t>”</w:t>
      </w:r>
      <w:r w:rsidR="00BE00BC" w:rsidRPr="0059240B">
        <w:rPr>
          <w:rFonts w:ascii="Times New Roman" w:eastAsia="Times New Roman" w:hAnsi="Times New Roman"/>
        </w:rPr>
        <w:t>)</w:t>
      </w:r>
      <w:r w:rsidR="002F4E4A" w:rsidRPr="0059240B">
        <w:rPr>
          <w:rFonts w:ascii="Times New Roman" w:eastAsia="Times New Roman" w:hAnsi="Times New Roman"/>
        </w:rPr>
        <w:t xml:space="preserve"> representing </w:t>
      </w:r>
      <w:r w:rsidR="00CD3B65" w:rsidRPr="0059240B">
        <w:rPr>
          <w:rFonts w:ascii="Times New Roman" w:eastAsia="Times New Roman" w:hAnsi="Times New Roman"/>
        </w:rPr>
        <w:t>the</w:t>
      </w:r>
      <w:r w:rsidR="00F71D15" w:rsidRPr="0059240B">
        <w:rPr>
          <w:rFonts w:ascii="Times New Roman" w:eastAsia="Times New Roman" w:hAnsi="Times New Roman"/>
        </w:rPr>
        <w:t xml:space="preserve"> </w:t>
      </w:r>
      <w:r w:rsidR="001C516B" w:rsidRPr="0059240B">
        <w:rPr>
          <w:rFonts w:ascii="Times New Roman" w:eastAsia="Times New Roman" w:hAnsi="Times New Roman"/>
        </w:rPr>
        <w:t xml:space="preserve">company’s </w:t>
      </w:r>
      <w:r w:rsidR="002F4E4A" w:rsidRPr="0059240B">
        <w:rPr>
          <w:rFonts w:ascii="Times New Roman" w:eastAsia="Times New Roman" w:hAnsi="Times New Roman"/>
        </w:rPr>
        <w:t>projection</w:t>
      </w:r>
      <w:r w:rsidR="001C516B" w:rsidRPr="0059240B">
        <w:rPr>
          <w:rFonts w:ascii="Times New Roman" w:eastAsia="Times New Roman" w:hAnsi="Times New Roman"/>
        </w:rPr>
        <w:t xml:space="preserve"> of </w:t>
      </w:r>
      <w:r w:rsidR="00F71D15" w:rsidRPr="0059240B">
        <w:rPr>
          <w:rFonts w:ascii="Times New Roman" w:eastAsia="Times New Roman" w:hAnsi="Times New Roman"/>
        </w:rPr>
        <w:t xml:space="preserve">all of </w:t>
      </w:r>
      <w:r w:rsidR="001C516B" w:rsidRPr="0059240B">
        <w:rPr>
          <w:rFonts w:ascii="Times New Roman" w:eastAsia="Times New Roman" w:hAnsi="Times New Roman"/>
        </w:rPr>
        <w:t>the hedge cash flows</w:t>
      </w:r>
      <w:r w:rsidR="00F71D15" w:rsidRPr="0059240B">
        <w:rPr>
          <w:rFonts w:ascii="Times New Roman" w:eastAsia="Times New Roman" w:hAnsi="Times New Roman"/>
        </w:rPr>
        <w:t xml:space="preserve"> including future hedge purchases</w:t>
      </w:r>
      <w:r w:rsidR="001C516B" w:rsidRPr="0059240B">
        <w:rPr>
          <w:rFonts w:ascii="Times New Roman" w:eastAsia="Times New Roman" w:hAnsi="Times New Roman"/>
        </w:rPr>
        <w:t>, and a</w:t>
      </w:r>
      <w:r w:rsidR="003B2CE9" w:rsidRPr="0059240B">
        <w:rPr>
          <w:rFonts w:ascii="Times New Roman" w:eastAsia="Times New Roman" w:hAnsi="Times New Roman"/>
        </w:rPr>
        <w:t xml:space="preserve"> second </w:t>
      </w:r>
      <w:r w:rsidR="001C516B" w:rsidRPr="0059240B">
        <w:rPr>
          <w:rFonts w:ascii="Times New Roman" w:eastAsia="Times New Roman" w:hAnsi="Times New Roman"/>
        </w:rPr>
        <w:t>CTE</w:t>
      </w:r>
      <w:r w:rsidR="00DA2604" w:rsidRPr="0059240B">
        <w:rPr>
          <w:rFonts w:ascii="Times New Roman" w:eastAsia="Times New Roman" w:hAnsi="Times New Roman"/>
        </w:rPr>
        <w:t>70</w:t>
      </w:r>
      <w:r w:rsidR="00BE00BC" w:rsidRPr="0059240B">
        <w:rPr>
          <w:rFonts w:ascii="Times New Roman" w:eastAsia="Times New Roman" w:hAnsi="Times New Roman"/>
        </w:rPr>
        <w:t xml:space="preserve"> (</w:t>
      </w:r>
      <w:r w:rsidR="00DE16A5" w:rsidRPr="0059240B">
        <w:rPr>
          <w:rFonts w:ascii="Times New Roman" w:eastAsia="Times New Roman" w:hAnsi="Times New Roman"/>
        </w:rPr>
        <w:t>“</w:t>
      </w:r>
      <w:r w:rsidR="00BE00BC" w:rsidRPr="0059240B">
        <w:rPr>
          <w:rFonts w:ascii="Times New Roman" w:eastAsia="Times New Roman" w:hAnsi="Times New Roman"/>
        </w:rPr>
        <w:t>adjusted</w:t>
      </w:r>
      <w:r w:rsidR="00DE16A5" w:rsidRPr="0059240B">
        <w:rPr>
          <w:rFonts w:ascii="Times New Roman" w:eastAsia="Times New Roman" w:hAnsi="Times New Roman"/>
        </w:rPr>
        <w:t>”</w:t>
      </w:r>
      <w:r w:rsidR="00977A2B" w:rsidRPr="0059240B">
        <w:rPr>
          <w:rFonts w:ascii="Times New Roman" w:eastAsia="Times New Roman" w:hAnsi="Times New Roman"/>
        </w:rPr>
        <w:t>)</w:t>
      </w:r>
      <w:r w:rsidR="008F38CE" w:rsidRPr="0059240B">
        <w:rPr>
          <w:rFonts w:ascii="Times New Roman" w:eastAsia="Times New Roman" w:hAnsi="Times New Roman"/>
        </w:rPr>
        <w:t xml:space="preserve"> </w:t>
      </w:r>
      <w:r w:rsidR="001C516B" w:rsidRPr="0059240B">
        <w:rPr>
          <w:rFonts w:ascii="Times New Roman" w:eastAsia="Times New Roman" w:hAnsi="Times New Roman"/>
        </w:rPr>
        <w:t xml:space="preserve">which shall use only hedge assets held by the company on the valuation date and no future hedge purchases.  </w:t>
      </w:r>
      <w:r w:rsidR="00BE00BC" w:rsidRPr="0059240B">
        <w:rPr>
          <w:rFonts w:ascii="Times New Roman" w:eastAsia="Times New Roman" w:hAnsi="Times New Roman"/>
        </w:rPr>
        <w:t xml:space="preserve">These are described more fully in Section </w:t>
      </w:r>
      <w:r w:rsidR="001B40C9" w:rsidRPr="0059240B">
        <w:rPr>
          <w:rFonts w:ascii="Times New Roman" w:eastAsia="Times New Roman" w:hAnsi="Times New Roman"/>
        </w:rPr>
        <w:t>9</w:t>
      </w:r>
      <w:r w:rsidR="00BE00BC" w:rsidRPr="0059240B">
        <w:rPr>
          <w:rFonts w:ascii="Times New Roman" w:eastAsia="Times New Roman" w:hAnsi="Times New Roman"/>
        </w:rPr>
        <w:t xml:space="preserve">.  </w:t>
      </w:r>
      <w:r w:rsidR="003B2CE9" w:rsidRPr="0059240B">
        <w:rPr>
          <w:rFonts w:ascii="Times New Roman" w:eastAsia="Times New Roman" w:hAnsi="Times New Roman"/>
        </w:rPr>
        <w:t>T</w:t>
      </w:r>
      <w:r w:rsidR="0076663C" w:rsidRPr="0059240B">
        <w:rPr>
          <w:rFonts w:ascii="Times New Roman" w:eastAsia="Times New Roman" w:hAnsi="Times New Roman"/>
        </w:rPr>
        <w:t xml:space="preserve">he </w:t>
      </w:r>
      <w:r w:rsidR="00DA2604" w:rsidRPr="0059240B">
        <w:rPr>
          <w:rFonts w:ascii="Times New Roman" w:eastAsia="Times New Roman" w:hAnsi="Times New Roman"/>
        </w:rPr>
        <w:t xml:space="preserve">stochastic </w:t>
      </w:r>
      <w:r w:rsidR="0076663C" w:rsidRPr="0059240B">
        <w:rPr>
          <w:rFonts w:ascii="Times New Roman" w:eastAsia="Times New Roman" w:hAnsi="Times New Roman"/>
        </w:rPr>
        <w:t xml:space="preserve">reserve shall </w:t>
      </w:r>
      <w:r w:rsidR="00977A2B" w:rsidRPr="0059240B">
        <w:rPr>
          <w:rFonts w:ascii="Times New Roman" w:eastAsia="Times New Roman" w:hAnsi="Times New Roman"/>
        </w:rPr>
        <w:t xml:space="preserve">be the </w:t>
      </w:r>
      <w:r w:rsidR="0076663C" w:rsidRPr="0059240B">
        <w:rPr>
          <w:rFonts w:ascii="Times New Roman" w:eastAsia="Times New Roman" w:hAnsi="Times New Roman"/>
        </w:rPr>
        <w:t>weight</w:t>
      </w:r>
      <w:r w:rsidR="00977A2B" w:rsidRPr="0059240B">
        <w:rPr>
          <w:rFonts w:ascii="Times New Roman" w:eastAsia="Times New Roman" w:hAnsi="Times New Roman"/>
        </w:rPr>
        <w:t xml:space="preserve">ed average of </w:t>
      </w:r>
      <w:r w:rsidR="0076663C" w:rsidRPr="0059240B">
        <w:rPr>
          <w:rFonts w:ascii="Times New Roman" w:eastAsia="Times New Roman" w:hAnsi="Times New Roman"/>
        </w:rPr>
        <w:t xml:space="preserve">the two </w:t>
      </w:r>
      <w:r w:rsidR="00DA2604" w:rsidRPr="0059240B">
        <w:rPr>
          <w:rFonts w:ascii="Times New Roman" w:eastAsia="Times New Roman" w:hAnsi="Times New Roman"/>
        </w:rPr>
        <w:t xml:space="preserve">CTE70 </w:t>
      </w:r>
      <w:r w:rsidR="0076663C" w:rsidRPr="0059240B">
        <w:rPr>
          <w:rFonts w:ascii="Times New Roman" w:eastAsia="Times New Roman" w:hAnsi="Times New Roman"/>
        </w:rPr>
        <w:t>values</w:t>
      </w:r>
      <w:r w:rsidR="00BE00BC" w:rsidRPr="0059240B">
        <w:rPr>
          <w:rFonts w:ascii="Times New Roman" w:eastAsia="Times New Roman" w:hAnsi="Times New Roman"/>
        </w:rPr>
        <w:t>,</w:t>
      </w:r>
      <w:r w:rsidR="003B2CE9" w:rsidRPr="0059240B">
        <w:rPr>
          <w:rFonts w:ascii="Times New Roman" w:eastAsia="Times New Roman" w:hAnsi="Times New Roman"/>
        </w:rPr>
        <w:t xml:space="preserve"> </w:t>
      </w:r>
      <w:r w:rsidR="00977A2B" w:rsidRPr="0059240B">
        <w:rPr>
          <w:rFonts w:ascii="Times New Roman" w:eastAsia="Times New Roman" w:hAnsi="Times New Roman"/>
        </w:rPr>
        <w:t xml:space="preserve">where the weights </w:t>
      </w:r>
      <w:r w:rsidR="0076663C" w:rsidRPr="0059240B">
        <w:rPr>
          <w:rFonts w:ascii="Times New Roman" w:eastAsia="Times New Roman" w:hAnsi="Times New Roman"/>
        </w:rPr>
        <w:t xml:space="preserve">reflect the error factor </w:t>
      </w:r>
      <w:r w:rsidR="00F7776B" w:rsidRPr="0059240B">
        <w:rPr>
          <w:rFonts w:ascii="Times New Roman" w:eastAsia="Times New Roman" w:hAnsi="Times New Roman"/>
        </w:rPr>
        <w:t>(E)</w:t>
      </w:r>
      <w:r w:rsidR="00BE00BC" w:rsidRPr="0059240B">
        <w:rPr>
          <w:rFonts w:ascii="Times New Roman" w:eastAsia="Times New Roman" w:hAnsi="Times New Roman"/>
        </w:rPr>
        <w:t xml:space="preserve"> </w:t>
      </w:r>
      <w:r w:rsidR="0076663C" w:rsidRPr="0059240B">
        <w:rPr>
          <w:rFonts w:ascii="Times New Roman" w:eastAsia="Times New Roman" w:hAnsi="Times New Roman"/>
        </w:rPr>
        <w:t>determined</w:t>
      </w:r>
      <w:r w:rsidR="00F7776B" w:rsidRPr="0059240B">
        <w:rPr>
          <w:rFonts w:ascii="Times New Roman" w:eastAsia="Times New Roman" w:hAnsi="Times New Roman"/>
        </w:rPr>
        <w:t xml:space="preserve"> following the guidance of Section </w:t>
      </w:r>
      <w:r w:rsidR="001B40C9" w:rsidRPr="0059240B">
        <w:rPr>
          <w:rFonts w:ascii="Times New Roman" w:eastAsia="Times New Roman" w:hAnsi="Times New Roman"/>
        </w:rPr>
        <w:t>9.C.4.</w:t>
      </w:r>
      <w:r w:rsidR="0076663C" w:rsidRPr="0059240B">
        <w:rPr>
          <w:rFonts w:ascii="Times New Roman" w:eastAsia="Times New Roman" w:hAnsi="Times New Roman"/>
        </w:rPr>
        <w:t xml:space="preserve"> </w:t>
      </w:r>
      <w:r w:rsidR="001C516B" w:rsidRPr="0059240B">
        <w:rPr>
          <w:rFonts w:ascii="Times New Roman" w:eastAsia="Times New Roman" w:hAnsi="Times New Roman"/>
        </w:rPr>
        <w:t xml:space="preserve">  </w:t>
      </w:r>
    </w:p>
    <w:p w14:paraId="17383F33" w14:textId="155834A1" w:rsidR="00CC2E32" w:rsidRPr="0059240B" w:rsidRDefault="005150C7" w:rsidP="00067EEF">
      <w:pPr>
        <w:spacing w:after="220" w:line="240" w:lineRule="auto"/>
        <w:ind w:left="2160" w:hanging="360"/>
        <w:rPr>
          <w:rFonts w:ascii="Times New Roman" w:eastAsia="Times New Roman" w:hAnsi="Times New Roman"/>
        </w:rPr>
      </w:pPr>
      <w:r w:rsidRPr="0059240B">
        <w:rPr>
          <w:rFonts w:ascii="Times New Roman" w:eastAsia="Times New Roman" w:hAnsi="Times New Roman"/>
        </w:rPr>
        <w:t>iii</w:t>
      </w:r>
      <w:r w:rsidR="002C7166" w:rsidRPr="0059240B">
        <w:rPr>
          <w:rFonts w:ascii="Times New Roman" w:eastAsia="Times New Roman" w:hAnsi="Times New Roman"/>
        </w:rPr>
        <w:t>.</w:t>
      </w:r>
      <w:r w:rsidR="00AA41FD" w:rsidRPr="0059240B">
        <w:rPr>
          <w:rFonts w:ascii="Times New Roman" w:eastAsia="Times New Roman" w:hAnsi="Times New Roman"/>
        </w:rPr>
        <w:t xml:space="preserve"> </w:t>
      </w:r>
      <w:r w:rsidR="00E06E49" w:rsidRPr="0059240B">
        <w:rPr>
          <w:rFonts w:ascii="Times New Roman" w:eastAsia="Times New Roman" w:hAnsi="Times New Roman"/>
        </w:rPr>
        <w:tab/>
      </w:r>
      <w:r w:rsidR="00CC2E32" w:rsidRPr="0059240B">
        <w:rPr>
          <w:rFonts w:ascii="Times New Roman" w:eastAsia="Times New Roman" w:hAnsi="Times New Roman"/>
        </w:rPr>
        <w:t xml:space="preserve">The </w:t>
      </w:r>
      <w:r w:rsidR="0076663C" w:rsidRPr="0059240B">
        <w:rPr>
          <w:rFonts w:ascii="Times New Roman" w:eastAsia="Times New Roman" w:hAnsi="Times New Roman"/>
        </w:rPr>
        <w:t>company</w:t>
      </w:r>
      <w:r w:rsidR="00CC2E32" w:rsidRPr="0059240B">
        <w:rPr>
          <w:rFonts w:ascii="Times New Roman" w:eastAsia="Times New Roman" w:hAnsi="Times New Roman"/>
        </w:rPr>
        <w:t xml:space="preserve"> is responsible for verifying compliance with </w:t>
      </w:r>
      <w:r w:rsidR="001B40C9" w:rsidRPr="0059240B">
        <w:rPr>
          <w:rFonts w:ascii="Times New Roman" w:eastAsia="Times New Roman" w:hAnsi="Times New Roman"/>
        </w:rPr>
        <w:t>CDHS</w:t>
      </w:r>
      <w:r w:rsidR="00AA41FD" w:rsidRPr="0059240B">
        <w:rPr>
          <w:rFonts w:ascii="Times New Roman" w:eastAsia="Times New Roman" w:hAnsi="Times New Roman"/>
        </w:rPr>
        <w:t xml:space="preserve"> requirements</w:t>
      </w:r>
      <w:r w:rsidR="00CC2E32" w:rsidRPr="0059240B">
        <w:rPr>
          <w:rFonts w:ascii="Times New Roman" w:eastAsia="Times New Roman" w:hAnsi="Times New Roman"/>
        </w:rPr>
        <w:t xml:space="preserve"> and </w:t>
      </w:r>
      <w:r w:rsidR="00AA41FD" w:rsidRPr="0059240B">
        <w:rPr>
          <w:rFonts w:ascii="Times New Roman" w:eastAsia="Times New Roman" w:hAnsi="Times New Roman"/>
        </w:rPr>
        <w:t xml:space="preserve">any other </w:t>
      </w:r>
      <w:r w:rsidR="00CC2E32" w:rsidRPr="0059240B">
        <w:rPr>
          <w:rFonts w:ascii="Times New Roman" w:eastAsia="Times New Roman" w:hAnsi="Times New Roman"/>
        </w:rPr>
        <w:t xml:space="preserve">requirements in Section </w:t>
      </w:r>
      <w:r w:rsidR="0021502F" w:rsidRPr="0059240B">
        <w:rPr>
          <w:rFonts w:ascii="Times New Roman" w:eastAsia="Times New Roman" w:hAnsi="Times New Roman"/>
        </w:rPr>
        <w:t>9</w:t>
      </w:r>
      <w:r w:rsidR="00CC2E32" w:rsidRPr="0059240B">
        <w:rPr>
          <w:rFonts w:ascii="Times New Roman" w:eastAsia="Times New Roman" w:hAnsi="Times New Roman"/>
        </w:rPr>
        <w:t xml:space="preserve"> for all hedge instruments included in the projections.</w:t>
      </w:r>
    </w:p>
    <w:p w14:paraId="384A5CC1" w14:textId="37C06CE4" w:rsidR="00CC2E32" w:rsidRPr="0059240B" w:rsidRDefault="005150C7" w:rsidP="00067EEF">
      <w:pPr>
        <w:tabs>
          <w:tab w:val="left" w:pos="1540"/>
        </w:tabs>
        <w:spacing w:after="220" w:line="240" w:lineRule="auto"/>
        <w:ind w:left="2160" w:hanging="360"/>
        <w:rPr>
          <w:rFonts w:ascii="Times New Roman" w:eastAsia="Times New Roman" w:hAnsi="Times New Roman"/>
        </w:rPr>
      </w:pPr>
      <w:r w:rsidRPr="0059240B">
        <w:rPr>
          <w:rFonts w:ascii="Times New Roman" w:eastAsia="Times New Roman" w:hAnsi="Times New Roman"/>
        </w:rPr>
        <w:t>iv</w:t>
      </w:r>
      <w:r w:rsidR="002F4E4A" w:rsidRPr="0059240B">
        <w:rPr>
          <w:rFonts w:ascii="Times New Roman" w:eastAsia="Times New Roman" w:hAnsi="Times New Roman"/>
        </w:rPr>
        <w:t xml:space="preserve">. </w:t>
      </w:r>
      <w:r w:rsidR="00E06E49" w:rsidRPr="0059240B">
        <w:rPr>
          <w:rFonts w:ascii="Times New Roman" w:eastAsia="Times New Roman" w:hAnsi="Times New Roman"/>
        </w:rPr>
        <w:tab/>
      </w:r>
      <w:r w:rsidR="00CC2E32" w:rsidRPr="0059240B">
        <w:rPr>
          <w:rFonts w:ascii="Times New Roman" w:eastAsia="Times New Roman" w:hAnsi="Times New Roman"/>
        </w:rPr>
        <w:t>The use of products not falling under the scope of these requirements (e.g., equity-indexed annuities) as a hedge shall not be recognized in the determination of accumulated deficiencies.</w:t>
      </w:r>
    </w:p>
    <w:p w14:paraId="3C32E970" w14:textId="77777777" w:rsidR="00BE5669" w:rsidRPr="0059240B" w:rsidRDefault="00BE5669" w:rsidP="00BE5669">
      <w:pPr>
        <w:widowControl w:val="0"/>
        <w:pBdr>
          <w:top w:val="single" w:sz="4" w:space="1" w:color="auto"/>
          <w:left w:val="single" w:sz="4" w:space="4" w:color="auto"/>
          <w:bottom w:val="single" w:sz="4" w:space="1" w:color="auto"/>
          <w:right w:val="single" w:sz="4" w:space="4" w:color="auto"/>
        </w:pBdr>
        <w:tabs>
          <w:tab w:val="left" w:pos="1540"/>
        </w:tabs>
        <w:spacing w:after="220" w:line="240" w:lineRule="auto"/>
        <w:ind w:left="1900" w:hanging="360"/>
        <w:rPr>
          <w:rFonts w:ascii="Times New Roman" w:eastAsia="Times New Roman" w:hAnsi="Times New Roman"/>
        </w:rPr>
      </w:pPr>
      <w:r w:rsidRPr="0059240B">
        <w:rPr>
          <w:rFonts w:ascii="Times New Roman" w:eastAsia="Times New Roman" w:hAnsi="Times New Roman"/>
        </w:rPr>
        <w:t xml:space="preserve">Guidance Note: </w:t>
      </w:r>
    </w:p>
    <w:p w14:paraId="17D52C7C" w14:textId="0F1B7A91" w:rsidR="00CC2E32" w:rsidRPr="0059240B" w:rsidRDefault="00CC2E32" w:rsidP="00BE5669">
      <w:pPr>
        <w:widowControl w:val="0"/>
        <w:pBdr>
          <w:top w:val="single" w:sz="4" w:space="1" w:color="auto"/>
          <w:left w:val="single" w:sz="4" w:space="4" w:color="auto"/>
          <w:bottom w:val="single" w:sz="4" w:space="1" w:color="auto"/>
          <w:right w:val="single" w:sz="4" w:space="4" w:color="auto"/>
        </w:pBdr>
        <w:tabs>
          <w:tab w:val="left" w:pos="1540"/>
        </w:tabs>
        <w:spacing w:after="220" w:line="240" w:lineRule="auto"/>
        <w:ind w:left="1900" w:hanging="360"/>
        <w:rPr>
          <w:rFonts w:ascii="Times New Roman" w:eastAsia="Times New Roman" w:hAnsi="Times New Roman"/>
        </w:rPr>
      </w:pPr>
      <w:r w:rsidRPr="0059240B">
        <w:rPr>
          <w:rFonts w:ascii="Times New Roman" w:eastAsia="Times New Roman" w:hAnsi="Times New Roman"/>
        </w:rPr>
        <w:t xml:space="preserve">The requirements </w:t>
      </w:r>
      <w:r w:rsidR="001B40C9" w:rsidRPr="0059240B">
        <w:rPr>
          <w:rFonts w:ascii="Times New Roman" w:eastAsia="Times New Roman" w:hAnsi="Times New Roman"/>
        </w:rPr>
        <w:t xml:space="preserve">of Section 4.A.4 </w:t>
      </w:r>
      <w:r w:rsidRPr="0059240B">
        <w:rPr>
          <w:rFonts w:ascii="Times New Roman" w:eastAsia="Times New Roman" w:hAnsi="Times New Roman"/>
        </w:rPr>
        <w:t xml:space="preserve">govern the determination of </w:t>
      </w:r>
      <w:r w:rsidR="00576438" w:rsidRPr="0059240B">
        <w:rPr>
          <w:rFonts w:ascii="Times New Roman" w:eastAsia="Times New Roman" w:hAnsi="Times New Roman"/>
        </w:rPr>
        <w:t>contract</w:t>
      </w:r>
      <w:r w:rsidR="007A4D29" w:rsidRPr="0059240B">
        <w:rPr>
          <w:rFonts w:ascii="Times New Roman" w:eastAsia="Times New Roman" w:hAnsi="Times New Roman"/>
        </w:rPr>
        <w:t xml:space="preserve"> </w:t>
      </w:r>
      <w:r w:rsidRPr="0059240B">
        <w:rPr>
          <w:rFonts w:ascii="Times New Roman" w:eastAsia="Times New Roman" w:hAnsi="Times New Roman"/>
        </w:rPr>
        <w:t xml:space="preserve">reserves and do not supersede any statutes, laws or regulations of any state or jurisdiction related to the use of derivative instruments for hedging purposes </w:t>
      </w:r>
      <w:r w:rsidR="00CD3B65" w:rsidRPr="0059240B">
        <w:rPr>
          <w:rFonts w:ascii="Times New Roman" w:eastAsia="Times New Roman" w:hAnsi="Times New Roman"/>
        </w:rPr>
        <w:t>but</w:t>
      </w:r>
      <w:r w:rsidRPr="0059240B">
        <w:rPr>
          <w:rFonts w:ascii="Times New Roman" w:eastAsia="Times New Roman" w:hAnsi="Times New Roman"/>
        </w:rPr>
        <w:t xml:space="preserve"> should not be used in determining whether a company is permitted to use such instruments in any state or jurisdiction.</w:t>
      </w:r>
    </w:p>
    <w:p w14:paraId="0911B770"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5.</w:t>
      </w:r>
      <w:r w:rsidRPr="0059240B">
        <w:rPr>
          <w:rFonts w:ascii="Times New Roman" w:eastAsia="Times New Roman" w:hAnsi="Times New Roman"/>
        </w:rPr>
        <w:tab/>
        <w:t>Revenue Sharing</w:t>
      </w:r>
    </w:p>
    <w:p w14:paraId="07B6F691" w14:textId="5B771D62" w:rsidR="00CC2E32" w:rsidRPr="0059240B"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59240B">
        <w:rPr>
          <w:rFonts w:ascii="Times New Roman" w:eastAsia="Times New Roman" w:hAnsi="Times New Roman"/>
        </w:rPr>
        <w:t xml:space="preserve">Projections of accumulated deficiencies may include income from projected future revenue-sharing, net of applicable projected expenses (net revenue-sharing income) if </w:t>
      </w:r>
      <w:r w:rsidR="00FD3B15" w:rsidRPr="0059240B">
        <w:rPr>
          <w:rFonts w:ascii="Times New Roman" w:eastAsia="Times New Roman" w:hAnsi="Times New Roman"/>
        </w:rPr>
        <w:t xml:space="preserve">each of </w:t>
      </w:r>
      <w:r w:rsidRPr="0059240B">
        <w:rPr>
          <w:rFonts w:ascii="Times New Roman" w:eastAsia="Times New Roman" w:hAnsi="Times New Roman"/>
        </w:rPr>
        <w:t>the following requirements are met:</w:t>
      </w:r>
    </w:p>
    <w:p w14:paraId="111DD8F8" w14:textId="77777777" w:rsidR="00CC2E32" w:rsidRPr="0059240B" w:rsidRDefault="00CC2E32" w:rsidP="00067EEF">
      <w:pPr>
        <w:pStyle w:val="ListParagraph"/>
        <w:numPr>
          <w:ilvl w:val="0"/>
          <w:numId w:val="10"/>
        </w:numPr>
        <w:spacing w:after="220" w:line="240" w:lineRule="auto"/>
        <w:ind w:left="2880"/>
        <w:contextualSpacing w:val="0"/>
        <w:rPr>
          <w:rFonts w:ascii="Times New Roman" w:eastAsia="Times New Roman" w:hAnsi="Times New Roman"/>
        </w:rPr>
      </w:pPr>
      <w:r w:rsidRPr="0059240B">
        <w:rPr>
          <w:rFonts w:ascii="Times New Roman" w:eastAsia="Times New Roman" w:hAnsi="Times New Roman"/>
        </w:rPr>
        <w:t>The net revenue-sharing income is received by the company.</w:t>
      </w:r>
    </w:p>
    <w:p w14:paraId="41194FBA" w14:textId="62E420B2" w:rsidR="00CC2E32" w:rsidRPr="0059240B" w:rsidRDefault="00CC2E32" w:rsidP="00067EEF">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59240B">
        <w:rPr>
          <w:rFonts w:ascii="Times New Roman" w:eastAsia="Times New Roman" w:hAnsi="Times New Roman"/>
          <w:b/>
          <w:bCs/>
        </w:rPr>
        <w:lastRenderedPageBreak/>
        <w:t>Guidance Note</w:t>
      </w:r>
      <w:r w:rsidRPr="0059240B">
        <w:rPr>
          <w:rFonts w:ascii="Times New Roman" w:eastAsia="Times New Roman" w:hAnsi="Times New Roman"/>
        </w:rPr>
        <w:t xml:space="preserve">: For purposes of this section, net revenue-sharing income is considered to be received by the company if it is paid directly to the company through a contractual agreement with either the entity providing the net revenue-sharing income or an affiliated company that receives the net revenue-sharing income. Net revenue-sharing income also would be considered to be received if it is paid to a subsidiary that is owned by the company and if 100% of the statutory income from that subsidiary is reported as statutory income of the company. In this case, the </w:t>
      </w:r>
      <w:r w:rsidR="00FA5FBF" w:rsidRPr="0059240B">
        <w:rPr>
          <w:rFonts w:ascii="Times New Roman" w:eastAsia="Times New Roman" w:hAnsi="Times New Roman"/>
        </w:rPr>
        <w:t xml:space="preserve">company </w:t>
      </w:r>
      <w:r w:rsidRPr="0059240B">
        <w:rPr>
          <w:rFonts w:ascii="Times New Roman" w:eastAsia="Times New Roman" w:hAnsi="Times New Roman"/>
        </w:rPr>
        <w:t>needs to assess the likelihood that future net revenue-sharing income is reduced due to the reported statutory income of the subsidiary being less than future net revenue-sharing income received.</w:t>
      </w:r>
    </w:p>
    <w:p w14:paraId="03145DCD" w14:textId="64C73F14" w:rsidR="00CC2E32" w:rsidRPr="0059240B" w:rsidRDefault="00CC2E32" w:rsidP="00067EEF">
      <w:pPr>
        <w:widowControl w:val="0"/>
        <w:spacing w:after="220" w:line="240" w:lineRule="auto"/>
        <w:ind w:left="2880" w:hanging="72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Signed contractual agreement</w:t>
      </w:r>
      <w:r w:rsidR="00196FEA" w:rsidRPr="0059240B">
        <w:rPr>
          <w:rFonts w:ascii="Times New Roman" w:eastAsia="Times New Roman" w:hAnsi="Times New Roman"/>
        </w:rPr>
        <w:t>(</w:t>
      </w:r>
      <w:r w:rsidRPr="0059240B">
        <w:rPr>
          <w:rFonts w:ascii="Times New Roman" w:eastAsia="Times New Roman" w:hAnsi="Times New Roman"/>
        </w:rPr>
        <w:t>s</w:t>
      </w:r>
      <w:r w:rsidR="00196FEA" w:rsidRPr="0059240B">
        <w:rPr>
          <w:rFonts w:ascii="Times New Roman" w:eastAsia="Times New Roman" w:hAnsi="Times New Roman"/>
        </w:rPr>
        <w:t>)</w:t>
      </w:r>
      <w:r w:rsidRPr="0059240B">
        <w:rPr>
          <w:rFonts w:ascii="Times New Roman" w:eastAsia="Times New Roman" w:hAnsi="Times New Roman"/>
        </w:rPr>
        <w:t xml:space="preserve"> are in place as of the valuation date and support the current payment of the net revenue-sharing income.</w:t>
      </w:r>
    </w:p>
    <w:p w14:paraId="3F5F4309" w14:textId="77777777" w:rsidR="00CC2E32" w:rsidRPr="0059240B" w:rsidRDefault="00CC2E32" w:rsidP="00067EEF">
      <w:pPr>
        <w:keepNext/>
        <w:keepLines/>
        <w:widowControl w:val="0"/>
        <w:spacing w:after="220" w:line="240" w:lineRule="auto"/>
        <w:ind w:left="2880" w:hanging="720"/>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The net revenue-sharing income is not already accounted for directly or indirectly as a company asset.</w:t>
      </w:r>
    </w:p>
    <w:p w14:paraId="449B87A3" w14:textId="4ACBCA1E" w:rsidR="00CC2E32" w:rsidRPr="0059240B"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59240B">
        <w:rPr>
          <w:rFonts w:ascii="Times New Roman" w:eastAsia="Times New Roman" w:hAnsi="Times New Roman"/>
        </w:rPr>
        <w:t xml:space="preserve">The amount of net revenue-sharing income to be used shall reflect the </w:t>
      </w:r>
      <w:r w:rsidR="004214EB" w:rsidRPr="0059240B">
        <w:rPr>
          <w:rFonts w:ascii="Times New Roman" w:eastAsia="Times New Roman" w:hAnsi="Times New Roman"/>
        </w:rPr>
        <w:t>compan</w:t>
      </w:r>
      <w:r w:rsidRPr="0059240B">
        <w:rPr>
          <w:rFonts w:ascii="Times New Roman" w:eastAsia="Times New Roman" w:hAnsi="Times New Roman"/>
        </w:rPr>
        <w:t>y’s assessment of factors that include, but are not limited to, the following (not all of these factors will necessarily be present in all situations):</w:t>
      </w:r>
    </w:p>
    <w:p w14:paraId="1DAF611E" w14:textId="77777777" w:rsidR="00CC2E32" w:rsidRPr="0059240B"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59240B">
        <w:rPr>
          <w:rFonts w:ascii="Times New Roman" w:eastAsia="Times New Roman" w:hAnsi="Times New Roman"/>
        </w:rPr>
        <w:t>The terms and limitations of the agreement(s), including anticipated revenue, associated expenses and any contingent payments incurred or made by either the company or the entity providing the net revenue-sharing as part of the agreement(s).</w:t>
      </w:r>
    </w:p>
    <w:p w14:paraId="6C2D7AC3" w14:textId="77777777" w:rsidR="00CC2E32" w:rsidRPr="0059240B"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59240B">
        <w:rPr>
          <w:rFonts w:ascii="Times New Roman" w:eastAsia="Times New Roman" w:hAnsi="Times New Roman"/>
        </w:rPr>
        <w:t>The relationship between the company and the entity providing the net revenue-sharing income that might affect the likelihood of payment and the level of expenses.</w:t>
      </w:r>
    </w:p>
    <w:p w14:paraId="27CB73E4" w14:textId="77777777" w:rsidR="00CC2E32" w:rsidRPr="0059240B"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59240B">
        <w:rPr>
          <w:rFonts w:ascii="Times New Roman" w:eastAsia="Times New Roman" w:hAnsi="Times New Roman"/>
        </w:rPr>
        <w:t>The benefits and risks to both the company and the entity paying the net revenue-sharing income of continuing the arrangement.</w:t>
      </w:r>
    </w:p>
    <w:p w14:paraId="4329BEC8" w14:textId="77777777" w:rsidR="00CC2E32" w:rsidRPr="0059240B"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59240B">
        <w:rPr>
          <w:rFonts w:ascii="Times New Roman" w:eastAsia="Times New Roman" w:hAnsi="Times New Roman"/>
        </w:rPr>
        <w:t>The likelihood that the company will collect the net revenue-sharing income during the term(s) of the agreement(s) and the likelihood of continuing to receive future revenue after the agreement(s) has ended.</w:t>
      </w:r>
    </w:p>
    <w:p w14:paraId="3388C70A" w14:textId="77777777" w:rsidR="00CC2E32" w:rsidRPr="0059240B"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59240B">
        <w:rPr>
          <w:rFonts w:ascii="Times New Roman" w:eastAsia="Times New Roman" w:hAnsi="Times New Roman"/>
        </w:rPr>
        <w:t>The ability of the company to replace the services provided to it by the entity providing the net revenue-sharing income or to provide the services itself, along with the likelihood that the replaced or provided services will cost more to provide.</w:t>
      </w:r>
    </w:p>
    <w:p w14:paraId="21488FF2" w14:textId="77777777" w:rsidR="00CC2E32" w:rsidRPr="0059240B"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59240B">
        <w:rPr>
          <w:rFonts w:ascii="Times New Roman" w:eastAsia="Times New Roman" w:hAnsi="Times New Roman"/>
        </w:rPr>
        <w:t>The ability of the entity providing the net revenue-sharing income to replace the services provided to it by the company or to provide the services itself, along with the likelihood that the replaced or provided services will cost more to provide.</w:t>
      </w:r>
    </w:p>
    <w:p w14:paraId="77C6EB10" w14:textId="0715B14D" w:rsidR="00CC2E32" w:rsidRPr="0059240B" w:rsidRDefault="00CC2E32" w:rsidP="00067EEF">
      <w:pPr>
        <w:spacing w:after="220" w:line="240" w:lineRule="auto"/>
        <w:ind w:left="216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The amount of projected net revenue-sharing income shall reflect a margin (which decreases the assumed net revenue-sharing income) directly related to the uncertainty of the revenue. The greater the uncertainty, the larger the margin. Such uncertainty is driven by many factors, including the potential for changes in the securities laws and regulations, mutual fund board responsibilities and actions, and industry trends. Since it is prudent to assume that uncertainty increases over time, a larger margin shall be applied as time that has elapsed in the projection increases.</w:t>
      </w:r>
    </w:p>
    <w:p w14:paraId="2534AED7" w14:textId="5229CD81" w:rsidR="00CC2E32" w:rsidRPr="0059240B" w:rsidRDefault="00CC2E32" w:rsidP="00067EEF">
      <w:pPr>
        <w:pStyle w:val="ListParagraph"/>
        <w:numPr>
          <w:ilvl w:val="0"/>
          <w:numId w:val="12"/>
        </w:numPr>
        <w:tabs>
          <w:tab w:val="left" w:pos="2260"/>
        </w:tabs>
        <w:spacing w:after="220" w:line="240" w:lineRule="auto"/>
        <w:ind w:left="2160"/>
        <w:contextualSpacing w:val="0"/>
        <w:rPr>
          <w:rFonts w:ascii="Times New Roman" w:eastAsia="Times New Roman" w:hAnsi="Times New Roman"/>
        </w:rPr>
      </w:pPr>
      <w:r w:rsidRPr="0059240B">
        <w:rPr>
          <w:rFonts w:ascii="Times New Roman" w:eastAsia="Times New Roman" w:hAnsi="Times New Roman"/>
        </w:rPr>
        <w:lastRenderedPageBreak/>
        <w:t xml:space="preserve">All expenses required or assumed to be incurred by the company in conjunction with the arrangement providing the net revenue-sharing income, as well as any expenses assumed to be incurred by the company in conjunction with the assumed replacement of the services provided to it (as discussed in Section </w:t>
      </w:r>
      <w:r w:rsidR="00016C1F" w:rsidRPr="0059240B">
        <w:rPr>
          <w:rFonts w:ascii="Times New Roman" w:eastAsia="Times New Roman" w:hAnsi="Times New Roman"/>
        </w:rPr>
        <w:t>4</w:t>
      </w:r>
      <w:r w:rsidRPr="0059240B">
        <w:rPr>
          <w:rFonts w:ascii="Times New Roman" w:eastAsia="Times New Roman" w:hAnsi="Times New Roman"/>
        </w:rPr>
        <w:t xml:space="preserve">.A.5.b.v), shall be included in the projections as a company expense under the requirements of Section </w:t>
      </w:r>
      <w:r w:rsidR="00016C1F" w:rsidRPr="0059240B">
        <w:rPr>
          <w:rFonts w:ascii="Times New Roman" w:eastAsia="Times New Roman" w:hAnsi="Times New Roman"/>
        </w:rPr>
        <w:t>4</w:t>
      </w:r>
      <w:r w:rsidRPr="0059240B">
        <w:rPr>
          <w:rFonts w:ascii="Times New Roman" w:eastAsia="Times New Roman" w:hAnsi="Times New Roman"/>
        </w:rPr>
        <w:t xml:space="preserve">.A.1. In addition, expenses incurred by either the entity providing the net revenue-sharing income or an affiliate of the company shall be included in the applicable expenses discussed in Section </w:t>
      </w:r>
      <w:r w:rsidR="00016C1F" w:rsidRPr="0059240B">
        <w:rPr>
          <w:rFonts w:ascii="Times New Roman" w:eastAsia="Times New Roman" w:hAnsi="Times New Roman"/>
        </w:rPr>
        <w:t>4</w:t>
      </w:r>
      <w:r w:rsidRPr="0059240B">
        <w:rPr>
          <w:rFonts w:ascii="Times New Roman" w:eastAsia="Times New Roman" w:hAnsi="Times New Roman"/>
        </w:rPr>
        <w:t xml:space="preserve">.A.1 and Section </w:t>
      </w:r>
      <w:r w:rsidR="00016C1F" w:rsidRPr="0059240B">
        <w:rPr>
          <w:rFonts w:ascii="Times New Roman" w:eastAsia="Times New Roman" w:hAnsi="Times New Roman"/>
        </w:rPr>
        <w:t>4</w:t>
      </w:r>
      <w:r w:rsidRPr="0059240B">
        <w:rPr>
          <w:rFonts w:ascii="Times New Roman" w:eastAsia="Times New Roman" w:hAnsi="Times New Roman"/>
        </w:rPr>
        <w:t>.A.5.a that reduce the net revenue-sharing income.</w:t>
      </w:r>
    </w:p>
    <w:p w14:paraId="7124227A" w14:textId="565E7051" w:rsidR="00CC2E32" w:rsidRPr="0059240B" w:rsidRDefault="00CC2E32" w:rsidP="00067EEF">
      <w:pPr>
        <w:pStyle w:val="ListParagraph"/>
        <w:numPr>
          <w:ilvl w:val="0"/>
          <w:numId w:val="13"/>
        </w:numPr>
        <w:tabs>
          <w:tab w:val="left" w:pos="2260"/>
        </w:tabs>
        <w:spacing w:after="220" w:line="240" w:lineRule="auto"/>
        <w:ind w:left="2160" w:hanging="720"/>
        <w:contextualSpacing w:val="0"/>
        <w:rPr>
          <w:rFonts w:ascii="Times New Roman" w:eastAsia="Times New Roman" w:hAnsi="Times New Roman"/>
        </w:rPr>
      </w:pPr>
      <w:r w:rsidRPr="0059240B">
        <w:rPr>
          <w:rFonts w:ascii="Times New Roman" w:eastAsia="Times New Roman" w:hAnsi="Times New Roman"/>
        </w:rPr>
        <w:t xml:space="preserve">The </w:t>
      </w:r>
      <w:r w:rsidR="004214EB" w:rsidRPr="0059240B">
        <w:rPr>
          <w:rFonts w:ascii="Times New Roman" w:eastAsia="Times New Roman" w:hAnsi="Times New Roman"/>
        </w:rPr>
        <w:t>compan</w:t>
      </w:r>
      <w:r w:rsidRPr="0059240B">
        <w:rPr>
          <w:rFonts w:ascii="Times New Roman" w:eastAsia="Times New Roman" w:hAnsi="Times New Roman"/>
        </w:rPr>
        <w:t>y is responsible for reviewing the revenue-sharing agreements</w:t>
      </w:r>
      <w:r w:rsidR="001001B3" w:rsidRPr="0059240B">
        <w:rPr>
          <w:rFonts w:ascii="Times New Roman" w:eastAsia="Times New Roman" w:hAnsi="Times New Roman"/>
        </w:rPr>
        <w:t xml:space="preserve"> and</w:t>
      </w:r>
      <w:r w:rsidRPr="0059240B">
        <w:rPr>
          <w:rFonts w:ascii="Times New Roman" w:eastAsia="Times New Roman" w:hAnsi="Times New Roman"/>
        </w:rPr>
        <w:t xml:space="preserve"> verifying compliance with these requirements</w:t>
      </w:r>
      <w:r w:rsidR="004214EB" w:rsidRPr="0059240B">
        <w:rPr>
          <w:rFonts w:ascii="Times New Roman" w:eastAsia="Times New Roman" w:hAnsi="Times New Roman"/>
        </w:rPr>
        <w:t>.</w:t>
      </w:r>
      <w:r w:rsidRPr="0059240B">
        <w:rPr>
          <w:rFonts w:ascii="Times New Roman" w:eastAsia="Times New Roman" w:hAnsi="Times New Roman"/>
        </w:rPr>
        <w:t xml:space="preserve"> </w:t>
      </w:r>
    </w:p>
    <w:p w14:paraId="124BA141" w14:textId="42B9CDED" w:rsidR="00CC2E32" w:rsidRPr="0059240B" w:rsidRDefault="00CC2E32" w:rsidP="00E87EFC">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 xml:space="preserve">The amount of net revenue-sharing income assumed in a given scenario shall not exceed the sum of </w:t>
      </w:r>
      <w:r w:rsidR="0021502F" w:rsidRPr="0059240B">
        <w:rPr>
          <w:rFonts w:ascii="Times New Roman" w:eastAsia="Times New Roman" w:hAnsi="Times New Roman"/>
        </w:rPr>
        <w:t>(</w:t>
      </w:r>
      <w:r w:rsidR="001830EE" w:rsidRPr="0059240B">
        <w:rPr>
          <w:rFonts w:ascii="Times New Roman" w:eastAsia="Times New Roman" w:hAnsi="Times New Roman"/>
        </w:rPr>
        <w:t>i</w:t>
      </w:r>
      <w:r w:rsidR="0021502F" w:rsidRPr="0059240B">
        <w:rPr>
          <w:rFonts w:ascii="Times New Roman" w:eastAsia="Times New Roman" w:hAnsi="Times New Roman"/>
        </w:rPr>
        <w:t>)</w:t>
      </w:r>
      <w:r w:rsidR="001830EE" w:rsidRPr="0059240B">
        <w:rPr>
          <w:rFonts w:ascii="Times New Roman" w:eastAsia="Times New Roman" w:hAnsi="Times New Roman"/>
        </w:rPr>
        <w:t xml:space="preserve"> </w:t>
      </w:r>
      <w:r w:rsidRPr="0059240B">
        <w:rPr>
          <w:rFonts w:ascii="Times New Roman" w:eastAsia="Times New Roman" w:hAnsi="Times New Roman"/>
        </w:rPr>
        <w:t>and</w:t>
      </w:r>
      <w:r w:rsidR="001830EE" w:rsidRPr="0059240B">
        <w:rPr>
          <w:rFonts w:ascii="Times New Roman" w:eastAsia="Times New Roman" w:hAnsi="Times New Roman"/>
        </w:rPr>
        <w:t xml:space="preserve"> </w:t>
      </w:r>
      <w:r w:rsidR="0021502F" w:rsidRPr="0059240B">
        <w:rPr>
          <w:rFonts w:ascii="Times New Roman" w:eastAsia="Times New Roman" w:hAnsi="Times New Roman"/>
        </w:rPr>
        <w:t>(</w:t>
      </w:r>
      <w:r w:rsidR="001830EE" w:rsidRPr="0059240B">
        <w:rPr>
          <w:rFonts w:ascii="Times New Roman" w:eastAsia="Times New Roman" w:hAnsi="Times New Roman"/>
        </w:rPr>
        <w:t>ii</w:t>
      </w:r>
      <w:r w:rsidR="0021502F" w:rsidRPr="0059240B">
        <w:rPr>
          <w:rFonts w:ascii="Times New Roman" w:eastAsia="Times New Roman" w:hAnsi="Times New Roman"/>
        </w:rPr>
        <w:t>),</w:t>
      </w:r>
      <w:r w:rsidRPr="0059240B">
        <w:rPr>
          <w:rFonts w:ascii="Times New Roman" w:eastAsia="Times New Roman" w:hAnsi="Times New Roman"/>
        </w:rPr>
        <w:t xml:space="preserve"> where:</w:t>
      </w:r>
    </w:p>
    <w:p w14:paraId="7A75E2B2" w14:textId="6D1DCFE4" w:rsidR="00CC2E32" w:rsidRPr="0059240B" w:rsidRDefault="0093670A" w:rsidP="001B21CA">
      <w:pPr>
        <w:spacing w:after="220" w:line="240" w:lineRule="auto"/>
        <w:ind w:left="3600" w:hanging="720"/>
        <w:jc w:val="both"/>
        <w:rPr>
          <w:rFonts w:ascii="Times New Roman" w:eastAsia="Times New Roman" w:hAnsi="Times New Roman"/>
        </w:rPr>
      </w:pPr>
      <w:r w:rsidRPr="0059240B">
        <w:rPr>
          <w:rFonts w:ascii="Times New Roman" w:eastAsia="Times New Roman" w:hAnsi="Times New Roman"/>
        </w:rPr>
        <w:t>(</w:t>
      </w:r>
      <w:r w:rsidR="001830EE" w:rsidRPr="0059240B">
        <w:rPr>
          <w:rFonts w:ascii="Times New Roman" w:eastAsia="Times New Roman" w:hAnsi="Times New Roman"/>
        </w:rPr>
        <w:t>i</w:t>
      </w:r>
      <w:r w:rsidRPr="0059240B">
        <w:rPr>
          <w:rFonts w:ascii="Times New Roman" w:eastAsia="Times New Roman" w:hAnsi="Times New Roman"/>
        </w:rPr>
        <w:t>)</w:t>
      </w:r>
      <w:r w:rsidR="00CC2E32" w:rsidRPr="0059240B">
        <w:rPr>
          <w:rFonts w:ascii="Times New Roman" w:eastAsia="Times New Roman" w:hAnsi="Times New Roman"/>
        </w:rPr>
        <w:tab/>
        <w:t>Is the contractually guaranteed net revenue-sharing income projected under the scenario.</w:t>
      </w:r>
    </w:p>
    <w:p w14:paraId="1786CDB0" w14:textId="1B31C634" w:rsidR="00CC2E32" w:rsidRPr="0059240B" w:rsidRDefault="0093670A" w:rsidP="001B21CA">
      <w:pPr>
        <w:spacing w:after="220" w:line="240" w:lineRule="auto"/>
        <w:ind w:left="3600" w:hanging="720"/>
        <w:jc w:val="both"/>
        <w:rPr>
          <w:rFonts w:ascii="Times New Roman" w:eastAsia="Times New Roman" w:hAnsi="Times New Roman"/>
        </w:rPr>
      </w:pPr>
      <w:r w:rsidRPr="0059240B">
        <w:rPr>
          <w:rFonts w:ascii="Times New Roman" w:eastAsia="Times New Roman" w:hAnsi="Times New Roman"/>
        </w:rPr>
        <w:t>(</w:t>
      </w:r>
      <w:r w:rsidR="001830EE" w:rsidRPr="0059240B">
        <w:rPr>
          <w:rFonts w:ascii="Times New Roman" w:eastAsia="Times New Roman" w:hAnsi="Times New Roman"/>
        </w:rPr>
        <w:t>ii</w:t>
      </w:r>
      <w:r w:rsidRPr="0059240B">
        <w:rPr>
          <w:rFonts w:ascii="Times New Roman" w:eastAsia="Times New Roman" w:hAnsi="Times New Roman"/>
        </w:rPr>
        <w:t>)</w:t>
      </w:r>
      <w:r w:rsidR="00CC2E32" w:rsidRPr="0059240B">
        <w:rPr>
          <w:rFonts w:ascii="Times New Roman" w:eastAsia="Times New Roman" w:hAnsi="Times New Roman"/>
        </w:rPr>
        <w:tab/>
        <w:t xml:space="preserve">Is the </w:t>
      </w:r>
      <w:r w:rsidR="004214EB" w:rsidRPr="0059240B">
        <w:rPr>
          <w:rFonts w:ascii="Times New Roman" w:eastAsia="Times New Roman" w:hAnsi="Times New Roman"/>
        </w:rPr>
        <w:t xml:space="preserve">company’s </w:t>
      </w:r>
      <w:r w:rsidR="00CC2E32" w:rsidRPr="0059240B">
        <w:rPr>
          <w:rFonts w:ascii="Times New Roman" w:eastAsia="Times New Roman" w:hAnsi="Times New Roman"/>
        </w:rPr>
        <w:t>estimate of non-contractually guaranteed net revenue-sharing income before reflecting any margins for uncertainty multiplied by the following factors:</w:t>
      </w:r>
    </w:p>
    <w:p w14:paraId="298D98B4" w14:textId="5F8D8311" w:rsidR="00CC2E32" w:rsidRPr="0059240B" w:rsidRDefault="001830EE" w:rsidP="00067EEF">
      <w:pPr>
        <w:spacing w:after="220" w:line="240" w:lineRule="auto"/>
        <w:ind w:left="4320" w:hanging="720"/>
        <w:rPr>
          <w:rFonts w:ascii="Times New Roman" w:eastAsia="Times New Roman" w:hAnsi="Times New Roman"/>
        </w:rPr>
      </w:pPr>
      <w:r w:rsidRPr="0059240B">
        <w:rPr>
          <w:rFonts w:ascii="Times New Roman" w:eastAsia="Times New Roman" w:hAnsi="Times New Roman"/>
        </w:rPr>
        <w:t>a)</w:t>
      </w:r>
      <w:r w:rsidR="00CC2E32" w:rsidRPr="0059240B">
        <w:rPr>
          <w:rFonts w:ascii="Times New Roman" w:eastAsia="Times New Roman" w:hAnsi="Times New Roman"/>
        </w:rPr>
        <w:tab/>
        <w:t>1.00 in the first projection year.</w:t>
      </w:r>
    </w:p>
    <w:p w14:paraId="3827FAF9" w14:textId="52EA1CA2" w:rsidR="00CC2E32" w:rsidRPr="0059240B" w:rsidRDefault="001830EE" w:rsidP="00067EEF">
      <w:pPr>
        <w:spacing w:after="220" w:line="240" w:lineRule="auto"/>
        <w:ind w:left="4320" w:hanging="720"/>
        <w:rPr>
          <w:rFonts w:ascii="Times New Roman" w:eastAsia="Times New Roman" w:hAnsi="Times New Roman"/>
        </w:rPr>
      </w:pPr>
      <w:r w:rsidRPr="0059240B">
        <w:rPr>
          <w:rFonts w:ascii="Times New Roman" w:eastAsia="Times New Roman" w:hAnsi="Times New Roman"/>
        </w:rPr>
        <w:t>b)</w:t>
      </w:r>
      <w:r w:rsidR="00CC2E32" w:rsidRPr="0059240B">
        <w:rPr>
          <w:rFonts w:ascii="Times New Roman" w:eastAsia="Times New Roman" w:hAnsi="Times New Roman"/>
        </w:rPr>
        <w:tab/>
        <w:t xml:space="preserve">0.95 in the second projection year. </w:t>
      </w:r>
    </w:p>
    <w:p w14:paraId="70D3E42B" w14:textId="7A595D8C" w:rsidR="00CC2E32" w:rsidRPr="0059240B" w:rsidRDefault="001830EE" w:rsidP="00067EEF">
      <w:pPr>
        <w:spacing w:after="220" w:line="240" w:lineRule="auto"/>
        <w:ind w:left="4320" w:hanging="720"/>
        <w:rPr>
          <w:rFonts w:ascii="Times New Roman" w:eastAsia="Times New Roman" w:hAnsi="Times New Roman"/>
        </w:rPr>
      </w:pPr>
      <w:r w:rsidRPr="0059240B">
        <w:rPr>
          <w:rFonts w:ascii="Times New Roman" w:eastAsia="Times New Roman" w:hAnsi="Times New Roman"/>
        </w:rPr>
        <w:t>c)</w:t>
      </w:r>
      <w:r w:rsidR="00CC2E32" w:rsidRPr="0059240B">
        <w:rPr>
          <w:rFonts w:ascii="Times New Roman" w:eastAsia="Times New Roman" w:hAnsi="Times New Roman"/>
        </w:rPr>
        <w:tab/>
        <w:t xml:space="preserve">0.90 in the third projection year. </w:t>
      </w:r>
    </w:p>
    <w:p w14:paraId="0BE52AED" w14:textId="5166B6E0" w:rsidR="00CC2E32" w:rsidRPr="0059240B" w:rsidRDefault="001830EE" w:rsidP="00067EEF">
      <w:pPr>
        <w:spacing w:after="220" w:line="240" w:lineRule="auto"/>
        <w:ind w:left="4320" w:hanging="720"/>
        <w:rPr>
          <w:rFonts w:ascii="Times New Roman" w:eastAsia="Times New Roman" w:hAnsi="Times New Roman"/>
        </w:rPr>
      </w:pPr>
      <w:r w:rsidRPr="0059240B">
        <w:rPr>
          <w:rFonts w:ascii="Times New Roman" w:eastAsia="Times New Roman" w:hAnsi="Times New Roman"/>
        </w:rPr>
        <w:t>d)</w:t>
      </w:r>
      <w:r w:rsidR="00CC2E32" w:rsidRPr="0059240B">
        <w:rPr>
          <w:rFonts w:ascii="Times New Roman" w:eastAsia="Times New Roman" w:hAnsi="Times New Roman"/>
        </w:rPr>
        <w:tab/>
        <w:t xml:space="preserve">0.85 in the fourth projection year. </w:t>
      </w:r>
    </w:p>
    <w:p w14:paraId="0413A7CC" w14:textId="5F7ABF81" w:rsidR="00CC2E32" w:rsidRPr="0059240B" w:rsidRDefault="001830EE" w:rsidP="00067EEF">
      <w:pPr>
        <w:spacing w:after="220" w:line="240" w:lineRule="auto"/>
        <w:ind w:left="4320" w:hanging="720"/>
        <w:rPr>
          <w:rFonts w:ascii="Times New Roman" w:eastAsia="Times New Roman" w:hAnsi="Times New Roman"/>
        </w:rPr>
      </w:pPr>
      <w:r w:rsidRPr="0059240B">
        <w:rPr>
          <w:rFonts w:ascii="Times New Roman" w:eastAsia="Times New Roman" w:hAnsi="Times New Roman"/>
        </w:rPr>
        <w:t>e)</w:t>
      </w:r>
      <w:r w:rsidR="00CC2E32" w:rsidRPr="0059240B">
        <w:rPr>
          <w:rFonts w:ascii="Times New Roman" w:eastAsia="Times New Roman" w:hAnsi="Times New Roman"/>
        </w:rPr>
        <w:tab/>
        <w:t xml:space="preserve">0.80 in the fifth and all subsequent projection years. </w:t>
      </w:r>
    </w:p>
    <w:p w14:paraId="0118F815" w14:textId="77777777" w:rsidR="00CC2E32" w:rsidRPr="0059240B" w:rsidRDefault="00CC2E32" w:rsidP="00067EEF">
      <w:pPr>
        <w:keepNext/>
        <w:keepLines/>
        <w:spacing w:after="220" w:line="240" w:lineRule="auto"/>
        <w:ind w:left="1440" w:hanging="720"/>
        <w:rPr>
          <w:rFonts w:ascii="Times New Roman" w:eastAsia="Times New Roman" w:hAnsi="Times New Roman"/>
        </w:rPr>
      </w:pPr>
      <w:r w:rsidRPr="0059240B">
        <w:rPr>
          <w:rFonts w:ascii="Times New Roman" w:eastAsia="Times New Roman" w:hAnsi="Times New Roman"/>
        </w:rPr>
        <w:t>6.</w:t>
      </w:r>
      <w:r w:rsidRPr="0059240B">
        <w:rPr>
          <w:rFonts w:ascii="Times New Roman" w:eastAsia="Times New Roman" w:hAnsi="Times New Roman"/>
        </w:rPr>
        <w:tab/>
        <w:t>Length of Projections</w:t>
      </w:r>
    </w:p>
    <w:p w14:paraId="35F1EF3B" w14:textId="77777777" w:rsidR="00CC2E32" w:rsidRPr="0059240B" w:rsidRDefault="00CC2E32" w:rsidP="00067EEF">
      <w:pPr>
        <w:keepNext/>
        <w:keepLines/>
        <w:spacing w:after="220" w:line="240" w:lineRule="auto"/>
        <w:ind w:left="1440"/>
        <w:rPr>
          <w:rFonts w:ascii="Times New Roman" w:eastAsia="Times New Roman" w:hAnsi="Times New Roman"/>
        </w:rPr>
      </w:pPr>
      <w:r w:rsidRPr="0059240B">
        <w:rPr>
          <w:rFonts w:ascii="Times New Roman" w:eastAsia="Times New Roman" w:hAnsi="Times New Roman"/>
        </w:rPr>
        <w:t>Projections of accumulated deficiencies shall be run for as many future years as needed so that no materially greater reserve value would result from longer projection periods.</w:t>
      </w:r>
    </w:p>
    <w:p w14:paraId="1D738DB8" w14:textId="03119F1E"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7.</w:t>
      </w:r>
      <w:r w:rsidRPr="0059240B">
        <w:rPr>
          <w:rFonts w:ascii="Times New Roman" w:eastAsia="Times New Roman" w:hAnsi="Times New Roman"/>
        </w:rPr>
        <w:tab/>
        <w:t>Interest Maintenance Reserve (IMR)</w:t>
      </w:r>
    </w:p>
    <w:p w14:paraId="75107E45" w14:textId="0BB9E1A3"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The IMR shall be handled consistently with the treatment in the company’s cash-flow testing</w:t>
      </w:r>
      <w:r w:rsidR="007443E6" w:rsidRPr="0059240B">
        <w:rPr>
          <w:rFonts w:ascii="Times New Roman" w:eastAsia="Times New Roman" w:hAnsi="Times New Roman"/>
        </w:rPr>
        <w:t>, and the amounts should be adjusted to a pre-tax basis</w:t>
      </w:r>
      <w:r w:rsidRPr="0059240B">
        <w:rPr>
          <w:rFonts w:ascii="Times New Roman" w:eastAsia="Times New Roman" w:hAnsi="Times New Roman"/>
        </w:rPr>
        <w:t>.</w:t>
      </w:r>
    </w:p>
    <w:p w14:paraId="14C90046" w14:textId="7511DF69" w:rsidR="00CC2E32" w:rsidRPr="0059240B" w:rsidRDefault="00CC2E32" w:rsidP="00067EEF">
      <w:pPr>
        <w:spacing w:after="220" w:line="240" w:lineRule="auto"/>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 xml:space="preserve">Determination of Scenario </w:t>
      </w:r>
      <w:r w:rsidR="00543F27" w:rsidRPr="0059240B">
        <w:rPr>
          <w:rFonts w:ascii="Times New Roman" w:eastAsia="Times New Roman" w:hAnsi="Times New Roman"/>
        </w:rPr>
        <w:t>Reserve</w:t>
      </w:r>
    </w:p>
    <w:p w14:paraId="7E1C43C9" w14:textId="5DBEF903" w:rsidR="00CC2E32" w:rsidRPr="0059240B" w:rsidRDefault="00CC2E32" w:rsidP="00CC2E32">
      <w:pPr>
        <w:spacing w:after="220" w:line="240" w:lineRule="auto"/>
        <w:ind w:left="1440" w:hanging="720"/>
        <w:rPr>
          <w:rFonts w:ascii="Times New Roman" w:eastAsia="Times New Roman" w:hAnsi="Times New Roman"/>
          <w:position w:val="-1"/>
        </w:rPr>
      </w:pPr>
      <w:r w:rsidRPr="0059240B">
        <w:rPr>
          <w:rFonts w:ascii="Times New Roman" w:eastAsia="Times New Roman" w:hAnsi="Times New Roman"/>
          <w:position w:val="-1"/>
        </w:rPr>
        <w:t>1.</w:t>
      </w:r>
      <w:r w:rsidRPr="0059240B">
        <w:rPr>
          <w:rFonts w:ascii="Times New Roman" w:eastAsia="Times New Roman" w:hAnsi="Times New Roman"/>
          <w:position w:val="-1"/>
        </w:rPr>
        <w:tab/>
      </w:r>
      <w:r w:rsidR="00795B90" w:rsidRPr="0059240B">
        <w:rPr>
          <w:rFonts w:ascii="Times New Roman" w:eastAsia="Times New Roman" w:hAnsi="Times New Roman"/>
          <w:position w:val="-1"/>
        </w:rPr>
        <w:t>General</w:t>
      </w:r>
    </w:p>
    <w:p w14:paraId="1D61655E" w14:textId="301FC811" w:rsidR="00CC2E32" w:rsidRPr="0059240B" w:rsidRDefault="00CC2E32" w:rsidP="00067EEF">
      <w:pPr>
        <w:spacing w:after="220" w:line="240" w:lineRule="auto"/>
        <w:ind w:left="720" w:firstLine="720"/>
        <w:rPr>
          <w:rFonts w:ascii="Times New Roman" w:eastAsia="Times New Roman" w:hAnsi="Times New Roman"/>
        </w:rPr>
      </w:pPr>
      <w:r w:rsidRPr="0059240B">
        <w:rPr>
          <w:rFonts w:ascii="Times New Roman" w:eastAsia="Times New Roman" w:hAnsi="Times New Roman"/>
          <w:position w:val="-1"/>
        </w:rPr>
        <w:t xml:space="preserve">For a given scenario, the scenario </w:t>
      </w:r>
      <w:r w:rsidR="002F4E4A" w:rsidRPr="0059240B">
        <w:rPr>
          <w:rFonts w:ascii="Times New Roman" w:eastAsia="Times New Roman" w:hAnsi="Times New Roman"/>
          <w:position w:val="-1"/>
        </w:rPr>
        <w:t>reserve</w:t>
      </w:r>
      <w:r w:rsidRPr="0059240B">
        <w:rPr>
          <w:rFonts w:ascii="Times New Roman" w:eastAsia="Times New Roman" w:hAnsi="Times New Roman"/>
          <w:position w:val="-1"/>
        </w:rPr>
        <w:t xml:space="preserve"> is the sum of:</w:t>
      </w:r>
    </w:p>
    <w:p w14:paraId="3C7A77A1" w14:textId="72D3D388" w:rsidR="00CC2E32" w:rsidRPr="0059240B" w:rsidRDefault="00CC2E32" w:rsidP="00067EEF">
      <w:pPr>
        <w:pStyle w:val="ListParagraph"/>
        <w:numPr>
          <w:ilvl w:val="1"/>
          <w:numId w:val="11"/>
        </w:numPr>
        <w:spacing w:after="220" w:line="240" w:lineRule="auto"/>
        <w:ind w:left="2160" w:hanging="720"/>
        <w:contextualSpacing w:val="0"/>
        <w:rPr>
          <w:rFonts w:ascii="Times New Roman" w:eastAsia="Times New Roman" w:hAnsi="Times New Roman"/>
        </w:rPr>
      </w:pPr>
      <w:r w:rsidRPr="0059240B">
        <w:rPr>
          <w:rFonts w:ascii="Times New Roman" w:eastAsia="Times New Roman" w:hAnsi="Times New Roman"/>
        </w:rPr>
        <w:t>The greatest present value, as of the projection start date, of the projected accumulated deficiencies</w:t>
      </w:r>
      <w:r w:rsidR="0029310C" w:rsidRPr="0059240B">
        <w:rPr>
          <w:rFonts w:ascii="Times New Roman" w:eastAsia="Times New Roman" w:hAnsi="Times New Roman"/>
        </w:rPr>
        <w:t>; and</w:t>
      </w:r>
    </w:p>
    <w:p w14:paraId="414C22F8" w14:textId="43670AEE" w:rsidR="00CC2E32" w:rsidRPr="0059240B" w:rsidRDefault="00CC2E32" w:rsidP="00067EEF">
      <w:pPr>
        <w:pStyle w:val="ListParagraph"/>
        <w:numPr>
          <w:ilvl w:val="1"/>
          <w:numId w:val="11"/>
        </w:numPr>
        <w:tabs>
          <w:tab w:val="left" w:pos="5400"/>
          <w:tab w:val="left" w:pos="5670"/>
        </w:tabs>
        <w:spacing w:after="220" w:line="240" w:lineRule="auto"/>
        <w:ind w:left="2160" w:hanging="720"/>
        <w:rPr>
          <w:rFonts w:ascii="Times New Roman" w:eastAsia="Times New Roman" w:hAnsi="Times New Roman"/>
        </w:rPr>
      </w:pPr>
      <w:r w:rsidRPr="0059240B">
        <w:rPr>
          <w:rFonts w:ascii="Times New Roman" w:eastAsia="Times New Roman" w:hAnsi="Times New Roman"/>
        </w:rPr>
        <w:t>The starting asset amount.</w:t>
      </w:r>
    </w:p>
    <w:p w14:paraId="42ECCAC3" w14:textId="5148D0B7" w:rsidR="00EC1A67" w:rsidRPr="0059240B" w:rsidRDefault="00EC1A67" w:rsidP="007911F0">
      <w:pPr>
        <w:ind w:left="1440"/>
        <w:jc w:val="both"/>
        <w:rPr>
          <w:rFonts w:ascii="Times New Roman" w:hAnsi="Times New Roman"/>
        </w:rPr>
      </w:pPr>
      <w:r w:rsidRPr="0059240B">
        <w:rPr>
          <w:rFonts w:ascii="Times New Roman" w:hAnsi="Times New Roman"/>
        </w:rPr>
        <w:t xml:space="preserve">When using the </w:t>
      </w:r>
      <w:r w:rsidR="0037323E" w:rsidRPr="0059240B">
        <w:rPr>
          <w:rFonts w:ascii="Times New Roman" w:hAnsi="Times New Roman"/>
        </w:rPr>
        <w:t>d</w:t>
      </w:r>
      <w:r w:rsidRPr="0059240B">
        <w:rPr>
          <w:rFonts w:ascii="Times New Roman" w:hAnsi="Times New Roman"/>
        </w:rPr>
        <w:t xml:space="preserve">irect Iteration </w:t>
      </w:r>
      <w:r w:rsidR="0037323E" w:rsidRPr="0059240B">
        <w:rPr>
          <w:rFonts w:ascii="Times New Roman" w:hAnsi="Times New Roman"/>
        </w:rPr>
        <w:t>m</w:t>
      </w:r>
      <w:r w:rsidRPr="0059240B">
        <w:rPr>
          <w:rFonts w:ascii="Times New Roman" w:hAnsi="Times New Roman"/>
        </w:rPr>
        <w:t xml:space="preserve">ethod, the </w:t>
      </w:r>
      <w:r w:rsidR="002F4E4A" w:rsidRPr="0059240B">
        <w:rPr>
          <w:rFonts w:ascii="Times New Roman" w:hAnsi="Times New Roman"/>
        </w:rPr>
        <w:t>scenario reserve</w:t>
      </w:r>
      <w:r w:rsidR="00B4207B" w:rsidRPr="0059240B">
        <w:rPr>
          <w:rFonts w:ascii="Times New Roman" w:hAnsi="Times New Roman"/>
        </w:rPr>
        <w:t xml:space="preserve"> </w:t>
      </w:r>
      <w:r w:rsidRPr="0059240B">
        <w:rPr>
          <w:rFonts w:ascii="Times New Roman" w:hAnsi="Times New Roman"/>
        </w:rPr>
        <w:t>will equal the</w:t>
      </w:r>
      <w:r w:rsidR="00751252" w:rsidRPr="0059240B">
        <w:rPr>
          <w:rFonts w:ascii="Times New Roman" w:hAnsi="Times New Roman"/>
        </w:rPr>
        <w:t xml:space="preserve"> </w:t>
      </w:r>
      <w:r w:rsidR="00E51827" w:rsidRPr="0059240B">
        <w:rPr>
          <w:rFonts w:ascii="Times New Roman" w:hAnsi="Times New Roman"/>
        </w:rPr>
        <w:t xml:space="preserve">final </w:t>
      </w:r>
      <w:r w:rsidRPr="0059240B">
        <w:rPr>
          <w:rFonts w:ascii="Times New Roman" w:hAnsi="Times New Roman"/>
        </w:rPr>
        <w:t>starting asset amount</w:t>
      </w:r>
      <w:r w:rsidR="00E51827" w:rsidRPr="0059240B">
        <w:rPr>
          <w:rFonts w:ascii="Times New Roman" w:hAnsi="Times New Roman"/>
        </w:rPr>
        <w:t xml:space="preserve"> determined according to Section 4.B.</w:t>
      </w:r>
      <w:r w:rsidR="002C7EA8" w:rsidRPr="0059240B">
        <w:rPr>
          <w:rFonts w:ascii="Times New Roman" w:hAnsi="Times New Roman"/>
        </w:rPr>
        <w:t>4</w:t>
      </w:r>
      <w:r w:rsidRPr="0059240B">
        <w:rPr>
          <w:rFonts w:ascii="Times New Roman" w:hAnsi="Times New Roman"/>
        </w:rPr>
        <w:t xml:space="preserve">.  </w:t>
      </w:r>
    </w:p>
    <w:p w14:paraId="5829B3D1" w14:textId="05ABAD17" w:rsidR="007911F0" w:rsidRPr="0059240B" w:rsidRDefault="007911F0" w:rsidP="007911F0">
      <w:pPr>
        <w:ind w:left="1440"/>
        <w:jc w:val="both"/>
        <w:rPr>
          <w:rFonts w:ascii="Times New Roman" w:hAnsi="Times New Roman"/>
        </w:rPr>
      </w:pPr>
      <w:r w:rsidRPr="0059240B">
        <w:rPr>
          <w:rFonts w:ascii="Times New Roman" w:hAnsi="Times New Roman"/>
        </w:rPr>
        <w:lastRenderedPageBreak/>
        <w:t xml:space="preserve">The </w:t>
      </w:r>
      <w:r w:rsidR="002F4E4A" w:rsidRPr="0059240B">
        <w:rPr>
          <w:rFonts w:ascii="Times New Roman" w:hAnsi="Times New Roman"/>
        </w:rPr>
        <w:t xml:space="preserve">scenario reserve </w:t>
      </w:r>
      <w:r w:rsidRPr="0059240B">
        <w:rPr>
          <w:rFonts w:ascii="Times New Roman" w:hAnsi="Times New Roman"/>
        </w:rPr>
        <w:t xml:space="preserve">for any given scenario shall not be less than the </w:t>
      </w:r>
      <w:r w:rsidR="0037323E" w:rsidRPr="0059240B">
        <w:rPr>
          <w:rFonts w:ascii="Times New Roman" w:hAnsi="Times New Roman"/>
        </w:rPr>
        <w:t>c</w:t>
      </w:r>
      <w:r w:rsidRPr="0059240B">
        <w:rPr>
          <w:rFonts w:ascii="Times New Roman" w:hAnsi="Times New Roman"/>
        </w:rPr>
        <w:t xml:space="preserve">ash </w:t>
      </w:r>
      <w:r w:rsidR="0037323E" w:rsidRPr="0059240B">
        <w:rPr>
          <w:rFonts w:ascii="Times New Roman" w:hAnsi="Times New Roman"/>
        </w:rPr>
        <w:t>s</w:t>
      </w:r>
      <w:r w:rsidRPr="0059240B">
        <w:rPr>
          <w:rFonts w:ascii="Times New Roman" w:hAnsi="Times New Roman"/>
        </w:rPr>
        <w:t xml:space="preserve">urrender </w:t>
      </w:r>
      <w:r w:rsidR="0037323E" w:rsidRPr="0059240B">
        <w:rPr>
          <w:rFonts w:ascii="Times New Roman" w:hAnsi="Times New Roman"/>
        </w:rPr>
        <w:t>v</w:t>
      </w:r>
      <w:r w:rsidRPr="0059240B">
        <w:rPr>
          <w:rFonts w:ascii="Times New Roman" w:hAnsi="Times New Roman"/>
        </w:rPr>
        <w:t>alue in aggregate on the valuation date for the group of contracts modeled in the projection.</w:t>
      </w:r>
    </w:p>
    <w:p w14:paraId="20E668E0" w14:textId="77777777" w:rsidR="00CC2E32" w:rsidRPr="0059240B" w:rsidRDefault="00CC2E32" w:rsidP="00067EEF">
      <w:pPr>
        <w:spacing w:after="220" w:line="240" w:lineRule="auto"/>
        <w:ind w:left="1440" w:hanging="720"/>
        <w:rPr>
          <w:rFonts w:ascii="Times New Roman" w:eastAsia="Times New Roman" w:hAnsi="Times New Roman"/>
          <w:position w:val="-1"/>
        </w:rPr>
      </w:pPr>
      <w:r w:rsidRPr="0059240B">
        <w:rPr>
          <w:rFonts w:ascii="Times New Roman" w:eastAsia="Times New Roman" w:hAnsi="Times New Roman"/>
          <w:position w:val="-1"/>
        </w:rPr>
        <w:t>2.</w:t>
      </w:r>
      <w:r w:rsidRPr="0059240B">
        <w:rPr>
          <w:rFonts w:ascii="Times New Roman" w:eastAsia="Times New Roman" w:hAnsi="Times New Roman"/>
          <w:position w:val="-1"/>
        </w:rPr>
        <w:tab/>
        <w:t>Discount Rates</w:t>
      </w:r>
    </w:p>
    <w:p w14:paraId="4252189D" w14:textId="12804D84" w:rsidR="00CC2E32" w:rsidRPr="0059240B" w:rsidRDefault="00CC2E32" w:rsidP="00CC2E32">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In determining the </w:t>
      </w:r>
      <w:r w:rsidR="00543F27" w:rsidRPr="0059240B">
        <w:rPr>
          <w:rFonts w:ascii="Times New Roman" w:eastAsia="Times New Roman" w:hAnsi="Times New Roman"/>
        </w:rPr>
        <w:t>scenario reserve</w:t>
      </w:r>
      <w:r w:rsidRPr="0059240B">
        <w:rPr>
          <w:rFonts w:ascii="Times New Roman" w:eastAsia="Times New Roman" w:hAnsi="Times New Roman"/>
        </w:rPr>
        <w:t xml:space="preserve">, accumulated deficiencies shall be discounted at the </w:t>
      </w:r>
      <w:r w:rsidR="00196FEA" w:rsidRPr="0059240B">
        <w:rPr>
          <w:rFonts w:ascii="Times New Roman" w:eastAsia="Times New Roman" w:hAnsi="Times New Roman"/>
        </w:rPr>
        <w:t>(NAER)</w:t>
      </w:r>
      <w:r w:rsidRPr="0059240B">
        <w:rPr>
          <w:rFonts w:ascii="Times New Roman" w:eastAsia="Times New Roman" w:hAnsi="Times New Roman"/>
        </w:rPr>
        <w:t xml:space="preserve"> on additional assets, as defined in Section </w:t>
      </w:r>
      <w:r w:rsidR="00466EA5" w:rsidRPr="0059240B">
        <w:rPr>
          <w:rFonts w:ascii="Times New Roman" w:eastAsia="Times New Roman" w:hAnsi="Times New Roman"/>
        </w:rPr>
        <w:t>4</w:t>
      </w:r>
      <w:r w:rsidRPr="0059240B">
        <w:rPr>
          <w:rFonts w:ascii="Times New Roman" w:eastAsia="Times New Roman" w:hAnsi="Times New Roman"/>
        </w:rPr>
        <w:t>.B.</w:t>
      </w:r>
      <w:r w:rsidR="00812763" w:rsidRPr="0059240B">
        <w:rPr>
          <w:rFonts w:ascii="Times New Roman" w:eastAsia="Times New Roman" w:hAnsi="Times New Roman"/>
        </w:rPr>
        <w:t>3</w:t>
      </w:r>
      <w:r w:rsidRPr="0059240B">
        <w:rPr>
          <w:rFonts w:ascii="Times New Roman" w:eastAsia="Times New Roman" w:hAnsi="Times New Roman"/>
        </w:rPr>
        <w:t>.</w:t>
      </w:r>
    </w:p>
    <w:p w14:paraId="01A7DB03" w14:textId="5F2A874F" w:rsidR="00CC2E32" w:rsidRPr="0059240B" w:rsidRDefault="005473E5" w:rsidP="00CC2E32">
      <w:pPr>
        <w:spacing w:after="220" w:line="240" w:lineRule="auto"/>
        <w:ind w:left="1440" w:hanging="720"/>
        <w:rPr>
          <w:rFonts w:ascii="Times New Roman" w:eastAsia="Times New Roman" w:hAnsi="Times New Roman"/>
          <w:position w:val="-1"/>
        </w:rPr>
      </w:pPr>
      <w:r w:rsidRPr="0059240B">
        <w:rPr>
          <w:rFonts w:ascii="Times New Roman" w:hAnsi="Times New Roman"/>
          <w:position w:val="-1"/>
        </w:rPr>
        <w:t>3</w:t>
      </w:r>
      <w:r w:rsidR="00CC2E32" w:rsidRPr="0059240B">
        <w:rPr>
          <w:rFonts w:ascii="Times New Roman" w:hAnsi="Times New Roman"/>
          <w:position w:val="-1"/>
        </w:rPr>
        <w:t>.</w:t>
      </w:r>
      <w:r w:rsidR="00CC2E32" w:rsidRPr="0059240B">
        <w:rPr>
          <w:rFonts w:ascii="Times New Roman" w:eastAsia="Times New Roman" w:hAnsi="Times New Roman"/>
          <w:position w:val="-1"/>
        </w:rPr>
        <w:tab/>
      </w:r>
      <w:r w:rsidR="007F7F34" w:rsidRPr="0059240B">
        <w:rPr>
          <w:rFonts w:ascii="Times New Roman" w:eastAsia="Times New Roman" w:hAnsi="Times New Roman"/>
          <w:position w:val="-1"/>
        </w:rPr>
        <w:t>Determination of NAER on Additional Invested Asset Portfolio</w:t>
      </w:r>
    </w:p>
    <w:p w14:paraId="743B71E5" w14:textId="7723FC99" w:rsidR="005473E5" w:rsidRPr="0059240B" w:rsidRDefault="007F7F34" w:rsidP="00067EEF">
      <w:pPr>
        <w:spacing w:after="220" w:line="240" w:lineRule="auto"/>
        <w:ind w:left="1440"/>
        <w:rPr>
          <w:rFonts w:ascii="Times New Roman" w:eastAsia="Times New Roman" w:hAnsi="Times New Roman"/>
        </w:rPr>
      </w:pPr>
      <w:r w:rsidRPr="0059240B">
        <w:rPr>
          <w:rFonts w:ascii="Times New Roman" w:eastAsia="Times New Roman" w:hAnsi="Times New Roman"/>
          <w:position w:val="-1"/>
        </w:rPr>
        <w:t>a.</w:t>
      </w:r>
      <w:r w:rsidRPr="0059240B">
        <w:rPr>
          <w:rFonts w:ascii="Times New Roman" w:eastAsia="Times New Roman" w:hAnsi="Times New Roman"/>
          <w:position w:val="-1"/>
        </w:rPr>
        <w:tab/>
        <w:t>The additional invested asset portfolio for a scenario is a portfolio of general account assets as of the valuation date, outside of the starting asset portfolio,</w:t>
      </w:r>
      <w:r w:rsidRPr="0059240B">
        <w:rPr>
          <w:rFonts w:ascii="Times New Roman" w:hAnsi="Times New Roman"/>
          <w:position w:val="-1"/>
        </w:rPr>
        <w:t xml:space="preserve"> that </w:t>
      </w:r>
      <w:r w:rsidRPr="0059240B">
        <w:rPr>
          <w:rFonts w:ascii="Times New Roman" w:eastAsia="Times New Roman" w:hAnsi="Times New Roman"/>
          <w:position w:val="-1"/>
        </w:rPr>
        <w:t>is required in that projection scenario so that the projection would not have a positive accumulated deficiency at the end of any projection year. This portfolio may include only (i) general account assets available to the company on the valuation date that</w:t>
      </w:r>
      <w:r w:rsidRPr="0059240B">
        <w:rPr>
          <w:rFonts w:ascii="Times New Roman" w:hAnsi="Times New Roman"/>
          <w:position w:val="-1"/>
        </w:rPr>
        <w:t xml:space="preserve"> do not </w:t>
      </w:r>
      <w:r w:rsidRPr="0059240B">
        <w:rPr>
          <w:rFonts w:ascii="Times New Roman" w:eastAsia="Times New Roman" w:hAnsi="Times New Roman"/>
          <w:position w:val="-1"/>
        </w:rPr>
        <w:t>constitute part of the starting asset portfolio, and (ii) cash assets</w:t>
      </w:r>
      <w:r w:rsidRPr="0059240B">
        <w:rPr>
          <w:rFonts w:ascii="Times New Roman" w:hAnsi="Times New Roman"/>
          <w:position w:val="-1"/>
        </w:rPr>
        <w:t>.</w:t>
      </w:r>
    </w:p>
    <w:p w14:paraId="7BC5BFE1" w14:textId="265510AF" w:rsidR="003136AD" w:rsidRPr="0059240B" w:rsidRDefault="0037323E" w:rsidP="00CC2E32">
      <w:pPr>
        <w:spacing w:after="220" w:line="240" w:lineRule="auto"/>
        <w:ind w:left="1440"/>
        <w:rPr>
          <w:rFonts w:ascii="Times New Roman" w:eastAsia="Times New Roman" w:hAnsi="Times New Roman"/>
        </w:rPr>
      </w:pPr>
      <w:r w:rsidRPr="0059240B">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87CF148">
                <wp:simplePos x="0" y="0"/>
                <wp:positionH relativeFrom="column">
                  <wp:posOffset>166370</wp:posOffset>
                </wp:positionH>
                <wp:positionV relativeFrom="paragraph">
                  <wp:posOffset>119539</wp:posOffset>
                </wp:positionV>
                <wp:extent cx="6373886" cy="111442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6373886" cy="1114425"/>
                        </a:xfrm>
                        <a:prstGeom prst="rect">
                          <a:avLst/>
                        </a:prstGeom>
                        <a:solidFill>
                          <a:schemeClr val="lt1"/>
                        </a:solidFill>
                        <a:ln w="6350">
                          <a:solidFill>
                            <a:prstClr val="black"/>
                          </a:solidFill>
                        </a:ln>
                      </wps:spPr>
                      <wps:txbx>
                        <w:txbxContent>
                          <w:p w14:paraId="48F4B18C" w14:textId="77777777" w:rsidR="00B76878" w:rsidRPr="007F7F34" w:rsidRDefault="00B76878" w:rsidP="007F7F34">
                            <w:pPr>
                              <w:rPr>
                                <w:rFonts w:ascii="Times New Roman" w:hAnsi="Times New Roman"/>
                              </w:rPr>
                            </w:pPr>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7CEC7A1F" w14:textId="2CA51006" w:rsidR="00B76878" w:rsidRPr="007F7F34" w:rsidRDefault="00B76878" w:rsidP="007F7F34">
                            <w:pPr>
                              <w:rPr>
                                <w:rFonts w:ascii="Times New Roman" w:hAnsi="Times New Roman"/>
                              </w:rPr>
                            </w:pPr>
                            <w:r w:rsidRPr="007F7F34">
                              <w:rPr>
                                <w:rFonts w:ascii="Times New Roman" w:hAnsi="Times New Roman"/>
                              </w:rPr>
                              <w:t>It is assumed that the accumulated deficiencies for this scenario projection are known.</w:t>
                            </w:r>
                          </w:p>
                          <w:p w14:paraId="7BDED676" w14:textId="77777777" w:rsidR="00B76878" w:rsidRDefault="00B76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7" type="#_x0000_t202" style="position:absolute;left:0;text-align:left;margin-left:13.1pt;margin-top:9.4pt;width:501.9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" fillcolor="white [3201]" strokeweight=".5pt">
                <v:textbox>
                  <w:txbxContent>
                    <w:p w14:paraId="48F4B18C" w14:textId="77777777" w:rsidR="00B76878" w:rsidRPr="007F7F34" w:rsidRDefault="00B76878" w:rsidP="007F7F34">
                      <w:pPr>
                        <w:rPr>
                          <w:rFonts w:ascii="Times New Roman" w:hAnsi="Times New Roman"/>
                        </w:rPr>
                      </w:pPr>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7CEC7A1F" w14:textId="2CA51006" w:rsidR="00B76878" w:rsidRPr="007F7F34" w:rsidRDefault="00B76878" w:rsidP="007F7F34">
                      <w:pPr>
                        <w:rPr>
                          <w:rFonts w:ascii="Times New Roman" w:hAnsi="Times New Roman"/>
                        </w:rPr>
                      </w:pPr>
                      <w:r w:rsidRPr="007F7F34">
                        <w:rPr>
                          <w:rFonts w:ascii="Times New Roman" w:hAnsi="Times New Roman"/>
                        </w:rPr>
                        <w:t>It is assumed that the accumulated deficiencies for this scenario projection are known.</w:t>
                      </w:r>
                    </w:p>
                    <w:p w14:paraId="7BDED676" w14:textId="77777777" w:rsidR="00B76878" w:rsidRDefault="00B76878"/>
                  </w:txbxContent>
                </v:textbox>
              </v:shape>
            </w:pict>
          </mc:Fallback>
        </mc:AlternateContent>
      </w:r>
    </w:p>
    <w:p w14:paraId="16D5EA18" w14:textId="6EC212B8" w:rsidR="003136AD" w:rsidRPr="0059240B" w:rsidRDefault="003136AD" w:rsidP="00CC2E32">
      <w:pPr>
        <w:spacing w:after="220" w:line="240" w:lineRule="auto"/>
        <w:ind w:left="1440"/>
        <w:rPr>
          <w:rFonts w:ascii="Times New Roman" w:eastAsia="Times New Roman" w:hAnsi="Times New Roman"/>
        </w:rPr>
      </w:pPr>
    </w:p>
    <w:p w14:paraId="311C22B2" w14:textId="2552A3F1" w:rsidR="00F35A23" w:rsidRPr="0059240B" w:rsidRDefault="00F35A23" w:rsidP="005473E5">
      <w:pPr>
        <w:spacing w:after="220" w:line="240" w:lineRule="auto"/>
        <w:ind w:left="1440" w:hanging="720"/>
        <w:rPr>
          <w:rFonts w:ascii="Times New Roman" w:eastAsia="Times New Roman" w:hAnsi="Times New Roman"/>
          <w:position w:val="-1"/>
        </w:rPr>
      </w:pPr>
    </w:p>
    <w:p w14:paraId="0E2F57FB" w14:textId="77777777" w:rsidR="0037323E" w:rsidRPr="0059240B" w:rsidRDefault="0037323E" w:rsidP="00E1604F">
      <w:pPr>
        <w:spacing w:after="220" w:line="240" w:lineRule="auto"/>
        <w:ind w:left="1440"/>
        <w:rPr>
          <w:rFonts w:ascii="Times New Roman" w:eastAsia="Times New Roman" w:hAnsi="Times New Roman"/>
          <w:position w:val="-1"/>
        </w:rPr>
      </w:pPr>
    </w:p>
    <w:p w14:paraId="73070BD3" w14:textId="77777777" w:rsidR="0037323E" w:rsidRPr="0059240B" w:rsidRDefault="0037323E" w:rsidP="00E1604F">
      <w:pPr>
        <w:spacing w:after="220" w:line="240" w:lineRule="auto"/>
        <w:ind w:left="1440"/>
        <w:rPr>
          <w:rFonts w:ascii="Times New Roman" w:eastAsia="Times New Roman" w:hAnsi="Times New Roman"/>
          <w:position w:val="-1"/>
        </w:rPr>
      </w:pPr>
    </w:p>
    <w:p w14:paraId="5E308EE0" w14:textId="494EE72A" w:rsidR="00E1604F" w:rsidRPr="0059240B" w:rsidRDefault="00E1604F" w:rsidP="00E1604F">
      <w:pPr>
        <w:spacing w:after="220" w:line="240" w:lineRule="auto"/>
        <w:ind w:left="1440"/>
        <w:rPr>
          <w:rFonts w:ascii="Times New Roman" w:eastAsia="Times New Roman" w:hAnsi="Times New Roman"/>
          <w:position w:val="-1"/>
        </w:rPr>
      </w:pPr>
      <w:r w:rsidRPr="0059240B">
        <w:rPr>
          <w:rFonts w:ascii="Times New Roman" w:eastAsia="Times New Roman" w:hAnsi="Times New Roman"/>
          <w:position w:val="-1"/>
        </w:rPr>
        <w:t>b.</w:t>
      </w:r>
      <w:r w:rsidRPr="0059240B">
        <w:rPr>
          <w:rFonts w:ascii="Times New Roman" w:eastAsia="Times New Roman" w:hAnsi="Times New Roman"/>
          <w:position w:val="-1"/>
        </w:rPr>
        <w:tab/>
        <w:t>To determine the NAER on additional invested assets for a given scenario:</w:t>
      </w:r>
    </w:p>
    <w:p w14:paraId="20B4C27D" w14:textId="2D10E582" w:rsidR="00E1604F" w:rsidRPr="0059240B" w:rsidRDefault="00E1604F" w:rsidP="00E1604F">
      <w:pPr>
        <w:spacing w:after="220" w:line="240" w:lineRule="auto"/>
        <w:ind w:left="2160"/>
        <w:rPr>
          <w:rFonts w:ascii="Times New Roman" w:eastAsia="Times New Roman" w:hAnsi="Times New Roman"/>
          <w:position w:val="-1"/>
        </w:rPr>
      </w:pPr>
      <w:r w:rsidRPr="0059240B">
        <w:rPr>
          <w:rFonts w:ascii="Times New Roman" w:eastAsia="Times New Roman" w:hAnsi="Times New Roman"/>
          <w:position w:val="-1"/>
        </w:rPr>
        <w:t>i.</w:t>
      </w:r>
      <w:r w:rsidRPr="0059240B">
        <w:rPr>
          <w:rFonts w:ascii="Times New Roman" w:eastAsia="Times New Roman" w:hAnsi="Times New Roman"/>
          <w:position w:val="-1"/>
        </w:rPr>
        <w:tab/>
        <w:t>Project the additional invested asset portfolio as of the valuation date to the end of the projection period,</w:t>
      </w:r>
    </w:p>
    <w:p w14:paraId="483B7DC3" w14:textId="4DF41552" w:rsidR="00E1604F" w:rsidRPr="0059240B" w:rsidRDefault="00E1604F" w:rsidP="00E1604F">
      <w:pPr>
        <w:spacing w:after="220" w:line="240" w:lineRule="auto"/>
        <w:ind w:left="3600" w:hanging="720"/>
        <w:rPr>
          <w:rFonts w:ascii="Times New Roman" w:eastAsia="Times New Roman" w:hAnsi="Times New Roman"/>
          <w:position w:val="-1"/>
        </w:rPr>
      </w:pPr>
      <w:r w:rsidRPr="0059240B">
        <w:rPr>
          <w:rFonts w:ascii="Times New Roman" w:eastAsia="Times New Roman" w:hAnsi="Times New Roman"/>
          <w:position w:val="-1"/>
        </w:rPr>
        <w:t>a)</w:t>
      </w:r>
      <w:r w:rsidRPr="0059240B">
        <w:rPr>
          <w:rFonts w:ascii="Times New Roman" w:eastAsia="Times New Roman" w:hAnsi="Times New Roman"/>
          <w:position w:val="-1"/>
        </w:rPr>
        <w:tab/>
        <w:t>investing any cash in the portfolio and reinvesting all investment proceeds using the company’s investment policy;</w:t>
      </w:r>
    </w:p>
    <w:p w14:paraId="27E2BA11" w14:textId="3A9E7BE2" w:rsidR="00E1604F" w:rsidRPr="0059240B" w:rsidRDefault="00E1604F" w:rsidP="00E1604F">
      <w:pPr>
        <w:spacing w:after="220" w:line="240" w:lineRule="auto"/>
        <w:ind w:left="3600" w:hanging="720"/>
        <w:rPr>
          <w:rFonts w:ascii="Times New Roman" w:eastAsia="Times New Roman" w:hAnsi="Times New Roman"/>
          <w:position w:val="-1"/>
        </w:rPr>
      </w:pPr>
      <w:r w:rsidRPr="0059240B">
        <w:rPr>
          <w:rFonts w:ascii="Times New Roman" w:eastAsia="Times New Roman" w:hAnsi="Times New Roman"/>
          <w:position w:val="-1"/>
        </w:rPr>
        <w:t>b)</w:t>
      </w:r>
      <w:r w:rsidRPr="0059240B">
        <w:rPr>
          <w:rFonts w:ascii="Times New Roman" w:eastAsia="Times New Roman" w:hAnsi="Times New Roman"/>
          <w:position w:val="-1"/>
        </w:rPr>
        <w:tab/>
      </w:r>
      <w:r w:rsidR="00196FEA" w:rsidRPr="0059240B">
        <w:rPr>
          <w:rFonts w:ascii="Times New Roman" w:eastAsia="Times New Roman" w:hAnsi="Times New Roman"/>
          <w:position w:val="-1"/>
        </w:rPr>
        <w:t xml:space="preserve">excluding </w:t>
      </w:r>
      <w:r w:rsidRPr="0059240B">
        <w:rPr>
          <w:rFonts w:ascii="Times New Roman" w:eastAsia="Times New Roman" w:hAnsi="Times New Roman"/>
          <w:position w:val="-1"/>
        </w:rPr>
        <w:t>any liability cash flows, and</w:t>
      </w:r>
    </w:p>
    <w:p w14:paraId="203D8BE0" w14:textId="5934BDDE" w:rsidR="00E1604F" w:rsidRPr="0059240B" w:rsidRDefault="00E1604F" w:rsidP="00E1604F">
      <w:pPr>
        <w:spacing w:after="220" w:line="240" w:lineRule="auto"/>
        <w:ind w:left="3600" w:hanging="720"/>
        <w:rPr>
          <w:rFonts w:ascii="Times New Roman" w:eastAsia="Times New Roman" w:hAnsi="Times New Roman"/>
          <w:position w:val="-1"/>
        </w:rPr>
      </w:pPr>
      <w:r w:rsidRPr="0059240B">
        <w:rPr>
          <w:rFonts w:ascii="Times New Roman" w:eastAsia="Times New Roman" w:hAnsi="Times New Roman"/>
          <w:position w:val="-1"/>
        </w:rPr>
        <w:t>c)</w:t>
      </w:r>
      <w:r w:rsidRPr="0059240B">
        <w:rPr>
          <w:rFonts w:ascii="Times New Roman" w:eastAsia="Times New Roman" w:hAnsi="Times New Roman"/>
          <w:position w:val="-1"/>
        </w:rPr>
        <w:tab/>
        <w:t>incorporating the appropriate returns, defaults, and investment expenses for the given scenario.</w:t>
      </w:r>
    </w:p>
    <w:p w14:paraId="6B2A12FF" w14:textId="6D036225" w:rsidR="00E1604F" w:rsidRPr="0059240B" w:rsidRDefault="00E1604F" w:rsidP="00E1604F">
      <w:pPr>
        <w:spacing w:after="220" w:line="240" w:lineRule="auto"/>
        <w:ind w:left="2160"/>
        <w:rPr>
          <w:rFonts w:ascii="Times New Roman" w:eastAsia="Times New Roman" w:hAnsi="Times New Roman"/>
          <w:position w:val="-1"/>
        </w:rPr>
      </w:pPr>
      <w:r w:rsidRPr="0059240B">
        <w:rPr>
          <w:rFonts w:ascii="Times New Roman" w:eastAsia="Times New Roman" w:hAnsi="Times New Roman"/>
          <w:position w:val="-1"/>
        </w:rPr>
        <w:t>ii.</w:t>
      </w:r>
      <w:r w:rsidRPr="0059240B">
        <w:rPr>
          <w:rFonts w:ascii="Times New Roman" w:eastAsia="Times New Roman" w:hAnsi="Times New Roman"/>
          <w:position w:val="-1"/>
        </w:rPr>
        <w:tab/>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w:t>
      </w:r>
      <w:r w:rsidR="003C482A" w:rsidRPr="0059240B">
        <w:rPr>
          <w:rFonts w:ascii="Times New Roman" w:eastAsia="Times New Roman" w:hAnsi="Times New Roman"/>
          <w:position w:val="-1"/>
        </w:rPr>
        <w:t>step.</w:t>
      </w:r>
    </w:p>
    <w:p w14:paraId="6ACE4691" w14:textId="61B4D43E" w:rsidR="00E1604F" w:rsidRPr="0059240B" w:rsidRDefault="00E1604F" w:rsidP="00E1604F">
      <w:pPr>
        <w:spacing w:after="220" w:line="240" w:lineRule="auto"/>
        <w:ind w:left="2160"/>
        <w:rPr>
          <w:rFonts w:ascii="Times New Roman" w:eastAsia="Times New Roman" w:hAnsi="Times New Roman"/>
          <w:position w:val="-1"/>
        </w:rPr>
      </w:pPr>
      <w:r w:rsidRPr="0059240B">
        <w:rPr>
          <w:rFonts w:ascii="Times New Roman" w:eastAsia="Times New Roman" w:hAnsi="Times New Roman"/>
          <w:position w:val="-1"/>
        </w:rPr>
        <w:t>iii</w:t>
      </w:r>
      <w:r w:rsidRPr="0059240B">
        <w:rPr>
          <w:rFonts w:ascii="Times New Roman" w:eastAsia="Times New Roman" w:hAnsi="Times New Roman"/>
          <w:position w:val="-1"/>
        </w:rPr>
        <w:tab/>
        <w:t xml:space="preserve">Determine a vector of annual earned rates that replicates the growth in the additional invested asset portfolio from the valuation date to the end of the projection period for the scenario. This vector will be the NAER for the given </w:t>
      </w:r>
      <w:r w:rsidR="003C482A" w:rsidRPr="0059240B">
        <w:rPr>
          <w:rFonts w:ascii="Times New Roman" w:eastAsia="Times New Roman" w:hAnsi="Times New Roman"/>
          <w:position w:val="-1"/>
        </w:rPr>
        <w:t>scenario.</w:t>
      </w:r>
    </w:p>
    <w:p w14:paraId="04B972C5" w14:textId="234B0A04" w:rsidR="00F35A23" w:rsidRPr="0059240B" w:rsidRDefault="00196FEA" w:rsidP="005473E5">
      <w:pPr>
        <w:spacing w:after="220" w:line="240" w:lineRule="auto"/>
        <w:ind w:left="1440" w:hanging="720"/>
        <w:rPr>
          <w:rFonts w:ascii="Times New Roman" w:eastAsia="Times New Roman" w:hAnsi="Times New Roman"/>
          <w:position w:val="-1"/>
        </w:rPr>
      </w:pPr>
      <w:r w:rsidRPr="0059240B">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26BC1481" wp14:editId="13D4B0E5">
                <wp:simplePos x="0" y="0"/>
                <wp:positionH relativeFrom="column">
                  <wp:posOffset>409575</wp:posOffset>
                </wp:positionH>
                <wp:positionV relativeFrom="paragraph">
                  <wp:posOffset>247650</wp:posOffset>
                </wp:positionV>
                <wp:extent cx="6373495" cy="68580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6373495" cy="685800"/>
                        </a:xfrm>
                        <a:prstGeom prst="rect">
                          <a:avLst/>
                        </a:prstGeom>
                        <a:solidFill>
                          <a:schemeClr val="lt1"/>
                        </a:solidFill>
                        <a:ln w="6350">
                          <a:solidFill>
                            <a:prstClr val="black"/>
                          </a:solidFill>
                        </a:ln>
                      </wps:spPr>
                      <wps:txbx>
                        <w:txbxContent>
                          <w:p w14:paraId="108E07B2" w14:textId="38EB53BB" w:rsidR="00B76878" w:rsidRPr="007F7F34" w:rsidRDefault="00B76878" w:rsidP="00E1604F">
                            <w:pPr>
                              <w:rPr>
                                <w:rFonts w:ascii="Times New Roman" w:hAnsi="Times New Roman"/>
                              </w:rPr>
                            </w:pPr>
                            <w:r w:rsidRPr="007F7F34">
                              <w:rPr>
                                <w:rFonts w:ascii="Times New Roman" w:hAnsi="Times New Roman"/>
                              </w:rPr>
                              <w:t xml:space="preserve">Guidance Note:  </w:t>
                            </w:r>
                            <w:r w:rsidRPr="00E1604F">
                              <w:rPr>
                                <w:rFonts w:ascii="Times New Roman" w:hAnsi="Times New Roman"/>
                              </w:rPr>
                              <w:t xml:space="preserve">There are multiple ways to select the additional invested asset portfolio at the valuation date. Similarly, there are multiple ways to determine the earned rate vector. The company </w:t>
                            </w:r>
                            <w:r w:rsidRPr="00196FEA">
                              <w:rPr>
                                <w:rFonts w:ascii="Times New Roman" w:hAnsi="Times New Roman"/>
                                <w:highlight w:val="cyan"/>
                              </w:rPr>
                              <w:t>shall</w:t>
                            </w:r>
                            <w:r w:rsidRPr="00E1604F">
                              <w:rPr>
                                <w:rFonts w:ascii="Times New Roman" w:hAnsi="Times New Roman"/>
                              </w:rPr>
                              <w:t xml:space="preserve"> be consistent in its choice of methods, from one valuation to the next</w:t>
                            </w:r>
                            <w:r w:rsidRPr="007F7F34">
                              <w:rPr>
                                <w:rFonts w:ascii="Times New Roman" w:hAnsi="Times New Roman"/>
                              </w:rPr>
                              <w:t>.</w:t>
                            </w:r>
                          </w:p>
                          <w:p w14:paraId="33C9E5AC" w14:textId="77777777" w:rsidR="00B76878" w:rsidRDefault="00B76878" w:rsidP="00E16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1481" id="Text Box 4" o:spid="_x0000_s1028" type="#_x0000_t202" style="position:absolute;left:0;text-align:left;margin-left:32.25pt;margin-top:19.5pt;width:501.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" fillcolor="white [3201]" strokeweight=".5pt">
                <v:textbox>
                  <w:txbxContent>
                    <w:p w14:paraId="108E07B2" w14:textId="38EB53BB" w:rsidR="00B76878" w:rsidRPr="007F7F34" w:rsidRDefault="00B76878" w:rsidP="00E1604F">
                      <w:pPr>
                        <w:rPr>
                          <w:rFonts w:ascii="Times New Roman" w:hAnsi="Times New Roman"/>
                        </w:rPr>
                      </w:pPr>
                      <w:r w:rsidRPr="007F7F34">
                        <w:rPr>
                          <w:rFonts w:ascii="Times New Roman" w:hAnsi="Times New Roman"/>
                        </w:rPr>
                        <w:t xml:space="preserve">Guidance Note:  </w:t>
                      </w:r>
                      <w:r w:rsidRPr="00E1604F">
                        <w:rPr>
                          <w:rFonts w:ascii="Times New Roman" w:hAnsi="Times New Roman"/>
                        </w:rPr>
                        <w:t xml:space="preserve">There are multiple ways to select the additional invested asset portfolio at the valuation date. Similarly, there are multiple ways to determine the earned rate vector. The company </w:t>
                      </w:r>
                      <w:r w:rsidRPr="00196FEA">
                        <w:rPr>
                          <w:rFonts w:ascii="Times New Roman" w:hAnsi="Times New Roman"/>
                          <w:highlight w:val="cyan"/>
                        </w:rPr>
                        <w:t>shall</w:t>
                      </w:r>
                      <w:r w:rsidRPr="00E1604F">
                        <w:rPr>
                          <w:rFonts w:ascii="Times New Roman" w:hAnsi="Times New Roman"/>
                        </w:rPr>
                        <w:t xml:space="preserve"> be consistent in its choice of methods, from one valuation to the next</w:t>
                      </w:r>
                      <w:r w:rsidRPr="007F7F34">
                        <w:rPr>
                          <w:rFonts w:ascii="Times New Roman" w:hAnsi="Times New Roman"/>
                        </w:rPr>
                        <w:t>.</w:t>
                      </w:r>
                    </w:p>
                    <w:p w14:paraId="33C9E5AC" w14:textId="77777777" w:rsidR="00B76878" w:rsidRDefault="00B76878" w:rsidP="00E1604F"/>
                  </w:txbxContent>
                </v:textbox>
              </v:shape>
            </w:pict>
          </mc:Fallback>
        </mc:AlternateContent>
      </w:r>
    </w:p>
    <w:p w14:paraId="2AC85135" w14:textId="743F845F" w:rsidR="00E1604F" w:rsidRPr="0059240B" w:rsidRDefault="00E1604F" w:rsidP="005473E5">
      <w:pPr>
        <w:spacing w:after="220" w:line="240" w:lineRule="auto"/>
        <w:ind w:left="1440" w:hanging="720"/>
        <w:rPr>
          <w:rFonts w:ascii="Times New Roman" w:eastAsia="Times New Roman" w:hAnsi="Times New Roman"/>
          <w:position w:val="-1"/>
        </w:rPr>
      </w:pPr>
    </w:p>
    <w:p w14:paraId="3F45490C" w14:textId="2FC84539" w:rsidR="00E1604F" w:rsidRPr="0059240B" w:rsidRDefault="00E1604F" w:rsidP="005473E5">
      <w:pPr>
        <w:spacing w:after="220" w:line="240" w:lineRule="auto"/>
        <w:ind w:left="1440" w:hanging="720"/>
        <w:rPr>
          <w:rFonts w:ascii="Times New Roman" w:eastAsia="Times New Roman" w:hAnsi="Times New Roman"/>
          <w:position w:val="-1"/>
        </w:rPr>
      </w:pPr>
    </w:p>
    <w:p w14:paraId="72E73768" w14:textId="1247D6D3" w:rsidR="005473E5" w:rsidRPr="0059240B" w:rsidRDefault="005473E5" w:rsidP="00600360">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 </w:t>
      </w:r>
    </w:p>
    <w:p w14:paraId="5DB92394" w14:textId="4C597BF6" w:rsidR="00136CEA" w:rsidRPr="0059240B" w:rsidRDefault="00950125" w:rsidP="00136CEA">
      <w:pPr>
        <w:spacing w:after="220" w:line="240" w:lineRule="auto"/>
        <w:ind w:left="720"/>
        <w:rPr>
          <w:rFonts w:ascii="Times New Roman" w:eastAsia="Times New Roman" w:hAnsi="Times New Roman"/>
        </w:rPr>
      </w:pPr>
      <w:r w:rsidRPr="0059240B">
        <w:rPr>
          <w:rFonts w:ascii="Times New Roman" w:eastAsia="Times New Roman" w:hAnsi="Times New Roman"/>
        </w:rPr>
        <w:lastRenderedPageBreak/>
        <w:t>4.</w:t>
      </w:r>
      <w:r w:rsidR="00136CEA" w:rsidRPr="0059240B">
        <w:rPr>
          <w:rFonts w:ascii="Times New Roman" w:eastAsia="Times New Roman" w:hAnsi="Times New Roman"/>
        </w:rPr>
        <w:tab/>
        <w:t xml:space="preserve">Direct </w:t>
      </w:r>
      <w:r w:rsidR="00E632F1" w:rsidRPr="0059240B">
        <w:rPr>
          <w:rFonts w:ascii="Times New Roman" w:eastAsia="Times New Roman" w:hAnsi="Times New Roman"/>
        </w:rPr>
        <w:t>I</w:t>
      </w:r>
      <w:r w:rsidR="00136CEA" w:rsidRPr="0059240B">
        <w:rPr>
          <w:rFonts w:ascii="Times New Roman" w:eastAsia="Times New Roman" w:hAnsi="Times New Roman"/>
        </w:rPr>
        <w:t>teration</w:t>
      </w:r>
    </w:p>
    <w:p w14:paraId="7D1E9609" w14:textId="3D60E81A" w:rsidR="005D39AC" w:rsidRPr="0059240B" w:rsidRDefault="00136CEA" w:rsidP="005D39AC">
      <w:pPr>
        <w:spacing w:after="120"/>
        <w:ind w:left="720"/>
        <w:rPr>
          <w:rFonts w:ascii="Times New Roman" w:hAnsi="Times New Roman"/>
        </w:rPr>
      </w:pPr>
      <w:r w:rsidRPr="0059240B">
        <w:rPr>
          <w:rFonts w:ascii="Times New Roman" w:eastAsia="Times New Roman" w:hAnsi="Times New Roman"/>
        </w:rPr>
        <w:t xml:space="preserve">In lieu of the method described in </w:t>
      </w:r>
      <w:r w:rsidR="00EA7134" w:rsidRPr="0059240B">
        <w:rPr>
          <w:rFonts w:ascii="Times New Roman" w:eastAsia="Times New Roman" w:hAnsi="Times New Roman"/>
        </w:rPr>
        <w:t>Section</w:t>
      </w:r>
      <w:r w:rsidRPr="0059240B">
        <w:rPr>
          <w:rFonts w:ascii="Times New Roman" w:eastAsia="Times New Roman" w:hAnsi="Times New Roman"/>
        </w:rPr>
        <w:t xml:space="preserve"> </w:t>
      </w:r>
      <w:r w:rsidR="00466EA5" w:rsidRPr="0059240B">
        <w:rPr>
          <w:rFonts w:ascii="Times New Roman" w:eastAsia="Times New Roman" w:hAnsi="Times New Roman"/>
        </w:rPr>
        <w:t>4</w:t>
      </w:r>
      <w:r w:rsidR="00EA7134" w:rsidRPr="0059240B">
        <w:rPr>
          <w:rFonts w:ascii="Times New Roman" w:eastAsia="Times New Roman" w:hAnsi="Times New Roman"/>
        </w:rPr>
        <w:t>.B.</w:t>
      </w:r>
      <w:r w:rsidR="00EC1A67" w:rsidRPr="0059240B">
        <w:rPr>
          <w:rFonts w:ascii="Times New Roman" w:eastAsia="Times New Roman" w:hAnsi="Times New Roman"/>
        </w:rPr>
        <w:t>2</w:t>
      </w:r>
      <w:r w:rsidR="00950125" w:rsidRPr="0059240B">
        <w:rPr>
          <w:rFonts w:ascii="Times New Roman" w:eastAsia="Times New Roman" w:hAnsi="Times New Roman"/>
        </w:rPr>
        <w:t xml:space="preserve"> and</w:t>
      </w:r>
      <w:r w:rsidR="001001B3" w:rsidRPr="0059240B">
        <w:rPr>
          <w:rFonts w:ascii="Times New Roman" w:eastAsia="Times New Roman" w:hAnsi="Times New Roman"/>
        </w:rPr>
        <w:t xml:space="preserve"> Section 4.B.3</w:t>
      </w:r>
      <w:r w:rsidRPr="0059240B">
        <w:rPr>
          <w:rFonts w:ascii="Times New Roman" w:eastAsia="Times New Roman" w:hAnsi="Times New Roman"/>
        </w:rPr>
        <w:t xml:space="preserve"> </w:t>
      </w:r>
      <w:r w:rsidR="00EA7134" w:rsidRPr="0059240B">
        <w:rPr>
          <w:rFonts w:ascii="Times New Roman" w:eastAsia="Times New Roman" w:hAnsi="Times New Roman"/>
        </w:rPr>
        <w:t>a</w:t>
      </w:r>
      <w:r w:rsidRPr="0059240B">
        <w:rPr>
          <w:rFonts w:ascii="Times New Roman" w:eastAsia="Times New Roman" w:hAnsi="Times New Roman"/>
        </w:rPr>
        <w:t>bove, the company may solve for the amount of starting assets which</w:t>
      </w:r>
      <w:r w:rsidR="00F1754C" w:rsidRPr="0059240B">
        <w:rPr>
          <w:rFonts w:ascii="Times New Roman" w:eastAsia="Times New Roman" w:hAnsi="Times New Roman"/>
        </w:rPr>
        <w:t xml:space="preserve">, when projected along with all </w:t>
      </w:r>
      <w:r w:rsidR="000372D6" w:rsidRPr="0059240B">
        <w:rPr>
          <w:rFonts w:ascii="Times New Roman" w:eastAsia="Times New Roman" w:hAnsi="Times New Roman"/>
        </w:rPr>
        <w:t>contract cash flows</w:t>
      </w:r>
      <w:r w:rsidR="00F1754C" w:rsidRPr="0059240B">
        <w:rPr>
          <w:rFonts w:ascii="Times New Roman" w:eastAsia="Times New Roman" w:hAnsi="Times New Roman"/>
        </w:rPr>
        <w:t xml:space="preserve">, result in the </w:t>
      </w:r>
      <w:r w:rsidR="003261C7" w:rsidRPr="0059240B">
        <w:rPr>
          <w:rFonts w:ascii="Times New Roman" w:eastAsia="Times New Roman" w:hAnsi="Times New Roman"/>
        </w:rPr>
        <w:t xml:space="preserve">defeasement </w:t>
      </w:r>
      <w:r w:rsidR="00F1754C" w:rsidRPr="0059240B">
        <w:rPr>
          <w:rFonts w:ascii="Times New Roman" w:eastAsia="Times New Roman" w:hAnsi="Times New Roman"/>
        </w:rPr>
        <w:t xml:space="preserve">of all projected future benefits and expenses </w:t>
      </w:r>
      <w:r w:rsidR="005D39AC" w:rsidRPr="0059240B">
        <w:rPr>
          <w:rFonts w:ascii="Times New Roman" w:eastAsia="Times New Roman" w:hAnsi="Times New Roman"/>
        </w:rPr>
        <w:t>at</w:t>
      </w:r>
      <w:r w:rsidR="00F1754C" w:rsidRPr="0059240B">
        <w:rPr>
          <w:rFonts w:ascii="Times New Roman" w:eastAsia="Times New Roman" w:hAnsi="Times New Roman"/>
        </w:rPr>
        <w:t xml:space="preserve"> the end of the projection horizon</w:t>
      </w:r>
      <w:r w:rsidR="00EC1A67" w:rsidRPr="0059240B">
        <w:rPr>
          <w:rFonts w:ascii="Times New Roman" w:eastAsia="Times New Roman" w:hAnsi="Times New Roman"/>
        </w:rPr>
        <w:t xml:space="preserve"> </w:t>
      </w:r>
      <w:r w:rsidR="005D39AC" w:rsidRPr="0059240B">
        <w:rPr>
          <w:rFonts w:ascii="Times New Roman" w:hAnsi="Times New Roman"/>
        </w:rPr>
        <w:t xml:space="preserve">with no </w:t>
      </w:r>
      <w:r w:rsidR="00FE7358" w:rsidRPr="0059240B">
        <w:rPr>
          <w:rFonts w:ascii="Times New Roman" w:hAnsi="Times New Roman"/>
        </w:rPr>
        <w:t xml:space="preserve">accumulated </w:t>
      </w:r>
      <w:r w:rsidR="005D39AC" w:rsidRPr="0059240B">
        <w:rPr>
          <w:rFonts w:ascii="Times New Roman" w:hAnsi="Times New Roman"/>
        </w:rPr>
        <w:t xml:space="preserve">deficiencies at the end of any projection year during the projection period.  </w:t>
      </w:r>
    </w:p>
    <w:p w14:paraId="38A78582" w14:textId="2F54D6F0" w:rsidR="00E51827" w:rsidRPr="0059240B" w:rsidRDefault="00E51827" w:rsidP="00866D04">
      <w:pPr>
        <w:spacing w:after="220" w:line="240" w:lineRule="auto"/>
        <w:ind w:left="1440"/>
        <w:rPr>
          <w:rFonts w:ascii="Times New Roman" w:eastAsia="Times New Roman" w:hAnsi="Times New Roman"/>
        </w:rPr>
      </w:pPr>
    </w:p>
    <w:p w14:paraId="33E09AA8" w14:textId="0DB9A9F7" w:rsidR="00CC2E32" w:rsidRPr="0059240B" w:rsidRDefault="00CC2E32" w:rsidP="00067EEF">
      <w:pPr>
        <w:spacing w:after="220" w:line="240" w:lineRule="auto"/>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Projection Scenarios</w:t>
      </w:r>
    </w:p>
    <w:p w14:paraId="4A99F0ED" w14:textId="713F3912"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Number of Scenarios</w:t>
      </w:r>
    </w:p>
    <w:p w14:paraId="0EBCA265" w14:textId="602114CB"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The number of scenarios for which </w:t>
      </w:r>
      <w:r w:rsidR="006A737F" w:rsidRPr="0059240B">
        <w:rPr>
          <w:rFonts w:ascii="Times New Roman" w:eastAsia="Times New Roman" w:hAnsi="Times New Roman"/>
        </w:rPr>
        <w:t xml:space="preserve">the scenario reserve </w:t>
      </w:r>
      <w:r w:rsidRPr="0059240B">
        <w:rPr>
          <w:rFonts w:ascii="Times New Roman" w:eastAsia="Times New Roman" w:hAnsi="Times New Roman"/>
        </w:rPr>
        <w:t xml:space="preserve">shall be computed shall be the responsibility of the </w:t>
      </w:r>
      <w:r w:rsidR="00FA5FBF" w:rsidRPr="0059240B">
        <w:rPr>
          <w:rFonts w:ascii="Times New Roman" w:eastAsia="Times New Roman" w:hAnsi="Times New Roman"/>
        </w:rPr>
        <w:t xml:space="preserve">company </w:t>
      </w:r>
      <w:r w:rsidRPr="0059240B">
        <w:rPr>
          <w:rFonts w:ascii="Times New Roman" w:eastAsia="Times New Roman" w:hAnsi="Times New Roman"/>
        </w:rPr>
        <w:t xml:space="preserve">and shall be considered to be sufficient if any resulting understatement in </w:t>
      </w:r>
      <w:r w:rsidR="006A737F" w:rsidRPr="0059240B">
        <w:rPr>
          <w:rFonts w:ascii="Times New Roman" w:eastAsia="Times New Roman" w:hAnsi="Times New Roman"/>
        </w:rPr>
        <w:t xml:space="preserve">the stochastic </w:t>
      </w:r>
      <w:r w:rsidRPr="0059240B">
        <w:rPr>
          <w:rFonts w:ascii="Times New Roman" w:eastAsia="Times New Roman" w:hAnsi="Times New Roman"/>
        </w:rPr>
        <w:t>reserve, as compared with that resulting from running additional scenarios, is not material.</w:t>
      </w:r>
    </w:p>
    <w:p w14:paraId="75AEBE8D" w14:textId="70278BFB"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Economic Scenario Generation</w:t>
      </w:r>
    </w:p>
    <w:p w14:paraId="4BD11A76" w14:textId="3C477A9A"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hAnsi="Times New Roman"/>
        </w:rPr>
        <w:t xml:space="preserve">U.S. </w:t>
      </w:r>
      <w:r w:rsidRPr="0059240B">
        <w:rPr>
          <w:rFonts w:ascii="Times New Roman" w:eastAsia="Times New Roman" w:hAnsi="Times New Roman"/>
        </w:rPr>
        <w:t>Treasury interest rate curves, as well as investment return paths</w:t>
      </w:r>
      <w:r w:rsidRPr="0059240B" w:rsidDel="00F37F09">
        <w:rPr>
          <w:rFonts w:ascii="Times New Roman" w:eastAsia="Times New Roman" w:hAnsi="Times New Roman"/>
        </w:rPr>
        <w:t xml:space="preserve"> </w:t>
      </w:r>
      <w:r w:rsidRPr="0059240B">
        <w:rPr>
          <w:rFonts w:ascii="Times New Roman" w:eastAsia="Times New Roman" w:hAnsi="Times New Roman"/>
        </w:rPr>
        <w:t xml:space="preserve">for general account equity assets and separate account fund performance shall be determined on a stochastic basis using the methodology described in Section </w:t>
      </w:r>
      <w:r w:rsidR="00F1754C" w:rsidRPr="0059240B">
        <w:rPr>
          <w:rFonts w:ascii="Times New Roman" w:eastAsia="Times New Roman" w:hAnsi="Times New Roman"/>
        </w:rPr>
        <w:t>8</w:t>
      </w:r>
      <w:r w:rsidRPr="0059240B">
        <w:rPr>
          <w:rFonts w:ascii="Times New Roman" w:eastAsia="Times New Roman" w:hAnsi="Times New Roman"/>
        </w:rPr>
        <w:t>.  If the company use</w:t>
      </w:r>
      <w:r w:rsidR="006A737F" w:rsidRPr="0059240B">
        <w:rPr>
          <w:rFonts w:ascii="Times New Roman" w:eastAsia="Times New Roman" w:hAnsi="Times New Roman"/>
        </w:rPr>
        <w:t>s</w:t>
      </w:r>
      <w:r w:rsidRPr="0059240B">
        <w:rPr>
          <w:rFonts w:ascii="Times New Roman" w:eastAsia="Times New Roman" w:hAnsi="Times New Roman"/>
        </w:rPr>
        <w:t xml:space="preserve"> a proprietary generator to develop scenarios, the company shall demonstrate that the resulting </w:t>
      </w:r>
      <w:r w:rsidR="001B0344" w:rsidRPr="0059240B">
        <w:rPr>
          <w:rFonts w:ascii="Times New Roman" w:eastAsia="Times New Roman" w:hAnsi="Times New Roman"/>
        </w:rPr>
        <w:t>scenarios</w:t>
      </w:r>
      <w:r w:rsidRPr="0059240B">
        <w:rPr>
          <w:rFonts w:ascii="Times New Roman" w:eastAsia="Times New Roman" w:hAnsi="Times New Roman"/>
        </w:rPr>
        <w:t xml:space="preserve"> meet the requirements </w:t>
      </w:r>
      <w:r w:rsidR="00F1754C" w:rsidRPr="0059240B">
        <w:rPr>
          <w:rFonts w:ascii="Times New Roman" w:eastAsia="Times New Roman" w:hAnsi="Times New Roman"/>
        </w:rPr>
        <w:t>described in Section 8</w:t>
      </w:r>
      <w:r w:rsidRPr="0059240B">
        <w:rPr>
          <w:rFonts w:ascii="Times New Roman" w:eastAsia="Times New Roman" w:hAnsi="Times New Roman"/>
        </w:rPr>
        <w:t>.</w:t>
      </w:r>
    </w:p>
    <w:p w14:paraId="2FF108CB" w14:textId="158E8B7B" w:rsidR="00CC2E32" w:rsidRPr="0059240B" w:rsidRDefault="00CC2E32" w:rsidP="00067EEF">
      <w:pPr>
        <w:spacing w:after="220" w:line="240" w:lineRule="auto"/>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 xml:space="preserve">Projection </w:t>
      </w:r>
      <w:r w:rsidR="00BE0EFB" w:rsidRPr="0059240B">
        <w:rPr>
          <w:rFonts w:ascii="Times New Roman" w:eastAsia="Times New Roman" w:hAnsi="Times New Roman"/>
        </w:rPr>
        <w:t xml:space="preserve">of </w:t>
      </w:r>
      <w:r w:rsidRPr="0059240B">
        <w:rPr>
          <w:rFonts w:ascii="Times New Roman" w:eastAsia="Times New Roman" w:hAnsi="Times New Roman"/>
        </w:rPr>
        <w:t>Assets</w:t>
      </w:r>
    </w:p>
    <w:p w14:paraId="4CEB2B1D"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Starting Asset Amount</w:t>
      </w:r>
    </w:p>
    <w:p w14:paraId="74E1C96E" w14:textId="1D372A6F" w:rsidR="00CC2E32" w:rsidRPr="0059240B" w:rsidRDefault="00BE0EFB"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a. </w:t>
      </w:r>
      <w:r w:rsidRPr="0059240B">
        <w:rPr>
          <w:rFonts w:ascii="Times New Roman" w:eastAsia="Times New Roman" w:hAnsi="Times New Roman"/>
        </w:rPr>
        <w:tab/>
      </w:r>
      <w:r w:rsidR="00CC2E32" w:rsidRPr="0059240B">
        <w:rPr>
          <w:rFonts w:ascii="Times New Roman" w:eastAsia="Times New Roman" w:hAnsi="Times New Roman"/>
        </w:rPr>
        <w:t>For the projections of accumulated deficiencies, the value of assets at the start of the projection shall be set equal to the approximate value of statutory reserves at the start of the projection</w:t>
      </w:r>
      <w:r w:rsidR="00D225D4" w:rsidRPr="0059240B">
        <w:rPr>
          <w:rFonts w:ascii="Times New Roman" w:eastAsia="Times New Roman" w:hAnsi="Times New Roman"/>
        </w:rPr>
        <w:t xml:space="preserve"> plus the allocated amount of PIMR attributable to the assets selected</w:t>
      </w:r>
      <w:r w:rsidR="00CC2E32" w:rsidRPr="0059240B">
        <w:rPr>
          <w:rFonts w:ascii="Times New Roman" w:eastAsia="Times New Roman" w:hAnsi="Times New Roman"/>
        </w:rPr>
        <w:t>. Assets shall be valued consistently with their annual statement values. The amount of such asset values shall equal the sum of the following items, all as of the start of the projection:</w:t>
      </w:r>
    </w:p>
    <w:p w14:paraId="674E74AB" w14:textId="6863988C" w:rsidR="005A72E6" w:rsidRPr="0059240B" w:rsidRDefault="005A72E6" w:rsidP="00067EEF">
      <w:pPr>
        <w:pStyle w:val="ListParagraph"/>
        <w:numPr>
          <w:ilvl w:val="0"/>
          <w:numId w:val="34"/>
        </w:numPr>
        <w:spacing w:after="220" w:line="240" w:lineRule="auto"/>
        <w:rPr>
          <w:rFonts w:ascii="Times New Roman" w:eastAsia="Times New Roman" w:hAnsi="Times New Roman"/>
        </w:rPr>
      </w:pPr>
      <w:r w:rsidRPr="0059240B">
        <w:rPr>
          <w:rFonts w:ascii="Times New Roman" w:eastAsia="Times New Roman" w:hAnsi="Times New Roman"/>
        </w:rPr>
        <w:t>All of the separate account assets supporting the contracts;</w:t>
      </w:r>
    </w:p>
    <w:p w14:paraId="3C4C3408" w14:textId="335EA6DB" w:rsidR="005A72E6" w:rsidRPr="0059240B" w:rsidRDefault="005A72E6" w:rsidP="00E87EFC">
      <w:pPr>
        <w:pStyle w:val="ListParagraph"/>
        <w:numPr>
          <w:ilvl w:val="0"/>
          <w:numId w:val="34"/>
        </w:numPr>
        <w:spacing w:after="220" w:line="240" w:lineRule="auto"/>
        <w:rPr>
          <w:rFonts w:ascii="Times New Roman" w:eastAsia="Times New Roman" w:hAnsi="Times New Roman"/>
        </w:rPr>
      </w:pPr>
      <w:r w:rsidRPr="0059240B">
        <w:rPr>
          <w:rFonts w:ascii="Times New Roman" w:eastAsia="Times New Roman" w:hAnsi="Times New Roman"/>
        </w:rPr>
        <w:t xml:space="preserve">Any hedge </w:t>
      </w:r>
      <w:r w:rsidR="00FE7358" w:rsidRPr="0059240B">
        <w:rPr>
          <w:rFonts w:ascii="Times New Roman" w:eastAsia="Times New Roman" w:hAnsi="Times New Roman"/>
        </w:rPr>
        <w:t xml:space="preserve">instruments </w:t>
      </w:r>
      <w:r w:rsidRPr="0059240B">
        <w:rPr>
          <w:rFonts w:ascii="Times New Roman" w:eastAsia="Times New Roman" w:hAnsi="Times New Roman"/>
        </w:rPr>
        <w:t>held in support of the contracts being valued; and</w:t>
      </w:r>
    </w:p>
    <w:p w14:paraId="2A8482BB" w14:textId="5133ECCF" w:rsidR="005A72E6" w:rsidRPr="0059240B" w:rsidRDefault="005A72E6" w:rsidP="00067EEF">
      <w:pPr>
        <w:pStyle w:val="ListParagraph"/>
        <w:numPr>
          <w:ilvl w:val="0"/>
          <w:numId w:val="34"/>
        </w:numPr>
        <w:spacing w:after="220" w:line="240" w:lineRule="auto"/>
        <w:rPr>
          <w:rFonts w:ascii="Times New Roman" w:eastAsia="Times New Roman" w:hAnsi="Times New Roman"/>
        </w:rPr>
      </w:pPr>
      <w:r w:rsidRPr="0059240B">
        <w:rPr>
          <w:rFonts w:ascii="Times New Roman" w:eastAsia="Times New Roman" w:hAnsi="Times New Roman"/>
        </w:rPr>
        <w:t>An amount of assets held in the general account equal to the approximate value of statutory reserves as of the start of the projections less the amount in (i) and (ii).</w:t>
      </w:r>
    </w:p>
    <w:p w14:paraId="0085A8D8" w14:textId="5010A574" w:rsidR="008F5D9F" w:rsidRPr="0059240B" w:rsidRDefault="008F5D9F" w:rsidP="008F5D9F">
      <w:pPr>
        <w:pBdr>
          <w:top w:val="single" w:sz="4" w:space="1" w:color="auto"/>
          <w:left w:val="single" w:sz="4" w:space="4" w:color="auto"/>
          <w:bottom w:val="single" w:sz="4" w:space="1" w:color="auto"/>
          <w:right w:val="single" w:sz="4" w:space="4" w:color="auto"/>
        </w:pBdr>
        <w:spacing w:after="220" w:line="240" w:lineRule="auto"/>
        <w:ind w:left="2160" w:hanging="720"/>
        <w:rPr>
          <w:rFonts w:ascii="Times New Roman" w:eastAsia="Times New Roman" w:hAnsi="Times New Roman"/>
        </w:rPr>
      </w:pPr>
      <w:r w:rsidRPr="0059240B">
        <w:rPr>
          <w:rFonts w:ascii="Times New Roman" w:hAnsi="Times New Roman"/>
          <w:b/>
        </w:rPr>
        <w:t>Guidance Note</w:t>
      </w:r>
      <w:r w:rsidRPr="0059240B">
        <w:rPr>
          <w:rFonts w:ascii="Times New Roman" w:hAnsi="Times New Roman"/>
        </w:rPr>
        <w:t>: Deferred hedge gains/losses developed under SSAP108 are not included in the starting assets</w:t>
      </w:r>
    </w:p>
    <w:p w14:paraId="402DF8D7" w14:textId="34062887" w:rsidR="00CC2E32" w:rsidRPr="0059240B" w:rsidRDefault="00CC2E32" w:rsidP="00600360">
      <w:pPr>
        <w:spacing w:after="220" w:line="240" w:lineRule="auto"/>
        <w:ind w:left="2160" w:hanging="720"/>
        <w:rPr>
          <w:rFonts w:ascii="Times New Roman" w:eastAsia="Times New Roman" w:hAnsi="Times New Roman"/>
        </w:rPr>
      </w:pPr>
    </w:p>
    <w:p w14:paraId="3EB01CFB" w14:textId="1BD8D828" w:rsidR="00CC2E32" w:rsidRPr="0059240B" w:rsidRDefault="007E286A" w:rsidP="00067EEF">
      <w:pPr>
        <w:pStyle w:val="ListParagraph"/>
        <w:numPr>
          <w:ilvl w:val="0"/>
          <w:numId w:val="35"/>
        </w:numPr>
        <w:spacing w:after="220" w:line="240" w:lineRule="auto"/>
        <w:ind w:left="2160" w:hanging="720"/>
        <w:rPr>
          <w:rFonts w:ascii="Times New Roman" w:eastAsia="Times New Roman" w:hAnsi="Times New Roman"/>
        </w:rPr>
      </w:pPr>
      <w:r w:rsidRPr="0059240B">
        <w:rPr>
          <w:rFonts w:ascii="Times New Roman" w:eastAsia="Times New Roman" w:hAnsi="Times New Roman"/>
        </w:rPr>
        <w:t>If</w:t>
      </w:r>
      <w:r w:rsidR="00CC2E32" w:rsidRPr="0059240B">
        <w:rPr>
          <w:rFonts w:ascii="Times New Roman" w:eastAsia="Times New Roman" w:hAnsi="Times New Roman"/>
        </w:rPr>
        <w:t xml:space="preserve"> the </w:t>
      </w:r>
      <w:r w:rsidR="00EC1A67" w:rsidRPr="0059240B">
        <w:rPr>
          <w:rFonts w:ascii="Times New Roman" w:eastAsia="Times New Roman" w:hAnsi="Times New Roman"/>
        </w:rPr>
        <w:t xml:space="preserve">amount of </w:t>
      </w:r>
      <w:r w:rsidR="00CC2E32" w:rsidRPr="0059240B">
        <w:rPr>
          <w:rFonts w:ascii="Times New Roman" w:eastAsia="Times New Roman" w:hAnsi="Times New Roman"/>
        </w:rPr>
        <w:t xml:space="preserve">initial general account assets </w:t>
      </w:r>
      <w:r w:rsidR="00E51827" w:rsidRPr="0059240B">
        <w:rPr>
          <w:rFonts w:ascii="Times New Roman" w:eastAsia="Times New Roman" w:hAnsi="Times New Roman"/>
        </w:rPr>
        <w:t>is</w:t>
      </w:r>
      <w:r w:rsidR="00CC2E32" w:rsidRPr="0059240B">
        <w:rPr>
          <w:rFonts w:ascii="Times New Roman" w:eastAsia="Times New Roman" w:hAnsi="Times New Roman"/>
        </w:rPr>
        <w:t xml:space="preserve"> negative, </w:t>
      </w:r>
      <w:r w:rsidRPr="0059240B">
        <w:rPr>
          <w:rFonts w:ascii="Times New Roman" w:eastAsia="Times New Roman" w:hAnsi="Times New Roman"/>
        </w:rPr>
        <w:t>th</w:t>
      </w:r>
      <w:r w:rsidR="00E51827" w:rsidRPr="0059240B">
        <w:rPr>
          <w:rFonts w:ascii="Times New Roman" w:eastAsia="Times New Roman" w:hAnsi="Times New Roman"/>
        </w:rPr>
        <w:t xml:space="preserve">e model should reflect </w:t>
      </w:r>
      <w:r w:rsidR="00CC2E32" w:rsidRPr="0059240B">
        <w:rPr>
          <w:rFonts w:ascii="Times New Roman" w:eastAsia="Times New Roman" w:hAnsi="Times New Roman"/>
        </w:rPr>
        <w:t>a projected interest expense. General account assets chosen for use as described above shall be selected on a consistent basis from one reserve valuation hereunder to the next.</w:t>
      </w:r>
    </w:p>
    <w:p w14:paraId="3DA30B14" w14:textId="68E92968" w:rsidR="00256E9D" w:rsidRPr="0059240B" w:rsidRDefault="00256E9D" w:rsidP="00256E9D">
      <w:pPr>
        <w:pStyle w:val="ListParagraph"/>
        <w:spacing w:after="220" w:line="240" w:lineRule="auto"/>
        <w:ind w:left="2160"/>
        <w:rPr>
          <w:rFonts w:ascii="Times New Roman" w:eastAsia="Times New Roman" w:hAnsi="Times New Roman"/>
        </w:rPr>
      </w:pPr>
    </w:p>
    <w:p w14:paraId="62CFE628" w14:textId="5CBAA39B" w:rsidR="00CC2E32" w:rsidRPr="0059240B" w:rsidRDefault="00CC2E32" w:rsidP="00067EEF">
      <w:pPr>
        <w:pStyle w:val="ListParagraph"/>
        <w:numPr>
          <w:ilvl w:val="0"/>
          <w:numId w:val="35"/>
        </w:numPr>
        <w:spacing w:after="220" w:line="240" w:lineRule="auto"/>
        <w:ind w:left="2160" w:hanging="720"/>
        <w:rPr>
          <w:rFonts w:ascii="Times New Roman" w:eastAsia="Times New Roman" w:hAnsi="Times New Roman"/>
        </w:rPr>
      </w:pPr>
      <w:r w:rsidRPr="0059240B">
        <w:rPr>
          <w:rFonts w:ascii="Times New Roman" w:eastAsia="Times New Roman" w:hAnsi="Times New Roman"/>
        </w:rPr>
        <w:t xml:space="preserve">To the extent the sum of the value of hedge assets, or cash or other general account assets in an amount equal to the aggregate market value of such hedge assets, and the value of separate account assets supporting the contracts is greater than the approximate value of statutory reserves as of the start of the projections, then the </w:t>
      </w:r>
      <w:r w:rsidR="00FA5FBF" w:rsidRPr="0059240B">
        <w:rPr>
          <w:rFonts w:ascii="Times New Roman" w:eastAsia="Times New Roman" w:hAnsi="Times New Roman"/>
        </w:rPr>
        <w:t>company</w:t>
      </w:r>
      <w:r w:rsidRPr="0059240B">
        <w:rPr>
          <w:rFonts w:ascii="Times New Roman" w:eastAsia="Times New Roman" w:hAnsi="Times New Roman"/>
        </w:rPr>
        <w:t xml:space="preserve"> shall include </w:t>
      </w:r>
      <w:r w:rsidRPr="0059240B">
        <w:rPr>
          <w:rFonts w:ascii="Times New Roman" w:eastAsia="Times New Roman" w:hAnsi="Times New Roman"/>
        </w:rPr>
        <w:lastRenderedPageBreak/>
        <w:t>enough negative general account assets or cash such that the starting asset amount equals the approximate value of statutory reserves as of the start of the projections.</w:t>
      </w:r>
    </w:p>
    <w:p w14:paraId="5CBD708F" w14:textId="76AD7EA2" w:rsidR="00CC2E32" w:rsidRPr="0059240B" w:rsidRDefault="00CC2E32" w:rsidP="00E87EFC">
      <w:pPr>
        <w:pStyle w:val="ListParagraph"/>
        <w:numPr>
          <w:ilvl w:val="0"/>
          <w:numId w:val="35"/>
        </w:numPr>
        <w:spacing w:after="220" w:line="240" w:lineRule="auto"/>
        <w:ind w:left="2250" w:hanging="810"/>
        <w:rPr>
          <w:rFonts w:ascii="Times New Roman" w:eastAsia="Times New Roman" w:hAnsi="Times New Roman"/>
        </w:rPr>
      </w:pPr>
      <w:r w:rsidRPr="0059240B">
        <w:rPr>
          <w:rFonts w:ascii="Times New Roman" w:eastAsia="Times New Roman" w:hAnsi="Times New Roman"/>
        </w:rPr>
        <w:t>For an asset portfolio that supports</w:t>
      </w:r>
      <w:r w:rsidR="00256E9D" w:rsidRPr="0059240B">
        <w:rPr>
          <w:rFonts w:ascii="Times New Roman" w:eastAsia="Times New Roman" w:hAnsi="Times New Roman"/>
        </w:rPr>
        <w:t xml:space="preserve"> both</w:t>
      </w:r>
      <w:r w:rsidRPr="0059240B">
        <w:rPr>
          <w:rFonts w:ascii="Times New Roman" w:eastAsia="Times New Roman" w:hAnsi="Times New Roman"/>
        </w:rPr>
        <w:t xml:space="preserve"> </w:t>
      </w:r>
      <w:r w:rsidR="00F71D15" w:rsidRPr="0059240B">
        <w:rPr>
          <w:rFonts w:ascii="Times New Roman" w:eastAsia="Times New Roman" w:hAnsi="Times New Roman"/>
        </w:rPr>
        <w:t xml:space="preserve">policies and </w:t>
      </w:r>
      <w:r w:rsidR="009D310F" w:rsidRPr="0059240B">
        <w:rPr>
          <w:rFonts w:ascii="Times New Roman" w:eastAsia="Times New Roman" w:hAnsi="Times New Roman"/>
        </w:rPr>
        <w:t>contracts</w:t>
      </w:r>
      <w:r w:rsidRPr="0059240B">
        <w:rPr>
          <w:rFonts w:ascii="Times New Roman" w:eastAsia="Times New Roman" w:hAnsi="Times New Roman"/>
        </w:rPr>
        <w:t xml:space="preserve"> that are</w:t>
      </w:r>
      <w:r w:rsidR="00330606" w:rsidRPr="0059240B">
        <w:rPr>
          <w:rFonts w:ascii="Times New Roman" w:eastAsia="Times New Roman" w:hAnsi="Times New Roman"/>
        </w:rPr>
        <w:t xml:space="preserve"> </w:t>
      </w:r>
      <w:r w:rsidRPr="0059240B">
        <w:rPr>
          <w:rFonts w:ascii="Times New Roman" w:eastAsia="Times New Roman" w:hAnsi="Times New Roman"/>
        </w:rPr>
        <w:t xml:space="preserve">subject and not subject to these requirements, the </w:t>
      </w:r>
      <w:r w:rsidR="00543F27" w:rsidRPr="0059240B">
        <w:rPr>
          <w:rFonts w:ascii="Times New Roman" w:eastAsia="Times New Roman" w:hAnsi="Times New Roman"/>
        </w:rPr>
        <w:t xml:space="preserve">company </w:t>
      </w:r>
      <w:r w:rsidRPr="0059240B">
        <w:rPr>
          <w:rFonts w:ascii="Times New Roman" w:eastAsia="Times New Roman" w:hAnsi="Times New Roman"/>
        </w:rPr>
        <w:t xml:space="preserve">shall determine an equitable method to apportion the total amount of starting assets between </w:t>
      </w:r>
      <w:r w:rsidR="00256E9D" w:rsidRPr="0059240B">
        <w:rPr>
          <w:rFonts w:ascii="Times New Roman" w:eastAsia="Times New Roman" w:hAnsi="Times New Roman"/>
        </w:rPr>
        <w:t>the subject and non-subject policies and contracts</w:t>
      </w:r>
      <w:r w:rsidR="00330606" w:rsidRPr="0059240B">
        <w:rPr>
          <w:rFonts w:ascii="Times New Roman" w:eastAsia="Times New Roman" w:hAnsi="Times New Roman"/>
        </w:rPr>
        <w:t xml:space="preserve">.  </w:t>
      </w:r>
    </w:p>
    <w:p w14:paraId="6A940A98"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Valuation of Projected Assets</w:t>
      </w:r>
    </w:p>
    <w:p w14:paraId="4C675198" w14:textId="3290E4B7" w:rsidR="00CC2E32" w:rsidRPr="0059240B" w:rsidRDefault="00CC2E32" w:rsidP="00CC2E32">
      <w:pPr>
        <w:widowControl w:val="0"/>
        <w:spacing w:after="220" w:line="240" w:lineRule="auto"/>
        <w:ind w:left="1440"/>
        <w:rPr>
          <w:rFonts w:ascii="Times New Roman" w:eastAsia="Times New Roman" w:hAnsi="Times New Roman"/>
        </w:rPr>
      </w:pPr>
      <w:r w:rsidRPr="0059240B">
        <w:rPr>
          <w:rFonts w:ascii="Times New Roman" w:eastAsia="Times New Roman" w:hAnsi="Times New Roman"/>
        </w:rPr>
        <w:t xml:space="preserve">For purposes of determining the projected accumulated deficiencies, the value of projected assets shall be determined in a manner consistent with their value at the start of the projection. However, for derivative instruments that are used in hedging and that are not assumed to be sold during a particular projection interval, the </w:t>
      </w:r>
      <w:r w:rsidR="00FA5FBF" w:rsidRPr="0059240B">
        <w:rPr>
          <w:rFonts w:ascii="Times New Roman" w:eastAsia="Times New Roman" w:hAnsi="Times New Roman"/>
        </w:rPr>
        <w:t>company</w:t>
      </w:r>
      <w:r w:rsidRPr="0059240B">
        <w:rPr>
          <w:rFonts w:ascii="Times New Roman" w:eastAsia="Times New Roman" w:hAnsi="Times New Roman"/>
        </w:rPr>
        <w:t xml:space="preserve"> may account for them at amortized cost in </w:t>
      </w:r>
      <w:r w:rsidR="00256E9D" w:rsidRPr="0059240B">
        <w:rPr>
          <w:rFonts w:ascii="Times New Roman" w:eastAsia="Times New Roman" w:hAnsi="Times New Roman"/>
        </w:rPr>
        <w:t>an appropriate manner elected</w:t>
      </w:r>
      <w:r w:rsidRPr="0059240B">
        <w:rPr>
          <w:rFonts w:ascii="Times New Roman" w:eastAsia="Times New Roman" w:hAnsi="Times New Roman"/>
        </w:rPr>
        <w:t xml:space="preserve"> by the </w:t>
      </w:r>
      <w:r w:rsidR="00FA5FBF" w:rsidRPr="0059240B">
        <w:rPr>
          <w:rFonts w:ascii="Times New Roman" w:eastAsia="Times New Roman" w:hAnsi="Times New Roman"/>
        </w:rPr>
        <w:t>company</w:t>
      </w:r>
      <w:r w:rsidRPr="0059240B">
        <w:rPr>
          <w:rFonts w:ascii="Times New Roman" w:eastAsia="Times New Roman" w:hAnsi="Times New Roman"/>
        </w:rPr>
        <w:t>.</w:t>
      </w:r>
    </w:p>
    <w:p w14:paraId="32B20F08" w14:textId="77777777" w:rsidR="00CC2E32" w:rsidRPr="0059240B" w:rsidRDefault="00CC2E32" w:rsidP="00067EEF">
      <w:pPr>
        <w:widowControl w:val="0"/>
        <w:spacing w:after="220" w:line="240" w:lineRule="auto"/>
        <w:ind w:left="1440"/>
        <w:rPr>
          <w:rFonts w:ascii="Times New Roman" w:eastAsia="Times New Roman" w:hAnsi="Times New Roman"/>
        </w:rPr>
      </w:pPr>
      <w:r w:rsidRPr="0059240B">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Separate Account Assets</w:t>
      </w:r>
    </w:p>
    <w:p w14:paraId="79C70A3A" w14:textId="5F8B0008"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For purposes of determining the starting asset amounts in Section </w:t>
      </w:r>
      <w:r w:rsidR="00DB59A3" w:rsidRPr="0059240B">
        <w:rPr>
          <w:rFonts w:ascii="Times New Roman" w:eastAsia="Times New Roman" w:hAnsi="Times New Roman"/>
        </w:rPr>
        <w:t>4</w:t>
      </w:r>
      <w:r w:rsidRPr="0059240B">
        <w:rPr>
          <w:rFonts w:ascii="Times New Roman" w:eastAsia="Times New Roman" w:hAnsi="Times New Roman"/>
        </w:rPr>
        <w:t xml:space="preserve">.D.1 and the valuation of projected assets in Section </w:t>
      </w:r>
      <w:r w:rsidR="00DB59A3" w:rsidRPr="0059240B">
        <w:rPr>
          <w:rFonts w:ascii="Times New Roman" w:eastAsia="Times New Roman" w:hAnsi="Times New Roman"/>
        </w:rPr>
        <w:t>4</w:t>
      </w:r>
      <w:r w:rsidRPr="0059240B">
        <w:rPr>
          <w:rFonts w:ascii="Times New Roman" w:eastAsia="Times New Roman" w:hAnsi="Times New Roman"/>
        </w:rPr>
        <w:t xml:space="preserve">.D.2, assets held in a separate account shall be summarized into asset categories determined by the </w:t>
      </w:r>
      <w:r w:rsidR="00FA5FBF" w:rsidRPr="0059240B">
        <w:rPr>
          <w:rFonts w:ascii="Times New Roman" w:eastAsia="Times New Roman" w:hAnsi="Times New Roman"/>
        </w:rPr>
        <w:t xml:space="preserve">company </w:t>
      </w:r>
      <w:r w:rsidRPr="0059240B">
        <w:rPr>
          <w:rFonts w:ascii="Times New Roman" w:eastAsia="Times New Roman" w:hAnsi="Times New Roman"/>
        </w:rPr>
        <w:t xml:space="preserve">as discussed in Section </w:t>
      </w:r>
      <w:r w:rsidR="00DB59A3" w:rsidRPr="0059240B">
        <w:rPr>
          <w:rFonts w:ascii="Times New Roman" w:eastAsia="Times New Roman" w:hAnsi="Times New Roman"/>
        </w:rPr>
        <w:t>4</w:t>
      </w:r>
      <w:r w:rsidRPr="0059240B">
        <w:rPr>
          <w:rFonts w:ascii="Times New Roman" w:eastAsia="Times New Roman" w:hAnsi="Times New Roman"/>
        </w:rPr>
        <w:t>.A.2.</w:t>
      </w:r>
    </w:p>
    <w:p w14:paraId="63E04CAD"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General Account Assets</w:t>
      </w:r>
    </w:p>
    <w:p w14:paraId="2EEA818F" w14:textId="2C873B03" w:rsidR="00CC2E32" w:rsidRPr="0059240B" w:rsidRDefault="00A36744" w:rsidP="00196FEA">
      <w:pPr>
        <w:spacing w:after="220" w:line="240" w:lineRule="auto"/>
        <w:ind w:left="2160" w:hanging="36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r>
      <w:r w:rsidR="00CC2E32" w:rsidRPr="0059240B">
        <w:rPr>
          <w:rFonts w:ascii="Times New Roman" w:eastAsia="Times New Roman" w:hAnsi="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w:t>
      </w:r>
      <w:r w:rsidR="008F5D9F" w:rsidRPr="0059240B">
        <w:rPr>
          <w:rFonts w:ascii="Times New Roman" w:eastAsia="Times New Roman" w:hAnsi="Times New Roman"/>
        </w:rPr>
        <w:t xml:space="preserve"> </w:t>
      </w:r>
      <w:r w:rsidR="00CC2E32" w:rsidRPr="0059240B">
        <w:rPr>
          <w:rFonts w:ascii="Times New Roman" w:eastAsia="Times New Roman" w:hAnsi="Times New Roman"/>
        </w:rPr>
        <w:t>projected for future periods shall be invested in a manner that is representative of and consistent with the company’s investment policy, subject to the following requirements:</w:t>
      </w:r>
    </w:p>
    <w:p w14:paraId="4F073B46" w14:textId="0AC28D8C" w:rsidR="00CC2E32" w:rsidRPr="0059240B" w:rsidRDefault="00CC2E32" w:rsidP="00B4207B">
      <w:pPr>
        <w:spacing w:after="220" w:line="240" w:lineRule="auto"/>
        <w:rPr>
          <w:rFonts w:ascii="Times New Roman" w:eastAsia="Times New Roman" w:hAnsi="Times New Roman"/>
        </w:rPr>
      </w:pPr>
    </w:p>
    <w:p w14:paraId="6379B987" w14:textId="2BCC8AEA" w:rsidR="00CC2E32" w:rsidRPr="0059240B" w:rsidRDefault="00A36744" w:rsidP="00196FEA">
      <w:pPr>
        <w:spacing w:after="220" w:line="240" w:lineRule="auto"/>
        <w:ind w:left="2520" w:hanging="360"/>
        <w:rPr>
          <w:rFonts w:ascii="Times New Roman" w:eastAsia="Times New Roman" w:hAnsi="Times New Roman"/>
        </w:rPr>
      </w:pPr>
      <w:r w:rsidRPr="0059240B">
        <w:rPr>
          <w:rFonts w:ascii="Times New Roman" w:eastAsia="Times New Roman" w:hAnsi="Times New Roman"/>
        </w:rPr>
        <w:t>i</w:t>
      </w:r>
      <w:r w:rsidR="00CC2E32" w:rsidRPr="0059240B">
        <w:rPr>
          <w:rFonts w:ascii="Times New Roman" w:eastAsia="Times New Roman" w:hAnsi="Times New Roman"/>
        </w:rPr>
        <w:t>.</w:t>
      </w:r>
      <w:r w:rsidR="00CC2E32" w:rsidRPr="0059240B">
        <w:rPr>
          <w:rFonts w:ascii="Times New Roman" w:eastAsia="Times New Roman" w:hAnsi="Times New Roman"/>
        </w:rPr>
        <w:tab/>
        <w:t xml:space="preserve">The final maturities and cash flow structures of assets purchased in the model, such as the patterns of gross investment income and principal repayments or a fixed or floating rate interest basis, shall be determined by the </w:t>
      </w:r>
      <w:r w:rsidR="004A11AA" w:rsidRPr="0059240B">
        <w:rPr>
          <w:rFonts w:ascii="Times New Roman" w:eastAsia="Times New Roman" w:hAnsi="Times New Roman"/>
        </w:rPr>
        <w:t>company</w:t>
      </w:r>
      <w:r w:rsidR="00CC2E32" w:rsidRPr="0059240B">
        <w:rPr>
          <w:rFonts w:ascii="Times New Roman" w:eastAsia="Times New Roman" w:hAnsi="Times New Roman"/>
        </w:rPr>
        <w:t xml:space="preserve"> as part of the model representation;</w:t>
      </w:r>
    </w:p>
    <w:p w14:paraId="4FCF6CB9" w14:textId="60F9ECA0" w:rsidR="00CC2E32" w:rsidRPr="0059240B" w:rsidRDefault="00A36744" w:rsidP="00196FEA">
      <w:pPr>
        <w:spacing w:after="220" w:line="240" w:lineRule="auto"/>
        <w:ind w:left="2520" w:hanging="360"/>
        <w:rPr>
          <w:rFonts w:ascii="Times New Roman" w:eastAsia="Times New Roman" w:hAnsi="Times New Roman"/>
        </w:rPr>
      </w:pPr>
      <w:r w:rsidRPr="0059240B">
        <w:rPr>
          <w:rFonts w:ascii="Times New Roman" w:eastAsia="Times New Roman" w:hAnsi="Times New Roman"/>
        </w:rPr>
        <w:t>ii</w:t>
      </w:r>
      <w:r w:rsidR="00CC2E32" w:rsidRPr="0059240B">
        <w:rPr>
          <w:rFonts w:ascii="Times New Roman" w:eastAsia="Times New Roman" w:hAnsi="Times New Roman"/>
        </w:rPr>
        <w:t>.</w:t>
      </w:r>
      <w:r w:rsidR="00CC2E32" w:rsidRPr="0059240B">
        <w:rPr>
          <w:rFonts w:ascii="Times New Roman" w:eastAsia="Times New Roman" w:hAnsi="Times New Roman"/>
        </w:rPr>
        <w:tab/>
        <w:t>The combination of price and structure for fixed income investments and derivative instruments associated with fixed income investments shall appropriately reflect the projected U.S. Treasury curve along the relevant scenario and the requirements for gross asset spread assumptions stated below;</w:t>
      </w:r>
    </w:p>
    <w:p w14:paraId="638AD8A3" w14:textId="33EFDB2C" w:rsidR="00CC2E32" w:rsidRPr="0059240B" w:rsidRDefault="00A36744" w:rsidP="00196FEA">
      <w:pPr>
        <w:spacing w:after="220" w:line="240" w:lineRule="auto"/>
        <w:ind w:left="2520" w:hanging="360"/>
        <w:rPr>
          <w:rFonts w:ascii="Times New Roman" w:eastAsia="Times New Roman" w:hAnsi="Times New Roman"/>
        </w:rPr>
      </w:pPr>
      <w:r w:rsidRPr="0059240B">
        <w:rPr>
          <w:rFonts w:ascii="Times New Roman" w:hAnsi="Times New Roman"/>
        </w:rPr>
        <w:t>iii</w:t>
      </w:r>
      <w:r w:rsidR="00CC2E32" w:rsidRPr="0059240B">
        <w:rPr>
          <w:rFonts w:ascii="Times New Roman" w:hAnsi="Times New Roman"/>
        </w:rPr>
        <w:t>.</w:t>
      </w:r>
      <w:r w:rsidR="00CC2E32" w:rsidRPr="0059240B">
        <w:rPr>
          <w:rFonts w:ascii="Times New Roman" w:hAnsi="Times New Roman"/>
        </w:rPr>
        <w:tab/>
      </w:r>
      <w:r w:rsidR="00CC2E32" w:rsidRPr="0059240B">
        <w:rPr>
          <w:rFonts w:ascii="Times New Roman" w:eastAsia="Times New Roman" w:hAnsi="Times New Roman"/>
        </w:rPr>
        <w:t xml:space="preserve">For purchases of public non-callable corporate bonds, </w:t>
      </w:r>
      <w:r w:rsidR="00982937" w:rsidRPr="0059240B">
        <w:rPr>
          <w:rFonts w:ascii="Times New Roman" w:eastAsia="Times New Roman" w:hAnsi="Times New Roman"/>
        </w:rPr>
        <w:t>f</w:t>
      </w:r>
      <w:r w:rsidR="00455EA5" w:rsidRPr="0059240B">
        <w:rPr>
          <w:rFonts w:ascii="Times New Roman" w:eastAsia="Times New Roman" w:hAnsi="Times New Roman"/>
        </w:rPr>
        <w:t xml:space="preserve">ollow the requirements defined in VM-20 Sections 7.E, 7.F, and 9.F.  </w:t>
      </w:r>
      <w:r w:rsidR="00CC2E32" w:rsidRPr="0059240B">
        <w:rPr>
          <w:rFonts w:ascii="Times New Roman" w:eastAsia="Times New Roman" w:hAnsi="Times New Roman"/>
        </w:rPr>
        <w:t xml:space="preserve">The prescribed spreads reflect current market conditions as of the model start date and grade to long-term conditions based on historical data at </w:t>
      </w:r>
      <w:r w:rsidR="00D225D4" w:rsidRPr="0059240B">
        <w:rPr>
          <w:rFonts w:ascii="Times New Roman" w:eastAsia="Times New Roman" w:hAnsi="Times New Roman"/>
        </w:rPr>
        <w:t>the</w:t>
      </w:r>
      <w:r w:rsidR="00CC2E32" w:rsidRPr="0059240B">
        <w:rPr>
          <w:rFonts w:ascii="Times New Roman" w:eastAsia="Times New Roman" w:hAnsi="Times New Roman"/>
        </w:rPr>
        <w:t xml:space="preserve"> start of projection year four;</w:t>
      </w:r>
    </w:p>
    <w:p w14:paraId="60A5C07A" w14:textId="3CB2C5EF" w:rsidR="00CC2E32" w:rsidRPr="0059240B" w:rsidRDefault="00A36744" w:rsidP="00196FEA">
      <w:pPr>
        <w:spacing w:after="220" w:line="240" w:lineRule="auto"/>
        <w:ind w:left="2520" w:hanging="360"/>
        <w:rPr>
          <w:rFonts w:ascii="Times New Roman" w:eastAsia="Times New Roman" w:hAnsi="Times New Roman"/>
        </w:rPr>
      </w:pPr>
      <w:r w:rsidRPr="0059240B">
        <w:rPr>
          <w:rFonts w:ascii="Times New Roman" w:eastAsia="Times New Roman" w:hAnsi="Times New Roman"/>
        </w:rPr>
        <w:t>iv</w:t>
      </w:r>
      <w:r w:rsidR="00CC2E32" w:rsidRPr="0059240B">
        <w:rPr>
          <w:rFonts w:ascii="Times New Roman" w:eastAsia="Times New Roman" w:hAnsi="Times New Roman"/>
        </w:rPr>
        <w:t>.</w:t>
      </w:r>
      <w:r w:rsidR="00CC2E32" w:rsidRPr="0059240B">
        <w:rPr>
          <w:rFonts w:ascii="Times New Roman" w:eastAsia="Times New Roman" w:hAnsi="Times New Roman"/>
        </w:rPr>
        <w:tab/>
        <w:t xml:space="preserve">For transactions of derivative instruments associated with fixed income investments, reflect the prescribed assumptions in </w:t>
      </w:r>
      <w:r w:rsidR="00810D62" w:rsidRPr="0059240B">
        <w:rPr>
          <w:rFonts w:ascii="Times New Roman" w:eastAsia="Times New Roman" w:hAnsi="Times New Roman"/>
        </w:rPr>
        <w:t>VM-20 Section 9.F</w:t>
      </w:r>
      <w:r w:rsidR="00CC2E32" w:rsidRPr="0059240B">
        <w:rPr>
          <w:rFonts w:ascii="Times New Roman" w:eastAsia="Times New Roman" w:hAnsi="Times New Roman"/>
        </w:rPr>
        <w:t xml:space="preserve"> for interest rate swap spreads;</w:t>
      </w:r>
    </w:p>
    <w:p w14:paraId="51D5EB4D" w14:textId="316034D9" w:rsidR="00CC2E32" w:rsidRPr="0059240B" w:rsidRDefault="00A36744" w:rsidP="00196FEA">
      <w:pPr>
        <w:spacing w:after="220" w:line="240" w:lineRule="auto"/>
        <w:ind w:left="2520" w:hanging="360"/>
        <w:rPr>
          <w:rFonts w:ascii="Times New Roman" w:eastAsia="Times New Roman" w:hAnsi="Times New Roman"/>
        </w:rPr>
      </w:pPr>
      <w:r w:rsidRPr="0059240B">
        <w:rPr>
          <w:rFonts w:ascii="Times New Roman" w:eastAsia="Times New Roman" w:hAnsi="Times New Roman"/>
        </w:rPr>
        <w:lastRenderedPageBreak/>
        <w:t>v</w:t>
      </w:r>
      <w:r w:rsidR="00CC2E32" w:rsidRPr="0059240B">
        <w:rPr>
          <w:rFonts w:ascii="Times New Roman" w:eastAsia="Times New Roman" w:hAnsi="Times New Roman"/>
        </w:rPr>
        <w:t>.</w:t>
      </w:r>
      <w:r w:rsidR="00CC2E32" w:rsidRPr="0059240B">
        <w:rPr>
          <w:rFonts w:ascii="Times New Roman" w:eastAsia="Times New Roman" w:hAnsi="Times New Roman"/>
        </w:rPr>
        <w:tab/>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r w:rsidR="00186EB1" w:rsidRPr="0059240B">
        <w:rPr>
          <w:rFonts w:ascii="Times New Roman" w:eastAsia="Times New Roman" w:hAnsi="Times New Roman"/>
        </w:rPr>
        <w:t>.</w:t>
      </w:r>
    </w:p>
    <w:p w14:paraId="6F18FE6E" w14:textId="77777777" w:rsidR="00FE7358" w:rsidRPr="0059240B" w:rsidRDefault="006176C4" w:rsidP="00186EB1">
      <w:pPr>
        <w:spacing w:after="220" w:line="240" w:lineRule="auto"/>
        <w:ind w:left="2160" w:hanging="360"/>
        <w:rPr>
          <w:rFonts w:ascii="Times New Roman" w:eastAsia="Times New Roman" w:hAnsi="Times New Roman"/>
        </w:rPr>
      </w:pPr>
      <w:r w:rsidRPr="0059240B">
        <w:rPr>
          <w:rFonts w:ascii="Times New Roman" w:eastAsia="Times New Roman" w:hAnsi="Times New Roman"/>
        </w:rPr>
        <w:t>b.</w:t>
      </w:r>
      <w:r w:rsidR="00CC2E32" w:rsidRPr="0059240B">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59240B">
        <w:rPr>
          <w:rFonts w:ascii="Times New Roman" w:eastAsia="Times New Roman" w:hAnsi="Times New Roman"/>
        </w:rPr>
        <w:t xml:space="preserve">  </w:t>
      </w:r>
    </w:p>
    <w:p w14:paraId="0A06FD34" w14:textId="2902E507" w:rsidR="00FE7358" w:rsidRPr="0059240B" w:rsidRDefault="00FE7358" w:rsidP="00196FEA">
      <w:pPr>
        <w:spacing w:after="220" w:line="240" w:lineRule="auto"/>
        <w:ind w:left="2520"/>
        <w:rPr>
          <w:rFonts w:ascii="Times New Roman" w:eastAsia="Times New Roman" w:hAnsi="Times New Roman"/>
        </w:rPr>
      </w:pPr>
      <w:r w:rsidRPr="0059240B">
        <w:rPr>
          <w:rFonts w:ascii="Times New Roman" w:hAnsi="Times New Roman"/>
        </w:rPr>
        <w:t>Policy loans, equities and derivative instruments associated with the execution of a clearly defined hedging strategy are not affected by this requirement.</w:t>
      </w:r>
    </w:p>
    <w:p w14:paraId="16B0C0CB" w14:textId="7B86E2F1" w:rsidR="00CC2E32" w:rsidRPr="0059240B" w:rsidRDefault="005473E5" w:rsidP="00196FEA">
      <w:pPr>
        <w:pBdr>
          <w:top w:val="single" w:sz="4" w:space="1" w:color="auto"/>
          <w:left w:val="single" w:sz="4" w:space="4" w:color="auto"/>
          <w:bottom w:val="single" w:sz="4" w:space="1" w:color="auto"/>
          <w:right w:val="single" w:sz="4" w:space="4" w:color="auto"/>
        </w:pBdr>
        <w:spacing w:after="220" w:line="240" w:lineRule="auto"/>
        <w:ind w:left="2160" w:hanging="360"/>
        <w:rPr>
          <w:rFonts w:ascii="Times New Roman" w:eastAsia="Times New Roman" w:hAnsi="Times New Roman"/>
        </w:rPr>
      </w:pPr>
      <w:r w:rsidRPr="0059240B">
        <w:rPr>
          <w:rFonts w:ascii="Times New Roman" w:eastAsia="Times New Roman" w:hAnsi="Times New Roman"/>
        </w:rPr>
        <w:t xml:space="preserve">Drafting </w:t>
      </w:r>
      <w:r w:rsidR="003261C7" w:rsidRPr="0059240B">
        <w:rPr>
          <w:rFonts w:ascii="Times New Roman" w:eastAsia="Times New Roman" w:hAnsi="Times New Roman"/>
        </w:rPr>
        <w:t>Note:  this limitation is being referred to LATF for review.</w:t>
      </w:r>
    </w:p>
    <w:p w14:paraId="34EEADB6" w14:textId="493E434D" w:rsidR="00390030" w:rsidRPr="0059240B" w:rsidRDefault="006176C4" w:rsidP="00196FEA">
      <w:pPr>
        <w:spacing w:after="220" w:line="240" w:lineRule="auto"/>
        <w:ind w:left="2160" w:hanging="36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r>
      <w:r w:rsidR="00CC2E32" w:rsidRPr="0059240B">
        <w:rPr>
          <w:rFonts w:ascii="Times New Roman" w:eastAsia="Times New Roman" w:hAnsi="Times New Roman"/>
        </w:rPr>
        <w:t>Any disinvestment shall be modeled in a manner that is consistent with the company’s investment policy and that reflects the company’s cost of borrowing where applicable</w:t>
      </w:r>
      <w:r w:rsidR="00F62AD1" w:rsidRPr="0059240B">
        <w:rPr>
          <w:rFonts w:ascii="Times New Roman" w:eastAsia="Times New Roman" w:hAnsi="Times New Roman"/>
        </w:rPr>
        <w:t>, provided that the assumed cost of borrowing is not lower than the rate at which positive cash flows</w:t>
      </w:r>
      <w:r w:rsidR="00186EB1" w:rsidRPr="0059240B">
        <w:rPr>
          <w:rFonts w:ascii="Times New Roman" w:eastAsia="Times New Roman" w:hAnsi="Times New Roman"/>
        </w:rPr>
        <w:t xml:space="preserve"> </w:t>
      </w:r>
      <w:r w:rsidR="00F62AD1" w:rsidRPr="0059240B">
        <w:rPr>
          <w:rFonts w:ascii="Times New Roman" w:eastAsia="Times New Roman" w:hAnsi="Times New Roman"/>
        </w:rPr>
        <w:t>are reinvested in the same time period</w:t>
      </w:r>
      <w:r w:rsidR="00B8079F" w:rsidRPr="0059240B">
        <w:rPr>
          <w:rFonts w:ascii="Times New Roman" w:eastAsia="Times New Roman" w:hAnsi="Times New Roman"/>
        </w:rPr>
        <w:t>, taking into account duration, ratings, and other attributes of the borrowing mechanism</w:t>
      </w:r>
      <w:r w:rsidR="00CC2E32" w:rsidRPr="0059240B">
        <w:rPr>
          <w:rFonts w:ascii="Times New Roman" w:eastAsia="Times New Roman" w:hAnsi="Times New Roman"/>
        </w:rPr>
        <w:t xml:space="preserve">. Gross asset spreads used in computing market values of assets sold in the model shall be consistent with, but not necessarily the same as, the gross asset spreads in Section </w:t>
      </w:r>
      <w:r w:rsidR="00AE42E2" w:rsidRPr="0059240B">
        <w:rPr>
          <w:rFonts w:ascii="Times New Roman" w:eastAsia="Times New Roman" w:hAnsi="Times New Roman"/>
        </w:rPr>
        <w:t>4</w:t>
      </w:r>
      <w:r w:rsidR="00CC2E32" w:rsidRPr="0059240B">
        <w:rPr>
          <w:rFonts w:ascii="Times New Roman" w:eastAsia="Times New Roman" w:hAnsi="Times New Roman"/>
        </w:rPr>
        <w:t>.D.4.</w:t>
      </w:r>
      <w:r w:rsidR="00982937" w:rsidRPr="0059240B">
        <w:rPr>
          <w:rFonts w:ascii="Times New Roman" w:eastAsia="Times New Roman" w:hAnsi="Times New Roman"/>
        </w:rPr>
        <w:t>a.iii</w:t>
      </w:r>
      <w:r w:rsidR="00CC2E32" w:rsidRPr="0059240B">
        <w:rPr>
          <w:rFonts w:ascii="Times New Roman" w:eastAsia="Times New Roman" w:hAnsi="Times New Roman"/>
        </w:rPr>
        <w:t xml:space="preserve"> and Section </w:t>
      </w:r>
      <w:r w:rsidR="00AE42E2" w:rsidRPr="0059240B">
        <w:rPr>
          <w:rFonts w:ascii="Times New Roman" w:eastAsia="Times New Roman" w:hAnsi="Times New Roman"/>
        </w:rPr>
        <w:t>4</w:t>
      </w:r>
      <w:r w:rsidR="00CC2E32" w:rsidRPr="0059240B">
        <w:rPr>
          <w:rFonts w:ascii="Times New Roman" w:eastAsia="Times New Roman" w:hAnsi="Times New Roman"/>
        </w:rPr>
        <w:t>.D.4.</w:t>
      </w:r>
      <w:r w:rsidR="00982937" w:rsidRPr="0059240B">
        <w:rPr>
          <w:rFonts w:ascii="Times New Roman" w:eastAsia="Times New Roman" w:hAnsi="Times New Roman"/>
        </w:rPr>
        <w:t>a.v</w:t>
      </w:r>
      <w:r w:rsidR="00CC2E32" w:rsidRPr="0059240B">
        <w:rPr>
          <w:rFonts w:ascii="Times New Roman" w:eastAsia="Times New Roman" w:hAnsi="Times New Roman"/>
        </w:rPr>
        <w:t>, recognizing that initial assets that mature during the projection may have different characteristics than modeled reinvestment assets.</w:t>
      </w:r>
    </w:p>
    <w:p w14:paraId="79ACAC85" w14:textId="79AC1058" w:rsidR="00DF20C2" w:rsidRPr="0059240B" w:rsidRDefault="00124CDD" w:rsidP="00C85B69">
      <w:pPr>
        <w:pBdr>
          <w:top w:val="single" w:sz="4" w:space="1" w:color="auto"/>
          <w:left w:val="single" w:sz="4" w:space="4" w:color="auto"/>
          <w:bottom w:val="single" w:sz="4" w:space="1" w:color="auto"/>
          <w:right w:val="single" w:sz="4" w:space="4" w:color="auto"/>
        </w:pBdr>
        <w:spacing w:after="220" w:line="240" w:lineRule="auto"/>
        <w:ind w:left="1800" w:hanging="360"/>
        <w:rPr>
          <w:rFonts w:ascii="Times New Roman" w:eastAsia="Times New Roman" w:hAnsi="Times New Roman"/>
        </w:rPr>
      </w:pPr>
      <w:r w:rsidRPr="0059240B">
        <w:rPr>
          <w:rFonts w:ascii="Times New Roman" w:eastAsia="Times New Roman" w:hAnsi="Times New Roman"/>
        </w:rPr>
        <w:t xml:space="preserve"> Guidance </w:t>
      </w:r>
      <w:r w:rsidR="00DF20C2" w:rsidRPr="0059240B">
        <w:rPr>
          <w:rFonts w:ascii="Times New Roman" w:eastAsia="Times New Roman" w:hAnsi="Times New Roman"/>
        </w:rPr>
        <w:t>Note:  this limitation is being referred to LATF for review</w:t>
      </w:r>
      <w:r w:rsidR="00FE7358" w:rsidRPr="0059240B">
        <w:rPr>
          <w:rFonts w:ascii="Times New Roman" w:eastAsia="Times New Roman" w:hAnsi="Times New Roman"/>
        </w:rPr>
        <w:t xml:space="preserve">. </w:t>
      </w:r>
      <w:r w:rsidR="00C85B69" w:rsidRPr="0059240B">
        <w:rPr>
          <w:rFonts w:ascii="Times New Roman" w:eastAsia="Times New Roman" w:hAnsi="Times New Roman"/>
        </w:rPr>
        <w:t xml:space="preserve">The simple language above ("provided that the assumed cost of borrowing is not lower than the rate at which positive cash flows are reinvested in the same time period")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w:t>
      </w:r>
      <w:r w:rsidR="00FE7358" w:rsidRPr="0059240B">
        <w:rPr>
          <w:rFonts w:ascii="Times New Roman" w:eastAsia="Times New Roman" w:hAnsi="Times New Roman"/>
        </w:rPr>
        <w:t xml:space="preserve">time </w:t>
      </w:r>
      <w:r w:rsidR="00E9577F" w:rsidRPr="0059240B">
        <w:rPr>
          <w:rFonts w:ascii="Times New Roman" w:eastAsia="Times New Roman" w:hAnsi="Times New Roman"/>
        </w:rPr>
        <w:t>step</w:t>
      </w:r>
      <w:r w:rsidR="00E9577F" w:rsidRPr="0059240B">
        <w:t>,</w:t>
      </w:r>
      <w:r w:rsidR="00E9577F" w:rsidRPr="0059240B">
        <w:rPr>
          <w:rFonts w:ascii="Times New Roman" w:eastAsia="Times New Roman" w:hAnsi="Times New Roman"/>
        </w:rPr>
        <w:t xml:space="preserve"> as long as the reserve is not materially impacted</w:t>
      </w:r>
      <w:r w:rsidR="00C85B69" w:rsidRPr="0059240B">
        <w:rPr>
          <w:rFonts w:ascii="Times New Roman" w:eastAsia="Times New Roman" w:hAnsi="Times New Roman"/>
        </w:rPr>
        <w:t>. However,</w:t>
      </w:r>
      <w:r w:rsidR="00FE7358" w:rsidRPr="0059240B">
        <w:rPr>
          <w:rFonts w:ascii="Times New Roman" w:eastAsia="Times New Roman" w:hAnsi="Times New Roman"/>
        </w:rPr>
        <w:t xml:space="preserve"> if the company is unable to fully apply this restriction, prudence dictates </w:t>
      </w:r>
      <w:r w:rsidR="00B8079F" w:rsidRPr="0059240B">
        <w:rPr>
          <w:rFonts w:ascii="Times New Roman" w:eastAsia="Times New Roman" w:hAnsi="Times New Roman"/>
        </w:rPr>
        <w:t xml:space="preserve">that </w:t>
      </w:r>
      <w:r w:rsidR="00FE7358" w:rsidRPr="0059240B">
        <w:rPr>
          <w:rFonts w:ascii="Times New Roman" w:eastAsia="Times New Roman" w:hAnsi="Times New Roman"/>
        </w:rPr>
        <w:t xml:space="preserve">a </w:t>
      </w:r>
      <w:r w:rsidR="00B8079F" w:rsidRPr="0059240B">
        <w:rPr>
          <w:rFonts w:ascii="Times New Roman" w:eastAsia="Times New Roman" w:hAnsi="Times New Roman"/>
        </w:rPr>
        <w:t>company shall not allow borrowing assumptions to materially reduce the reserve.</w:t>
      </w:r>
    </w:p>
    <w:p w14:paraId="6E33E723" w14:textId="77777777" w:rsidR="00CC2E32" w:rsidRPr="0059240B" w:rsidRDefault="00CC2E32" w:rsidP="00CC2E32">
      <w:pPr>
        <w:spacing w:after="220" w:line="240" w:lineRule="auto"/>
        <w:ind w:left="1440" w:hanging="720"/>
        <w:rPr>
          <w:rFonts w:ascii="Times New Roman" w:eastAsia="Times New Roman" w:hAnsi="Times New Roman"/>
        </w:rPr>
      </w:pPr>
      <w:r w:rsidRPr="0059240B">
        <w:rPr>
          <w:rFonts w:ascii="Times New Roman" w:eastAsia="Times New Roman" w:hAnsi="Times New Roman"/>
        </w:rPr>
        <w:t>5.</w:t>
      </w:r>
      <w:r w:rsidRPr="0059240B">
        <w:rPr>
          <w:rFonts w:ascii="Times New Roman" w:eastAsia="Times New Roman" w:hAnsi="Times New Roman"/>
        </w:rPr>
        <w:tab/>
        <w:t>Cash Flows from Invested Assets</w:t>
      </w:r>
    </w:p>
    <w:p w14:paraId="58371430" w14:textId="635ACC60" w:rsidR="00CC2E32" w:rsidRPr="0059240B" w:rsidRDefault="004A11AA" w:rsidP="00695342">
      <w:pPr>
        <w:spacing w:after="220" w:line="240" w:lineRule="auto"/>
        <w:ind w:left="1800" w:hanging="36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r>
      <w:r w:rsidR="00CC2E32" w:rsidRPr="0059240B">
        <w:rPr>
          <w:rFonts w:ascii="Times New Roman" w:eastAsia="Times New Roman" w:hAnsi="Times New Roman"/>
        </w:rPr>
        <w:t>Cash flows from general account fixed income assets, including starting and reinvestment assets, shall be reflected in the projection as follows:</w:t>
      </w:r>
    </w:p>
    <w:p w14:paraId="540E539F" w14:textId="42F59121" w:rsidR="00CC2E32" w:rsidRPr="0059240B" w:rsidRDefault="00CC2E32" w:rsidP="00E87EFC">
      <w:pPr>
        <w:pStyle w:val="ListParagraph"/>
        <w:numPr>
          <w:ilvl w:val="1"/>
          <w:numId w:val="29"/>
        </w:numPr>
        <w:spacing w:after="220" w:line="240" w:lineRule="auto"/>
        <w:ind w:left="2520"/>
        <w:rPr>
          <w:rFonts w:ascii="Times New Roman" w:eastAsia="Times New Roman" w:hAnsi="Times New Roman"/>
        </w:rPr>
      </w:pPr>
      <w:r w:rsidRPr="0059240B">
        <w:rPr>
          <w:rFonts w:ascii="Times New Roman" w:eastAsia="Times New Roman" w:hAnsi="Times New Roman"/>
        </w:rPr>
        <w:t>Model gross investment income and principal repayments in accordance with the contractual provisions of each asset and in a manner consistent with each scenario.</w:t>
      </w:r>
    </w:p>
    <w:p w14:paraId="44AAE0F7" w14:textId="3D9D7737" w:rsidR="00CC2E32" w:rsidRPr="0059240B" w:rsidRDefault="00CC2E32" w:rsidP="00E87EFC">
      <w:pPr>
        <w:pStyle w:val="ListParagraph"/>
        <w:numPr>
          <w:ilvl w:val="1"/>
          <w:numId w:val="29"/>
        </w:numPr>
        <w:spacing w:after="220" w:line="240" w:lineRule="auto"/>
        <w:ind w:left="2520"/>
        <w:rPr>
          <w:rFonts w:ascii="Times New Roman" w:eastAsia="Times New Roman" w:hAnsi="Times New Roman"/>
        </w:rPr>
      </w:pPr>
      <w:r w:rsidRPr="0059240B">
        <w:rPr>
          <w:rFonts w:ascii="Times New Roman" w:eastAsia="Times New Roman" w:hAnsi="Times New Roman"/>
        </w:rPr>
        <w:t xml:space="preserve">Reflect asset default costs as prescribed in </w:t>
      </w:r>
      <w:r w:rsidR="00FC093D" w:rsidRPr="0059240B">
        <w:rPr>
          <w:rFonts w:ascii="Times New Roman" w:eastAsia="Times New Roman" w:hAnsi="Times New Roman"/>
        </w:rPr>
        <w:t>VM-20 Section 9.F</w:t>
      </w:r>
      <w:r w:rsidRPr="0059240B">
        <w:rPr>
          <w:rFonts w:ascii="Times New Roman" w:eastAsia="Times New Roman" w:hAnsi="Times New Roman"/>
        </w:rPr>
        <w:t xml:space="preserve"> and anticipated investment expenses through deductions to the gross investment income.</w:t>
      </w:r>
    </w:p>
    <w:p w14:paraId="6A853447" w14:textId="6A2C423A" w:rsidR="00CC2E32" w:rsidRPr="0059240B" w:rsidRDefault="00CC2E32" w:rsidP="00E87EFC">
      <w:pPr>
        <w:pStyle w:val="ListParagraph"/>
        <w:numPr>
          <w:ilvl w:val="1"/>
          <w:numId w:val="29"/>
        </w:numPr>
        <w:spacing w:after="220" w:line="240" w:lineRule="auto"/>
        <w:ind w:left="2520"/>
        <w:rPr>
          <w:rFonts w:ascii="Times New Roman" w:eastAsia="Times New Roman" w:hAnsi="Times New Roman"/>
        </w:rPr>
      </w:pPr>
      <w:r w:rsidRPr="0059240B">
        <w:rPr>
          <w:rFonts w:ascii="Times New Roman" w:eastAsia="Times New Roman" w:hAnsi="Times New Roman"/>
        </w:rPr>
        <w:t>Model the proceeds arising from modeled asset sales and determine the portion representing any realized capital gains and losses.</w:t>
      </w:r>
    </w:p>
    <w:p w14:paraId="13336BC0" w14:textId="3DA54E29" w:rsidR="00CC2E32" w:rsidRPr="0059240B" w:rsidRDefault="00CC2E32" w:rsidP="00E87EFC">
      <w:pPr>
        <w:pStyle w:val="ListParagraph"/>
        <w:numPr>
          <w:ilvl w:val="1"/>
          <w:numId w:val="29"/>
        </w:numPr>
        <w:spacing w:after="220" w:line="240" w:lineRule="auto"/>
        <w:ind w:left="2520"/>
        <w:rPr>
          <w:rFonts w:ascii="Times New Roman" w:eastAsia="Times New Roman" w:hAnsi="Times New Roman"/>
        </w:rPr>
      </w:pPr>
      <w:r w:rsidRPr="0059240B">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sidRPr="0059240B">
        <w:rPr>
          <w:rFonts w:ascii="Times New Roman" w:eastAsia="Times New Roman" w:hAnsi="Times New Roman"/>
        </w:rPr>
        <w:t>VM-20 Sections 7.E, 7.F, and 9.F</w:t>
      </w:r>
      <w:r w:rsidRPr="0059240B">
        <w:rPr>
          <w:rFonts w:ascii="Times New Roman" w:eastAsia="Times New Roman" w:hAnsi="Times New Roman"/>
        </w:rPr>
        <w:t>.</w:t>
      </w:r>
    </w:p>
    <w:p w14:paraId="36B96411" w14:textId="048F1412" w:rsidR="00CC2E32" w:rsidRPr="0059240B" w:rsidRDefault="004A11AA" w:rsidP="007A4D29">
      <w:pPr>
        <w:spacing w:after="220" w:line="240" w:lineRule="auto"/>
        <w:ind w:left="1800" w:hanging="360"/>
        <w:rPr>
          <w:rFonts w:ascii="Times New Roman" w:eastAsia="Times New Roman" w:hAnsi="Times New Roman"/>
        </w:rPr>
      </w:pPr>
      <w:r w:rsidRPr="0059240B">
        <w:rPr>
          <w:rFonts w:ascii="Times New Roman" w:eastAsia="Times New Roman" w:hAnsi="Times New Roman"/>
        </w:rPr>
        <w:lastRenderedPageBreak/>
        <w:t>b.</w:t>
      </w:r>
      <w:r w:rsidRPr="0059240B">
        <w:rPr>
          <w:rFonts w:ascii="Times New Roman" w:eastAsia="Times New Roman" w:hAnsi="Times New Roman"/>
        </w:rPr>
        <w:tab/>
      </w:r>
      <w:r w:rsidR="00CC2E32" w:rsidRPr="0059240B">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p>
    <w:p w14:paraId="0140A650" w14:textId="58FC0ABC" w:rsidR="00CC2E32" w:rsidRPr="0059240B" w:rsidRDefault="00CC2E32" w:rsidP="00E87EFC">
      <w:pPr>
        <w:pStyle w:val="ListParagraph"/>
        <w:numPr>
          <w:ilvl w:val="2"/>
          <w:numId w:val="30"/>
        </w:numPr>
        <w:spacing w:after="220" w:line="240" w:lineRule="auto"/>
        <w:ind w:left="2520" w:hanging="360"/>
        <w:rPr>
          <w:rFonts w:ascii="Times New Roman" w:eastAsia="Times New Roman" w:hAnsi="Times New Roman"/>
        </w:rPr>
      </w:pPr>
      <w:r w:rsidRPr="0059240B">
        <w:rPr>
          <w:rFonts w:ascii="Times New Roman" w:eastAsia="Times New Roman" w:hAnsi="Times New Roman"/>
        </w:rPr>
        <w:t xml:space="preserve">Determine the grouping for asset categories and the allocation of specific assets to each category in a manner that is consistent with that used for </w:t>
      </w:r>
      <w:r w:rsidR="00F62AD1" w:rsidRPr="0059240B">
        <w:rPr>
          <w:rFonts w:ascii="Times New Roman" w:eastAsia="Times New Roman" w:hAnsi="Times New Roman"/>
        </w:rPr>
        <w:t>s</w:t>
      </w:r>
      <w:r w:rsidRPr="0059240B">
        <w:rPr>
          <w:rFonts w:ascii="Times New Roman" w:eastAsia="Times New Roman" w:hAnsi="Times New Roman"/>
        </w:rPr>
        <w:t xml:space="preserve">eparate </w:t>
      </w:r>
      <w:r w:rsidR="00F62AD1" w:rsidRPr="0059240B">
        <w:rPr>
          <w:rFonts w:ascii="Times New Roman" w:eastAsia="Times New Roman" w:hAnsi="Times New Roman"/>
        </w:rPr>
        <w:t>a</w:t>
      </w:r>
      <w:r w:rsidRPr="0059240B">
        <w:rPr>
          <w:rFonts w:ascii="Times New Roman" w:eastAsia="Times New Roman" w:hAnsi="Times New Roman"/>
        </w:rPr>
        <w:t xml:space="preserve">ccount </w:t>
      </w:r>
      <w:r w:rsidR="00E468E3" w:rsidRPr="0059240B">
        <w:rPr>
          <w:rFonts w:ascii="Times New Roman" w:eastAsia="Times New Roman" w:hAnsi="Times New Roman"/>
        </w:rPr>
        <w:t>a</w:t>
      </w:r>
      <w:r w:rsidRPr="0059240B">
        <w:rPr>
          <w:rFonts w:ascii="Times New Roman" w:eastAsia="Times New Roman" w:hAnsi="Times New Roman"/>
        </w:rPr>
        <w:t xml:space="preserve">ssets, as discussed in Section </w:t>
      </w:r>
      <w:r w:rsidR="00A211B8" w:rsidRPr="0059240B">
        <w:rPr>
          <w:rFonts w:ascii="Times New Roman" w:eastAsia="Times New Roman" w:hAnsi="Times New Roman"/>
        </w:rPr>
        <w:t>4</w:t>
      </w:r>
      <w:r w:rsidRPr="0059240B">
        <w:rPr>
          <w:rFonts w:ascii="Times New Roman" w:eastAsia="Times New Roman" w:hAnsi="Times New Roman"/>
        </w:rPr>
        <w:t>.A.2.</w:t>
      </w:r>
    </w:p>
    <w:p w14:paraId="2DA0C4C6" w14:textId="40221D0A" w:rsidR="00CC2E32" w:rsidRPr="0059240B" w:rsidRDefault="00CC2E32" w:rsidP="00E87EFC">
      <w:pPr>
        <w:pStyle w:val="ListParagraph"/>
        <w:numPr>
          <w:ilvl w:val="2"/>
          <w:numId w:val="30"/>
        </w:numPr>
        <w:spacing w:after="220" w:line="240" w:lineRule="auto"/>
        <w:ind w:left="2520" w:hanging="360"/>
        <w:rPr>
          <w:rFonts w:ascii="Times New Roman" w:eastAsia="Times New Roman" w:hAnsi="Times New Roman"/>
        </w:rPr>
      </w:pPr>
      <w:r w:rsidRPr="0059240B">
        <w:rPr>
          <w:rFonts w:ascii="Times New Roman" w:eastAsia="Times New Roman" w:hAnsi="Times New Roman"/>
        </w:rPr>
        <w:t>Project the gross investment return including realized and unrealized capital gains in a manner that is consistent with the stochastically generated scenarios.</w:t>
      </w:r>
    </w:p>
    <w:p w14:paraId="0BA9A3DB" w14:textId="3B924697" w:rsidR="00CC2E32" w:rsidRPr="0059240B" w:rsidRDefault="00CC2E32" w:rsidP="00E87EFC">
      <w:pPr>
        <w:pStyle w:val="ListParagraph"/>
        <w:numPr>
          <w:ilvl w:val="2"/>
          <w:numId w:val="30"/>
        </w:numPr>
        <w:spacing w:after="220" w:line="240" w:lineRule="auto"/>
        <w:ind w:left="2520" w:hanging="360"/>
        <w:rPr>
          <w:rFonts w:ascii="Times New Roman" w:eastAsia="Times New Roman" w:hAnsi="Times New Roman"/>
        </w:rPr>
      </w:pPr>
      <w:r w:rsidRPr="0059240B">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p>
    <w:p w14:paraId="05FFC212" w14:textId="6B13A173" w:rsidR="00CC2E32" w:rsidRPr="0059240B" w:rsidRDefault="00CC2E32" w:rsidP="00067EEF">
      <w:pPr>
        <w:spacing w:after="220" w:line="240" w:lineRule="auto"/>
        <w:ind w:left="720" w:hanging="720"/>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Projection of Annuitization Benefits (Including GMIBs</w:t>
      </w:r>
      <w:r w:rsidRPr="0059240B">
        <w:t xml:space="preserve"> </w:t>
      </w:r>
      <w:r w:rsidRPr="0059240B">
        <w:rPr>
          <w:rFonts w:ascii="Times New Roman" w:eastAsia="Times New Roman" w:hAnsi="Times New Roman"/>
        </w:rPr>
        <w:t>and GMWBs)</w:t>
      </w:r>
    </w:p>
    <w:p w14:paraId="3FC4DC88" w14:textId="77777777"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Assumed Annuitization Purchase Rates at Election</w:t>
      </w:r>
    </w:p>
    <w:p w14:paraId="6FFD280F" w14:textId="1FF84CBC"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For purposes of projecting annuitization benefits (including annuitizations stemming from the election of a GMIB)</w:t>
      </w:r>
      <w:r w:rsidR="00FD3B15" w:rsidRPr="0059240B">
        <w:rPr>
          <w:rFonts w:ascii="Times New Roman" w:eastAsia="Times New Roman" w:hAnsi="Times New Roman"/>
        </w:rPr>
        <w:t xml:space="preserve"> and </w:t>
      </w:r>
      <w:r w:rsidR="005473E5" w:rsidRPr="0059240B">
        <w:rPr>
          <w:rFonts w:ascii="Times New Roman" w:eastAsia="Times New Roman" w:hAnsi="Times New Roman"/>
        </w:rPr>
        <w:t xml:space="preserve">withdrawal </w:t>
      </w:r>
      <w:r w:rsidR="00FD3B15" w:rsidRPr="0059240B">
        <w:rPr>
          <w:rFonts w:ascii="Times New Roman" w:eastAsia="Times New Roman" w:hAnsi="Times New Roman"/>
        </w:rPr>
        <w:t>amounts from GMWBs</w:t>
      </w:r>
      <w:r w:rsidRPr="0059240B">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general account assets, as determined in Section </w:t>
      </w:r>
      <w:r w:rsidR="00A211B8" w:rsidRPr="0059240B">
        <w:rPr>
          <w:rFonts w:ascii="Times New Roman" w:eastAsia="Times New Roman" w:hAnsi="Times New Roman"/>
        </w:rPr>
        <w:t>4</w:t>
      </w:r>
      <w:r w:rsidRPr="0059240B">
        <w:rPr>
          <w:rFonts w:ascii="Times New Roman" w:eastAsia="Times New Roman" w:hAnsi="Times New Roman"/>
        </w:rPr>
        <w:t xml:space="preserve">.D.4. </w:t>
      </w:r>
    </w:p>
    <w:p w14:paraId="1A3D963F" w14:textId="77777777" w:rsidR="00CC2E32" w:rsidRPr="0059240B" w:rsidRDefault="00CC2E32" w:rsidP="00067EEF">
      <w:pPr>
        <w:spacing w:after="0" w:line="240" w:lineRule="auto"/>
        <w:ind w:left="2260"/>
        <w:rPr>
          <w:rFonts w:ascii="Times New Roman" w:hAnsi="Times New Roman"/>
          <w:sz w:val="20"/>
          <w:szCs w:val="20"/>
        </w:rPr>
      </w:pPr>
    </w:p>
    <w:p w14:paraId="47B9B698" w14:textId="519FA590" w:rsidR="00CC2E32" w:rsidRPr="0059240B" w:rsidRDefault="00CC2E32" w:rsidP="00067EEF">
      <w:pPr>
        <w:tabs>
          <w:tab w:val="left" w:pos="9180"/>
          <w:tab w:val="left" w:pos="9720"/>
        </w:tabs>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 xml:space="preserve">Projected Election of </w:t>
      </w:r>
      <w:r w:rsidR="005C48C2" w:rsidRPr="0059240B">
        <w:rPr>
          <w:rFonts w:ascii="Times New Roman" w:eastAsia="Times New Roman" w:hAnsi="Times New Roman"/>
        </w:rPr>
        <w:t xml:space="preserve">GMIBs, GMWBs </w:t>
      </w:r>
      <w:r w:rsidRPr="0059240B">
        <w:rPr>
          <w:rFonts w:ascii="Times New Roman" w:eastAsia="Times New Roman" w:hAnsi="Times New Roman"/>
        </w:rPr>
        <w:t>and Other Annuitization Options</w:t>
      </w:r>
    </w:p>
    <w:p w14:paraId="3A9EB88A" w14:textId="23D26D28" w:rsidR="00CC2E32" w:rsidRPr="0059240B" w:rsidRDefault="00DD7491" w:rsidP="00067EEF">
      <w:pPr>
        <w:tabs>
          <w:tab w:val="left" w:pos="9180"/>
          <w:tab w:val="left" w:pos="9720"/>
        </w:tabs>
        <w:spacing w:after="220" w:line="240" w:lineRule="auto"/>
        <w:ind w:left="1800" w:hanging="360"/>
        <w:rPr>
          <w:rFonts w:ascii="Times New Roman" w:eastAsia="Times New Roman" w:hAnsi="Times New Roman"/>
        </w:rPr>
      </w:pPr>
      <w:r w:rsidRPr="0059240B">
        <w:rPr>
          <w:rFonts w:ascii="Times New Roman" w:eastAsia="Times New Roman" w:hAnsi="Times New Roman"/>
        </w:rPr>
        <w:t xml:space="preserve">a. </w:t>
      </w:r>
      <w:r w:rsidRPr="0059240B">
        <w:rPr>
          <w:rFonts w:ascii="Times New Roman" w:eastAsia="Times New Roman" w:hAnsi="Times New Roman"/>
        </w:rPr>
        <w:tab/>
      </w:r>
      <w:r w:rsidR="00CC2E32" w:rsidRPr="0059240B">
        <w:rPr>
          <w:rFonts w:ascii="Times New Roman" w:eastAsia="Times New Roman" w:hAnsi="Times New Roman"/>
        </w:rPr>
        <w:t>For contracts projected to elect annuitization options (including annuitizations stemming from the election of a GMIB)</w:t>
      </w:r>
      <w:r w:rsidR="001B3C90" w:rsidRPr="0059240B">
        <w:rPr>
          <w:rFonts w:ascii="Times New Roman" w:eastAsia="Times New Roman" w:hAnsi="Times New Roman"/>
        </w:rPr>
        <w:t xml:space="preserve"> or for projections of GMWB benefits once the account value has been depleted</w:t>
      </w:r>
      <w:r w:rsidR="00CC2E32" w:rsidRPr="0059240B">
        <w:rPr>
          <w:rFonts w:ascii="Times New Roman" w:eastAsia="Times New Roman" w:hAnsi="Times New Roman"/>
        </w:rPr>
        <w:t xml:space="preserve">, the projections may assume one of the following at the </w:t>
      </w:r>
      <w:r w:rsidR="00FA5FBF" w:rsidRPr="0059240B">
        <w:rPr>
          <w:rFonts w:ascii="Times New Roman" w:eastAsia="Times New Roman" w:hAnsi="Times New Roman"/>
        </w:rPr>
        <w:t xml:space="preserve">company’s </w:t>
      </w:r>
      <w:r w:rsidR="00CC2E32" w:rsidRPr="0059240B">
        <w:rPr>
          <w:rFonts w:ascii="Times New Roman" w:eastAsia="Times New Roman" w:hAnsi="Times New Roman"/>
        </w:rPr>
        <w:t>option:</w:t>
      </w:r>
    </w:p>
    <w:p w14:paraId="761A5F5F" w14:textId="5AB264C8" w:rsidR="00CC2E32" w:rsidRPr="0059240B"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59240B">
        <w:rPr>
          <w:rFonts w:ascii="Times New Roman" w:eastAsia="Times New Roman" w:hAnsi="Times New Roman"/>
        </w:rPr>
        <w:t xml:space="preserve">The contract is treated as if surrendered at an amount equal to the statutory reserve that would be required at such time for </w:t>
      </w:r>
      <w:r w:rsidR="00E119CC" w:rsidRPr="0059240B">
        <w:rPr>
          <w:rFonts w:ascii="Times New Roman" w:eastAsia="Times New Roman" w:hAnsi="Times New Roman"/>
        </w:rPr>
        <w:t xml:space="preserve">a fixed </w:t>
      </w:r>
      <w:r w:rsidRPr="0059240B">
        <w:rPr>
          <w:rFonts w:ascii="Times New Roman" w:eastAsia="Times New Roman" w:hAnsi="Times New Roman"/>
        </w:rPr>
        <w:t>payout annuity benefit</w:t>
      </w:r>
      <w:r w:rsidR="004A11AA" w:rsidRPr="0059240B">
        <w:rPr>
          <w:rFonts w:ascii="Times New Roman" w:eastAsia="Times New Roman" w:hAnsi="Times New Roman"/>
        </w:rPr>
        <w:t xml:space="preserve"> equivalent to the </w:t>
      </w:r>
      <w:r w:rsidR="00B31C82" w:rsidRPr="0059240B">
        <w:rPr>
          <w:rFonts w:ascii="Times New Roman" w:eastAsia="Times New Roman" w:hAnsi="Times New Roman"/>
        </w:rPr>
        <w:t>guaranteed benefit amount (e.g. GMIB or GMWB benefit payments</w:t>
      </w:r>
      <w:r w:rsidR="00E468E3" w:rsidRPr="0059240B">
        <w:rPr>
          <w:rFonts w:ascii="Times New Roman" w:eastAsia="Times New Roman" w:hAnsi="Times New Roman"/>
        </w:rPr>
        <w:t>)</w:t>
      </w:r>
      <w:r w:rsidRPr="0059240B">
        <w:rPr>
          <w:rFonts w:ascii="Times New Roman" w:eastAsia="Times New Roman" w:hAnsi="Times New Roman"/>
        </w:rPr>
        <w:t>.</w:t>
      </w:r>
    </w:p>
    <w:p w14:paraId="6CC9A629" w14:textId="27688651" w:rsidR="00CC2E32" w:rsidRPr="0059240B"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59240B">
        <w:rPr>
          <w:rFonts w:ascii="Times New Roman" w:eastAsia="Times New Roman" w:hAnsi="Times New Roman"/>
        </w:rPr>
        <w:t>The contract is assumed to stay in force and the projected periodic payments are paid.</w:t>
      </w:r>
    </w:p>
    <w:p w14:paraId="23A2D0AF" w14:textId="07F0BCD4" w:rsidR="00CC2E32" w:rsidRPr="0059240B" w:rsidRDefault="00CC2E32" w:rsidP="00067EEF">
      <w:pPr>
        <w:pStyle w:val="ListParagraph"/>
        <w:numPr>
          <w:ilvl w:val="1"/>
          <w:numId w:val="30"/>
        </w:numPr>
        <w:spacing w:after="220" w:line="240" w:lineRule="auto"/>
        <w:ind w:left="1800"/>
        <w:rPr>
          <w:rFonts w:ascii="Times New Roman" w:eastAsia="Times New Roman" w:hAnsi="Times New Roman"/>
        </w:rPr>
      </w:pPr>
      <w:r w:rsidRPr="0059240B">
        <w:rPr>
          <w:rFonts w:ascii="Times New Roman" w:eastAsia="Times New Roman" w:hAnsi="Times New Roman"/>
        </w:rPr>
        <w:t xml:space="preserve">If the projected payout annuity is a variable payout annuity containing a floor guarantee (such as a GPAF) under a specified contractual option, only option </w:t>
      </w:r>
      <w:r w:rsidR="00E468E3" w:rsidRPr="0059240B">
        <w:rPr>
          <w:rFonts w:ascii="Times New Roman" w:eastAsia="Times New Roman" w:hAnsi="Times New Roman"/>
        </w:rPr>
        <w:t>(</w:t>
      </w:r>
      <w:r w:rsidR="00A211B8" w:rsidRPr="0059240B">
        <w:rPr>
          <w:rFonts w:ascii="Times New Roman" w:eastAsia="Times New Roman" w:hAnsi="Times New Roman"/>
        </w:rPr>
        <w:t>ii</w:t>
      </w:r>
      <w:r w:rsidR="00E468E3" w:rsidRPr="0059240B">
        <w:rPr>
          <w:rFonts w:ascii="Times New Roman" w:eastAsia="Times New Roman" w:hAnsi="Times New Roman"/>
        </w:rPr>
        <w:t>)</w:t>
      </w:r>
      <w:r w:rsidR="00A211B8" w:rsidRPr="0059240B">
        <w:rPr>
          <w:rFonts w:ascii="Times New Roman" w:eastAsia="Times New Roman" w:hAnsi="Times New Roman"/>
        </w:rPr>
        <w:t xml:space="preserve"> under Section 4.E.2.a above</w:t>
      </w:r>
      <w:r w:rsidRPr="0059240B">
        <w:rPr>
          <w:rFonts w:ascii="Times New Roman" w:eastAsia="Times New Roman" w:hAnsi="Times New Roman"/>
        </w:rPr>
        <w:t xml:space="preserve"> shall be used.</w:t>
      </w:r>
    </w:p>
    <w:p w14:paraId="0D056E32" w14:textId="6FF5AC29" w:rsidR="00CC2E32" w:rsidRPr="0059240B" w:rsidRDefault="00DD7491" w:rsidP="00067EEF">
      <w:pPr>
        <w:widowControl w:val="0"/>
        <w:spacing w:after="220" w:line="240" w:lineRule="auto"/>
        <w:ind w:left="1800" w:hanging="360"/>
        <w:rPr>
          <w:rFonts w:ascii="Times New Roman" w:eastAsia="Times New Roman" w:hAnsi="Times New Roman"/>
        </w:rPr>
      </w:pPr>
      <w:r w:rsidRPr="0059240B">
        <w:rPr>
          <w:rFonts w:ascii="Times New Roman" w:eastAsia="Times New Roman" w:hAnsi="Times New Roman"/>
        </w:rPr>
        <w:t xml:space="preserve">c. </w:t>
      </w:r>
      <w:r w:rsidRPr="0059240B">
        <w:rPr>
          <w:rFonts w:ascii="Times New Roman" w:eastAsia="Times New Roman" w:hAnsi="Times New Roman"/>
        </w:rPr>
        <w:tab/>
      </w:r>
      <w:r w:rsidR="00CC2E32" w:rsidRPr="0059240B">
        <w:rPr>
          <w:rFonts w:ascii="Times New Roman" w:eastAsia="Times New Roman" w:hAnsi="Times New Roman"/>
        </w:rPr>
        <w:t xml:space="preserve">Where mortality improvement is used to project future annuitization purchase rates, as discussed in </w:t>
      </w:r>
      <w:r w:rsidRPr="0059240B">
        <w:rPr>
          <w:rFonts w:ascii="Times New Roman" w:eastAsia="Times New Roman" w:hAnsi="Times New Roman"/>
        </w:rPr>
        <w:t>Section 4.E.</w:t>
      </w:r>
      <w:r w:rsidR="00CC2E32" w:rsidRPr="0059240B">
        <w:rPr>
          <w:rFonts w:ascii="Times New Roman" w:eastAsia="Times New Roman" w:hAnsi="Times New Roman"/>
        </w:rPr>
        <w:t xml:space="preserve">1 above, mortality improvement also shall be reflected on a consistent basis in either the determination of the reserve in </w:t>
      </w:r>
      <w:r w:rsidR="00CB7F6A" w:rsidRPr="0059240B">
        <w:rPr>
          <w:rFonts w:ascii="Times New Roman" w:eastAsia="Times New Roman" w:hAnsi="Times New Roman"/>
        </w:rPr>
        <w:t>Section 4.E.2.a.</w:t>
      </w:r>
      <w:r w:rsidRPr="0059240B">
        <w:rPr>
          <w:rFonts w:ascii="Times New Roman" w:eastAsia="Times New Roman" w:hAnsi="Times New Roman"/>
        </w:rPr>
        <w:t>i</w:t>
      </w:r>
      <w:r w:rsidR="00CC2E32" w:rsidRPr="0059240B">
        <w:rPr>
          <w:rFonts w:ascii="Times New Roman" w:eastAsia="Times New Roman" w:hAnsi="Times New Roman"/>
        </w:rPr>
        <w:t xml:space="preserve"> above or the projection of the periodic payments in </w:t>
      </w:r>
      <w:r w:rsidR="00CB7F6A" w:rsidRPr="0059240B">
        <w:rPr>
          <w:rFonts w:ascii="Times New Roman" w:eastAsia="Times New Roman" w:hAnsi="Times New Roman"/>
        </w:rPr>
        <w:t>Section 4.E.2.a.</w:t>
      </w:r>
      <w:r w:rsidRPr="0059240B">
        <w:rPr>
          <w:rFonts w:ascii="Times New Roman" w:eastAsia="Times New Roman" w:hAnsi="Times New Roman"/>
        </w:rPr>
        <w:t>ii</w:t>
      </w:r>
      <w:r w:rsidR="00CC2E32" w:rsidRPr="0059240B">
        <w:rPr>
          <w:rFonts w:ascii="Times New Roman" w:eastAsia="Times New Roman" w:hAnsi="Times New Roman"/>
        </w:rPr>
        <w:t>.</w:t>
      </w:r>
    </w:p>
    <w:p w14:paraId="24613953" w14:textId="5E9B122B" w:rsidR="00CC2E32" w:rsidRPr="0059240B" w:rsidRDefault="001B3C90" w:rsidP="00CC2E32">
      <w:pPr>
        <w:tabs>
          <w:tab w:val="left" w:pos="9180"/>
          <w:tab w:val="left" w:pos="9720"/>
        </w:tabs>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00CC2E32" w:rsidRPr="0059240B">
        <w:rPr>
          <w:rFonts w:ascii="Times New Roman" w:eastAsia="Times New Roman" w:hAnsi="Times New Roman"/>
        </w:rPr>
        <w:t>.</w:t>
      </w:r>
      <w:r w:rsidR="00CC2E32" w:rsidRPr="0059240B">
        <w:rPr>
          <w:rFonts w:ascii="Times New Roman" w:eastAsia="Times New Roman" w:hAnsi="Times New Roman"/>
        </w:rPr>
        <w:tab/>
        <w:t>Projected Statutory Reserve for Payout Annuity Benefits</w:t>
      </w:r>
    </w:p>
    <w:p w14:paraId="772B59DF" w14:textId="6432301A" w:rsidR="007C08AB" w:rsidRPr="0059240B" w:rsidRDefault="00CC2E32" w:rsidP="00455EA5">
      <w:pPr>
        <w:widowControl w:val="0"/>
        <w:spacing w:after="220" w:line="240" w:lineRule="auto"/>
        <w:ind w:left="1440"/>
        <w:rPr>
          <w:rFonts w:ascii="Times New Roman" w:eastAsia="Times New Roman" w:hAnsi="Times New Roman"/>
        </w:rPr>
      </w:pPr>
      <w:r w:rsidRPr="0059240B">
        <w:rPr>
          <w:rFonts w:ascii="Times New Roman" w:eastAsia="Times New Roman" w:hAnsi="Times New Roman"/>
        </w:rPr>
        <w:t>If the statutory reserv</w:t>
      </w:r>
      <w:r w:rsidR="00FD3B15" w:rsidRPr="0059240B">
        <w:rPr>
          <w:rFonts w:ascii="Times New Roman" w:eastAsia="Times New Roman" w:hAnsi="Times New Roman"/>
        </w:rPr>
        <w:t>e</w:t>
      </w:r>
      <w:r w:rsidRPr="0059240B">
        <w:rPr>
          <w:rFonts w:ascii="Times New Roman" w:eastAsia="Times New Roman" w:hAnsi="Times New Roman"/>
        </w:rPr>
        <w:t xml:space="preserve"> for payout annuity benefits</w:t>
      </w:r>
      <w:r w:rsidR="00DD7491" w:rsidRPr="0059240B">
        <w:rPr>
          <w:rFonts w:ascii="Times New Roman" w:eastAsia="Times New Roman" w:hAnsi="Times New Roman"/>
        </w:rPr>
        <w:t xml:space="preserve"> referenced above</w:t>
      </w:r>
      <w:r w:rsidR="00FD3B15" w:rsidRPr="0059240B">
        <w:rPr>
          <w:rFonts w:ascii="Times New Roman" w:eastAsia="Times New Roman" w:hAnsi="Times New Roman"/>
        </w:rPr>
        <w:t xml:space="preserve"> in </w:t>
      </w:r>
      <w:r w:rsidR="00DD7491" w:rsidRPr="0059240B">
        <w:rPr>
          <w:rFonts w:ascii="Times New Roman" w:eastAsia="Times New Roman" w:hAnsi="Times New Roman"/>
        </w:rPr>
        <w:t>Section 4.E.</w:t>
      </w:r>
      <w:r w:rsidR="00FD3B15" w:rsidRPr="0059240B">
        <w:rPr>
          <w:rFonts w:ascii="Times New Roman" w:eastAsia="Times New Roman" w:hAnsi="Times New Roman"/>
        </w:rPr>
        <w:t>2.a</w:t>
      </w:r>
      <w:r w:rsidRPr="0059240B">
        <w:rPr>
          <w:rFonts w:ascii="Times New Roman" w:eastAsia="Times New Roman" w:hAnsi="Times New Roman"/>
        </w:rPr>
        <w:t xml:space="preserve"> requires a parameter that is not determined in a formulaic fashion, the company must make a</w:t>
      </w:r>
      <w:r w:rsidR="00B31C82" w:rsidRPr="0059240B">
        <w:rPr>
          <w:rFonts w:ascii="Times New Roman" w:eastAsia="Times New Roman" w:hAnsi="Times New Roman"/>
        </w:rPr>
        <w:t xml:space="preserve"> reasonable and supportable</w:t>
      </w:r>
      <w:r w:rsidRPr="0059240B">
        <w:rPr>
          <w:rFonts w:ascii="Times New Roman" w:eastAsia="Times New Roman" w:hAnsi="Times New Roman"/>
        </w:rPr>
        <w:t xml:space="preserve"> assumption regarding this parameter.</w:t>
      </w:r>
    </w:p>
    <w:p w14:paraId="5EEBDA60" w14:textId="04D03DB3" w:rsidR="00186EB1" w:rsidRPr="0059240B" w:rsidRDefault="004159E3" w:rsidP="00186EB1">
      <w:pPr>
        <w:spacing w:after="220" w:line="240" w:lineRule="auto"/>
        <w:ind w:left="100"/>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r>
      <w:r w:rsidR="00186EB1" w:rsidRPr="0059240B">
        <w:rPr>
          <w:rFonts w:ascii="Times New Roman" w:eastAsia="Times New Roman" w:hAnsi="Times New Roman"/>
        </w:rPr>
        <w:t>Frequency of Projection and Time Horizon</w:t>
      </w:r>
    </w:p>
    <w:p w14:paraId="19258771" w14:textId="77777777" w:rsidR="00186EB1" w:rsidRPr="0059240B" w:rsidRDefault="00186EB1" w:rsidP="00186EB1">
      <w:pPr>
        <w:spacing w:after="220" w:line="240" w:lineRule="auto"/>
        <w:ind w:left="81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 xml:space="preserve">Use of an annual cash-flow frequency (“timestep”) is generally acceptable for benefits/features that are not sensitive to projection frequency. The lack of sensitivity to projection frequency should be validated by testing wherein the actuarycompany should determine that the use of a more frequent (i.e., </w:t>
      </w:r>
      <w:r w:rsidRPr="0059240B">
        <w:rPr>
          <w:rFonts w:ascii="Times New Roman" w:eastAsia="Times New Roman" w:hAnsi="Times New Roman"/>
        </w:rPr>
        <w:lastRenderedPageBreak/>
        <w:t>shorter) time step does not materially increase reserves. A more frequent time increment always should be used when the product features are sensitive to projection period frequency.</w:t>
      </w:r>
    </w:p>
    <w:p w14:paraId="4FC9C979" w14:textId="77777777" w:rsidR="00186EB1" w:rsidRPr="0059240B" w:rsidRDefault="00186EB1" w:rsidP="00186EB1">
      <w:pPr>
        <w:spacing w:after="220" w:line="240" w:lineRule="auto"/>
        <w:ind w:left="81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t>
      </w:r>
    </w:p>
    <w:p w14:paraId="02C1E41C" w14:textId="0B43157B" w:rsidR="00186EB1" w:rsidRPr="0059240B" w:rsidRDefault="00186EB1" w:rsidP="00FC117C">
      <w:pPr>
        <w:pBdr>
          <w:top w:val="single" w:sz="4" w:space="1" w:color="auto"/>
          <w:left w:val="single" w:sz="4" w:space="4" w:color="auto"/>
          <w:bottom w:val="single" w:sz="4" w:space="1" w:color="auto"/>
          <w:right w:val="single" w:sz="4" w:space="4" w:color="auto"/>
        </w:pBdr>
        <w:spacing w:after="220" w:line="240" w:lineRule="auto"/>
        <w:ind w:left="100"/>
        <w:rPr>
          <w:rFonts w:ascii="Times New Roman" w:eastAsia="Times New Roman" w:hAnsi="Times New Roman"/>
        </w:rPr>
      </w:pPr>
      <w:r w:rsidRPr="0059240B">
        <w:rPr>
          <w:rFonts w:ascii="Times New Roman" w:eastAsia="Times New Roman" w:hAnsi="Times New Roman"/>
        </w:rPr>
        <w:t>Guidance Note: As a general guide, the forecast horizon should not be less than 20 years.</w:t>
      </w:r>
    </w:p>
    <w:p w14:paraId="00A29857" w14:textId="1CE8D294" w:rsidR="00CC2E32" w:rsidRPr="0059240B" w:rsidRDefault="00186EB1" w:rsidP="00067EEF">
      <w:pPr>
        <w:spacing w:after="220" w:line="240" w:lineRule="auto"/>
        <w:ind w:left="100"/>
        <w:rPr>
          <w:rFonts w:ascii="Times New Roman" w:eastAsia="Times New Roman" w:hAnsi="Times New Roman"/>
        </w:rPr>
      </w:pPr>
      <w:r w:rsidRPr="0059240B">
        <w:rPr>
          <w:rFonts w:ascii="Times New Roman" w:eastAsia="Times New Roman" w:hAnsi="Times New Roman"/>
        </w:rPr>
        <w:t xml:space="preserve">G. </w:t>
      </w:r>
      <w:r w:rsidRPr="0059240B">
        <w:rPr>
          <w:rFonts w:ascii="Times New Roman" w:eastAsia="Times New Roman" w:hAnsi="Times New Roman"/>
        </w:rPr>
        <w:tab/>
      </w:r>
      <w:r w:rsidR="00CC2E32" w:rsidRPr="0059240B">
        <w:rPr>
          <w:rFonts w:ascii="Times New Roman" w:eastAsia="Times New Roman" w:hAnsi="Times New Roman"/>
        </w:rPr>
        <w:t>Compliance with ASOPs</w:t>
      </w:r>
    </w:p>
    <w:p w14:paraId="78BADF46" w14:textId="47F9D476" w:rsidR="00CC2E32" w:rsidRPr="0059240B" w:rsidRDefault="00CC2E32" w:rsidP="00940719">
      <w:pPr>
        <w:widowControl w:val="0"/>
        <w:spacing w:after="220" w:line="240" w:lineRule="auto"/>
        <w:ind w:left="720"/>
        <w:jc w:val="both"/>
        <w:rPr>
          <w:rFonts w:ascii="Times New Roman" w:eastAsia="Times New Roman" w:hAnsi="Times New Roman"/>
        </w:rPr>
      </w:pPr>
      <w:r w:rsidRPr="0059240B">
        <w:rPr>
          <w:rFonts w:ascii="Times New Roman" w:eastAsia="Times New Roman" w:hAnsi="Times New Roman"/>
        </w:rPr>
        <w:t xml:space="preserve">When determining </w:t>
      </w:r>
      <w:r w:rsidR="00FC117C" w:rsidRPr="0059240B">
        <w:rPr>
          <w:rFonts w:ascii="Times New Roman" w:eastAsia="Times New Roman" w:hAnsi="Times New Roman"/>
        </w:rPr>
        <w:t>a</w:t>
      </w:r>
      <w:r w:rsidRPr="0059240B">
        <w:rPr>
          <w:rFonts w:ascii="Times New Roman" w:eastAsia="Times New Roman" w:hAnsi="Times New Roman"/>
        </w:rPr>
        <w:t xml:space="preserve"> </w:t>
      </w:r>
      <w:r w:rsidR="006E6F7F" w:rsidRPr="0059240B">
        <w:rPr>
          <w:rFonts w:ascii="Times New Roman" w:eastAsia="Times New Roman" w:hAnsi="Times New Roman"/>
        </w:rPr>
        <w:t>stochastic reserve</w:t>
      </w:r>
      <w:r w:rsidRPr="0059240B">
        <w:rPr>
          <w:rFonts w:ascii="Times New Roman" w:eastAsia="Times New Roman" w:hAnsi="Times New Roman"/>
        </w:rPr>
        <w:t>, the</w:t>
      </w:r>
      <w:r w:rsidR="0031448A" w:rsidRPr="0059240B">
        <w:rPr>
          <w:rFonts w:ascii="Times New Roman" w:eastAsia="Times New Roman" w:hAnsi="Times New Roman"/>
        </w:rPr>
        <w:t xml:space="preserve"> </w:t>
      </w:r>
      <w:r w:rsidRPr="0059240B">
        <w:rPr>
          <w:rFonts w:ascii="Times New Roman" w:eastAsia="Times New Roman" w:hAnsi="Times New Roman"/>
        </w:rPr>
        <w:t>analysis shall conform to the ASOP</w:t>
      </w:r>
      <w:r w:rsidR="004A11AA" w:rsidRPr="0059240B">
        <w:rPr>
          <w:rFonts w:ascii="Times New Roman" w:eastAsia="Times New Roman" w:hAnsi="Times New Roman"/>
        </w:rPr>
        <w:t>s</w:t>
      </w:r>
      <w:r w:rsidRPr="0059240B">
        <w:rPr>
          <w:rFonts w:ascii="Times New Roman" w:eastAsia="Times New Roman" w:hAnsi="Times New Roman"/>
        </w:rPr>
        <w:t xml:space="preserve"> as promulgated from time to time by the </w:t>
      </w:r>
      <w:r w:rsidR="0035799C" w:rsidRPr="0059240B">
        <w:rPr>
          <w:rFonts w:ascii="Times New Roman" w:eastAsia="Times New Roman" w:hAnsi="Times New Roman"/>
        </w:rPr>
        <w:t>ASB</w:t>
      </w:r>
      <w:r w:rsidRPr="0059240B">
        <w:rPr>
          <w:rFonts w:ascii="Times New Roman" w:eastAsia="Times New Roman" w:hAnsi="Times New Roman"/>
        </w:rPr>
        <w:t>.</w:t>
      </w:r>
    </w:p>
    <w:p w14:paraId="34147DF0" w14:textId="12ACE812" w:rsidR="00CC2E32" w:rsidRPr="0059240B" w:rsidRDefault="00CC2E32" w:rsidP="00067EEF">
      <w:pPr>
        <w:widowControl w:val="0"/>
        <w:spacing w:after="220" w:line="240" w:lineRule="auto"/>
        <w:ind w:left="720"/>
        <w:rPr>
          <w:rFonts w:ascii="Times New Roman" w:eastAsia="Times New Roman" w:hAnsi="Times New Roman"/>
        </w:rPr>
      </w:pPr>
      <w:r w:rsidRPr="0059240B">
        <w:rPr>
          <w:rFonts w:ascii="Times New Roman" w:eastAsia="Times New Roman" w:hAnsi="Times New Roman"/>
        </w:rPr>
        <w:t xml:space="preserve">Under these requirements, </w:t>
      </w:r>
      <w:r w:rsidR="0031448A" w:rsidRPr="0059240B">
        <w:rPr>
          <w:rFonts w:ascii="Times New Roman" w:eastAsia="Times New Roman" w:hAnsi="Times New Roman"/>
        </w:rPr>
        <w:t>an</w:t>
      </w:r>
      <w:r w:rsidRPr="0059240B">
        <w:rPr>
          <w:rFonts w:ascii="Times New Roman" w:eastAsia="Times New Roman" w:hAnsi="Times New Roman"/>
        </w:rPr>
        <w:t xml:space="preserve"> actuary </w:t>
      </w:r>
      <w:r w:rsidR="0031448A" w:rsidRPr="0059240B">
        <w:rPr>
          <w:rFonts w:ascii="Times New Roman" w:eastAsia="Times New Roman" w:hAnsi="Times New Roman"/>
        </w:rPr>
        <w:t>will</w:t>
      </w:r>
      <w:r w:rsidRPr="0059240B">
        <w:rPr>
          <w:rFonts w:ascii="Times New Roman" w:eastAsia="Times New Roman" w:hAnsi="Times New Roman"/>
        </w:rPr>
        <w:t xml:space="preserve"> make various determinations, verifications and certifications. The company shall provide the actuary with the necessary information sufficient to permit the actuary to fulfill the responsibilities set forth in these requirements and responsibilities arising from applicable ASOP</w:t>
      </w:r>
      <w:r w:rsidR="00DD7491" w:rsidRPr="0059240B">
        <w:rPr>
          <w:rFonts w:ascii="Times New Roman" w:eastAsia="Times New Roman" w:hAnsi="Times New Roman"/>
        </w:rPr>
        <w:t>s</w:t>
      </w:r>
      <w:r w:rsidR="002D23AC" w:rsidRPr="0059240B">
        <w:rPr>
          <w:rFonts w:ascii="Times New Roman" w:eastAsia="Times New Roman" w:hAnsi="Times New Roman"/>
        </w:rPr>
        <w:t>.</w:t>
      </w:r>
    </w:p>
    <w:p w14:paraId="7F99CDF5" w14:textId="6B5CD7EF" w:rsidR="00CC2E32" w:rsidRPr="0059240B" w:rsidRDefault="00CC2E32" w:rsidP="00BF03C2">
      <w:pPr>
        <w:widowControl w:val="0"/>
        <w:spacing w:after="220" w:line="240" w:lineRule="auto"/>
        <w:ind w:left="720" w:hanging="720"/>
        <w:rPr>
          <w:rFonts w:ascii="Times New Roman" w:eastAsia="Times New Roman" w:hAnsi="Times New Roman"/>
        </w:rPr>
      </w:pPr>
      <w:r w:rsidRPr="0059240B">
        <w:rPr>
          <w:rFonts w:ascii="Times New Roman" w:eastAsia="Times New Roman" w:hAnsi="Times New Roman"/>
        </w:rPr>
        <w:t>.</w:t>
      </w:r>
    </w:p>
    <w:p w14:paraId="4A7F2484" w14:textId="0C8672C6" w:rsidR="00CC2E32" w:rsidRPr="0059240B" w:rsidRDefault="00CC2E32" w:rsidP="00CC2E32">
      <w:pPr>
        <w:pStyle w:val="Heading3"/>
        <w:keepNext/>
        <w:spacing w:after="220"/>
        <w:jc w:val="left"/>
        <w:rPr>
          <w:sz w:val="22"/>
          <w:szCs w:val="22"/>
        </w:rPr>
      </w:pPr>
      <w:bookmarkStart w:id="7" w:name="_Section_4._Reinsurance"/>
      <w:bookmarkEnd w:id="7"/>
      <w:r w:rsidRPr="0059240B">
        <w:rPr>
          <w:sz w:val="22"/>
          <w:szCs w:val="22"/>
        </w:rPr>
        <w:t xml:space="preserve">Section </w:t>
      </w:r>
      <w:r w:rsidR="00D964A8" w:rsidRPr="0059240B">
        <w:rPr>
          <w:sz w:val="22"/>
          <w:szCs w:val="22"/>
        </w:rPr>
        <w:t>5</w:t>
      </w:r>
      <w:r w:rsidRPr="0059240B">
        <w:rPr>
          <w:sz w:val="22"/>
          <w:szCs w:val="22"/>
        </w:rPr>
        <w:t xml:space="preserve">: Reinsurance </w:t>
      </w:r>
      <w:r w:rsidR="00042FCD" w:rsidRPr="0059240B">
        <w:rPr>
          <w:sz w:val="22"/>
          <w:szCs w:val="22"/>
        </w:rPr>
        <w:t>Ceded</w:t>
      </w:r>
    </w:p>
    <w:p w14:paraId="0AA8C72E" w14:textId="77777777" w:rsidR="00CC2E32" w:rsidRPr="0059240B" w:rsidRDefault="00CC2E32" w:rsidP="00067EEF">
      <w:pPr>
        <w:pStyle w:val="ListParagraph"/>
        <w:numPr>
          <w:ilvl w:val="0"/>
          <w:numId w:val="19"/>
        </w:numPr>
        <w:spacing w:after="220" w:line="240" w:lineRule="auto"/>
        <w:ind w:hanging="720"/>
        <w:contextualSpacing w:val="0"/>
        <w:rPr>
          <w:rFonts w:ascii="Times New Roman" w:eastAsia="Times New Roman" w:hAnsi="Times New Roman"/>
        </w:rPr>
      </w:pPr>
      <w:r w:rsidRPr="0059240B">
        <w:rPr>
          <w:rFonts w:ascii="Times New Roman" w:eastAsia="Times New Roman" w:hAnsi="Times New Roman"/>
        </w:rPr>
        <w:t>Treatment of Reinsurance Ceded in the Aggregate Reserve</w:t>
      </w:r>
    </w:p>
    <w:p w14:paraId="07EDE06B" w14:textId="04C9A6B4" w:rsidR="00CC2E32" w:rsidRPr="0059240B" w:rsidRDefault="00CC2E32" w:rsidP="00067EEF">
      <w:pPr>
        <w:pStyle w:val="ListParagraph"/>
        <w:numPr>
          <w:ilvl w:val="0"/>
          <w:numId w:val="20"/>
        </w:numPr>
        <w:spacing w:after="220" w:line="240" w:lineRule="auto"/>
        <w:ind w:left="1440" w:hanging="720"/>
        <w:contextualSpacing w:val="0"/>
        <w:rPr>
          <w:rFonts w:ascii="Times New Roman" w:eastAsia="Times New Roman" w:hAnsi="Times New Roman"/>
          <w:u w:val="single" w:color="000000"/>
        </w:rPr>
      </w:pPr>
      <w:r w:rsidRPr="0059240B">
        <w:rPr>
          <w:rFonts w:ascii="Times New Roman" w:eastAsia="Times New Roman" w:hAnsi="Times New Roman"/>
        </w:rPr>
        <w:t xml:space="preserve">Aggregate Reserve </w:t>
      </w:r>
      <w:r w:rsidR="00CC0F00" w:rsidRPr="0059240B">
        <w:rPr>
          <w:rFonts w:ascii="Times New Roman" w:eastAsia="Times New Roman" w:hAnsi="Times New Roman"/>
        </w:rPr>
        <w:t>Pre-</w:t>
      </w:r>
      <w:r w:rsidRPr="0059240B">
        <w:rPr>
          <w:rFonts w:ascii="Times New Roman" w:eastAsia="Times New Roman" w:hAnsi="Times New Roman"/>
        </w:rPr>
        <w:t xml:space="preserve"> and </w:t>
      </w:r>
      <w:r w:rsidR="00CC0F00" w:rsidRPr="0059240B">
        <w:rPr>
          <w:rFonts w:ascii="Times New Roman" w:eastAsia="Times New Roman" w:hAnsi="Times New Roman"/>
        </w:rPr>
        <w:t>Post-</w:t>
      </w:r>
      <w:r w:rsidRPr="0059240B">
        <w:rPr>
          <w:rFonts w:ascii="Times New Roman" w:eastAsia="Times New Roman" w:hAnsi="Times New Roman"/>
        </w:rPr>
        <w:t>Reinsurance Ceded</w:t>
      </w:r>
    </w:p>
    <w:p w14:paraId="4BC71EE5" w14:textId="1B66E482" w:rsidR="00CC2E32" w:rsidRPr="0059240B" w:rsidRDefault="00CC2E32" w:rsidP="00067EEF">
      <w:pPr>
        <w:pStyle w:val="ListParagraph"/>
        <w:spacing w:after="220" w:line="240" w:lineRule="auto"/>
        <w:ind w:left="1440"/>
        <w:contextualSpacing w:val="0"/>
        <w:rPr>
          <w:rFonts w:ascii="Times New Roman" w:eastAsia="Times New Roman" w:hAnsi="Times New Roman"/>
          <w:u w:val="single" w:color="000000"/>
        </w:rPr>
      </w:pPr>
      <w:r w:rsidRPr="0059240B">
        <w:rPr>
          <w:rFonts w:ascii="Times New Roman" w:eastAsia="Times New Roman" w:hAnsi="Times New Roman"/>
        </w:rPr>
        <w:t xml:space="preserve">As noted in Section </w:t>
      </w:r>
      <w:r w:rsidR="00466EA5" w:rsidRPr="0059240B">
        <w:rPr>
          <w:rFonts w:ascii="Times New Roman" w:eastAsia="Times New Roman" w:hAnsi="Times New Roman"/>
        </w:rPr>
        <w:t>3</w:t>
      </w:r>
      <w:r w:rsidRPr="0059240B">
        <w:rPr>
          <w:rFonts w:ascii="Times New Roman" w:eastAsia="Times New Roman" w:hAnsi="Times New Roman"/>
        </w:rPr>
        <w:t xml:space="preserve">.B, the aggregate reserve is determined </w:t>
      </w:r>
      <w:r w:rsidR="00FC117C" w:rsidRPr="0059240B">
        <w:rPr>
          <w:rFonts w:ascii="Times New Roman" w:eastAsia="Times New Roman" w:hAnsi="Times New Roman"/>
        </w:rPr>
        <w:t xml:space="preserve">both pre-reinsurance ceded and </w:t>
      </w:r>
      <w:r w:rsidR="0031448A" w:rsidRPr="0059240B">
        <w:rPr>
          <w:rFonts w:ascii="Times New Roman" w:eastAsia="Times New Roman" w:hAnsi="Times New Roman"/>
        </w:rPr>
        <w:t>post</w:t>
      </w:r>
      <w:r w:rsidR="00456184" w:rsidRPr="0059240B">
        <w:rPr>
          <w:rFonts w:ascii="Times New Roman" w:eastAsia="Times New Roman" w:hAnsi="Times New Roman"/>
        </w:rPr>
        <w:t>-</w:t>
      </w:r>
      <w:r w:rsidRPr="0059240B">
        <w:rPr>
          <w:rFonts w:ascii="Times New Roman" w:eastAsia="Times New Roman" w:hAnsi="Times New Roman"/>
        </w:rPr>
        <w:t xml:space="preserve">reinsurance ceded. Therefore, it is necessary to determine the components needed to determine the aggregate reserve (i.e., the additional standard projection amount, the </w:t>
      </w:r>
      <w:r w:rsidR="006E6F7F" w:rsidRPr="0059240B">
        <w:rPr>
          <w:rFonts w:ascii="Times New Roman" w:eastAsia="Times New Roman" w:hAnsi="Times New Roman"/>
        </w:rPr>
        <w:t>stochastic reserve</w:t>
      </w:r>
      <w:r w:rsidRPr="0059240B">
        <w:rPr>
          <w:rFonts w:ascii="Times New Roman" w:eastAsia="Times New Roman" w:hAnsi="Times New Roman"/>
        </w:rPr>
        <w:t xml:space="preserve"> determined using projections </w:t>
      </w:r>
      <w:r w:rsidR="00CC0F00" w:rsidRPr="0059240B">
        <w:rPr>
          <w:rFonts w:ascii="Times New Roman" w:eastAsia="Times New Roman" w:hAnsi="Times New Roman"/>
        </w:rPr>
        <w:t>and/</w:t>
      </w:r>
      <w:r w:rsidRPr="0059240B">
        <w:rPr>
          <w:rFonts w:ascii="Times New Roman" w:eastAsia="Times New Roman" w:hAnsi="Times New Roman"/>
        </w:rPr>
        <w:t xml:space="preserve">or the </w:t>
      </w:r>
      <w:r w:rsidR="006E6F7F" w:rsidRPr="0059240B">
        <w:rPr>
          <w:rFonts w:ascii="Times New Roman" w:eastAsia="Times New Roman" w:hAnsi="Times New Roman"/>
        </w:rPr>
        <w:t>reserve</w:t>
      </w:r>
      <w:r w:rsidRPr="0059240B">
        <w:rPr>
          <w:rFonts w:ascii="Times New Roman" w:eastAsia="Times New Roman" w:hAnsi="Times New Roman"/>
        </w:rPr>
        <w:t xml:space="preserve"> determined using the Alternative Methodology</w:t>
      </w:r>
      <w:r w:rsidR="00FC117C" w:rsidRPr="0059240B">
        <w:rPr>
          <w:rFonts w:ascii="Times New Roman" w:eastAsia="Times New Roman" w:hAnsi="Times New Roman"/>
        </w:rPr>
        <w:t>, as applicable</w:t>
      </w:r>
      <w:r w:rsidRPr="0059240B">
        <w:rPr>
          <w:rFonts w:ascii="Times New Roman" w:eastAsia="Times New Roman" w:hAnsi="Times New Roman"/>
        </w:rPr>
        <w:t xml:space="preserve">) on </w:t>
      </w:r>
      <w:r w:rsidR="00FC117C" w:rsidRPr="0059240B">
        <w:rPr>
          <w:rFonts w:ascii="Times New Roman" w:eastAsia="Times New Roman" w:hAnsi="Times New Roman"/>
        </w:rPr>
        <w:t>both bases</w:t>
      </w:r>
      <w:r w:rsidRPr="0059240B">
        <w:rPr>
          <w:rFonts w:ascii="Times New Roman" w:eastAsia="Times New Roman" w:hAnsi="Times New Roman"/>
        </w:rPr>
        <w:t>.. Section</w:t>
      </w:r>
      <w:r w:rsidR="00E468E3" w:rsidRPr="0059240B">
        <w:rPr>
          <w:rFonts w:ascii="Times New Roman" w:eastAsia="Times New Roman" w:hAnsi="Times New Roman"/>
        </w:rPr>
        <w:t>s</w:t>
      </w:r>
      <w:r w:rsidRPr="0059240B">
        <w:rPr>
          <w:rFonts w:ascii="Times New Roman" w:eastAsia="Times New Roman" w:hAnsi="Times New Roman"/>
        </w:rPr>
        <w:t xml:space="preserve"> </w:t>
      </w:r>
      <w:r w:rsidR="00456184" w:rsidRPr="0059240B">
        <w:rPr>
          <w:rFonts w:ascii="Times New Roman" w:eastAsia="Times New Roman" w:hAnsi="Times New Roman"/>
        </w:rPr>
        <w:t>5</w:t>
      </w:r>
      <w:r w:rsidRPr="0059240B">
        <w:rPr>
          <w:rFonts w:ascii="Times New Roman" w:eastAsia="Times New Roman" w:hAnsi="Times New Roman"/>
        </w:rPr>
        <w:t xml:space="preserve">.A.2 through Section </w:t>
      </w:r>
      <w:r w:rsidR="00456184" w:rsidRPr="0059240B">
        <w:rPr>
          <w:rFonts w:ascii="Times New Roman" w:eastAsia="Times New Roman" w:hAnsi="Times New Roman"/>
        </w:rPr>
        <w:t>5</w:t>
      </w:r>
      <w:r w:rsidRPr="0059240B">
        <w:rPr>
          <w:rFonts w:ascii="Times New Roman" w:eastAsia="Times New Roman" w:hAnsi="Times New Roman"/>
        </w:rPr>
        <w:t xml:space="preserve">.A.4 discuss </w:t>
      </w:r>
      <w:r w:rsidR="00456184" w:rsidRPr="0059240B">
        <w:rPr>
          <w:rFonts w:ascii="Times New Roman" w:eastAsia="Times New Roman" w:hAnsi="Times New Roman"/>
        </w:rPr>
        <w:t xml:space="preserve">adjustments to inputs </w:t>
      </w:r>
      <w:r w:rsidRPr="0059240B">
        <w:rPr>
          <w:rFonts w:ascii="Times New Roman" w:eastAsia="Times New Roman" w:hAnsi="Times New Roman"/>
        </w:rPr>
        <w:t xml:space="preserve">necessary to determine these components on both a </w:t>
      </w:r>
      <w:r w:rsidR="0031448A" w:rsidRPr="0059240B">
        <w:rPr>
          <w:rFonts w:ascii="Times New Roman" w:eastAsia="Times New Roman" w:hAnsi="Times New Roman"/>
        </w:rPr>
        <w:t>post-</w:t>
      </w:r>
      <w:r w:rsidRPr="0059240B">
        <w:rPr>
          <w:rFonts w:ascii="Times New Roman" w:eastAsia="Times New Roman" w:hAnsi="Times New Roman"/>
        </w:rPr>
        <w:t xml:space="preserve">reinsurance </w:t>
      </w:r>
      <w:r w:rsidR="00042FCD" w:rsidRPr="0059240B">
        <w:rPr>
          <w:rFonts w:ascii="Times New Roman" w:eastAsia="Times New Roman" w:hAnsi="Times New Roman"/>
        </w:rPr>
        <w:t xml:space="preserve">ceded </w:t>
      </w:r>
      <w:r w:rsidRPr="0059240B">
        <w:rPr>
          <w:rFonts w:ascii="Times New Roman" w:eastAsia="Times New Roman" w:hAnsi="Times New Roman"/>
        </w:rPr>
        <w:t xml:space="preserve">and a </w:t>
      </w:r>
      <w:r w:rsidR="0031448A" w:rsidRPr="0059240B">
        <w:rPr>
          <w:rFonts w:ascii="Times New Roman" w:eastAsia="Times New Roman" w:hAnsi="Times New Roman"/>
        </w:rPr>
        <w:t>pre-</w:t>
      </w:r>
      <w:r w:rsidRPr="0059240B">
        <w:rPr>
          <w:rFonts w:ascii="Times New Roman" w:eastAsia="Times New Roman" w:hAnsi="Times New Roman"/>
        </w:rPr>
        <w:t>reinsurance</w:t>
      </w:r>
      <w:r w:rsidR="00042FCD" w:rsidRPr="0059240B">
        <w:rPr>
          <w:rFonts w:ascii="Times New Roman" w:eastAsia="Times New Roman" w:hAnsi="Times New Roman"/>
        </w:rPr>
        <w:t xml:space="preserve"> ceded</w:t>
      </w:r>
      <w:r w:rsidRPr="0059240B">
        <w:rPr>
          <w:rFonts w:ascii="Times New Roman" w:eastAsia="Times New Roman" w:hAnsi="Times New Roman"/>
        </w:rPr>
        <w:t xml:space="preserve"> basis. Note that due allowance for reasonable approximations may be used where appropriate.</w:t>
      </w:r>
    </w:p>
    <w:p w14:paraId="30F90F9C" w14:textId="5105DA8E"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r>
      <w:r w:rsidR="004B5D3F" w:rsidRPr="0059240B">
        <w:rPr>
          <w:rFonts w:ascii="Times New Roman" w:eastAsia="Times New Roman" w:hAnsi="Times New Roman"/>
        </w:rPr>
        <w:t>Stochastic Reserve</w:t>
      </w:r>
      <w:r w:rsidRPr="0059240B">
        <w:rPr>
          <w:rFonts w:ascii="Times New Roman" w:eastAsia="Times New Roman" w:hAnsi="Times New Roman"/>
        </w:rPr>
        <w:t>s</w:t>
      </w:r>
    </w:p>
    <w:p w14:paraId="5DD89409" w14:textId="53C7EFF5"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In order to determine the aggregate reserve </w:t>
      </w:r>
      <w:r w:rsidR="0031448A" w:rsidRPr="0059240B">
        <w:rPr>
          <w:rFonts w:ascii="Times New Roman" w:eastAsia="Times New Roman" w:hAnsi="Times New Roman"/>
        </w:rPr>
        <w:t>post</w:t>
      </w:r>
      <w:r w:rsidR="00456184" w:rsidRPr="0059240B">
        <w:rPr>
          <w:rFonts w:ascii="Times New Roman" w:eastAsia="Times New Roman" w:hAnsi="Times New Roman"/>
        </w:rPr>
        <w:t>-</w:t>
      </w:r>
      <w:r w:rsidRPr="0059240B">
        <w:rPr>
          <w:rFonts w:ascii="Times New Roman" w:eastAsia="Times New Roman" w:hAnsi="Times New Roman"/>
        </w:rPr>
        <w:t xml:space="preserve">reinsurance ceded, accumulated deficiencies, </w:t>
      </w:r>
      <w:r w:rsidR="00543F27" w:rsidRPr="0059240B">
        <w:rPr>
          <w:rFonts w:ascii="Times New Roman" w:eastAsia="Times New Roman" w:hAnsi="Times New Roman"/>
        </w:rPr>
        <w:t xml:space="preserve">scenario reserves </w:t>
      </w:r>
      <w:r w:rsidRPr="0059240B">
        <w:rPr>
          <w:rFonts w:ascii="Times New Roman" w:eastAsia="Times New Roman" w:hAnsi="Times New Roman"/>
        </w:rPr>
        <w:t xml:space="preserve">and the resulting </w:t>
      </w:r>
      <w:r w:rsidR="009623D8" w:rsidRPr="0059240B">
        <w:rPr>
          <w:rFonts w:ascii="Times New Roman" w:eastAsia="Times New Roman" w:hAnsi="Times New Roman"/>
        </w:rPr>
        <w:t xml:space="preserve">stochastic reserve </w:t>
      </w:r>
      <w:r w:rsidRPr="0059240B">
        <w:rPr>
          <w:rFonts w:ascii="Times New Roman" w:eastAsia="Times New Roman" w:hAnsi="Times New Roman"/>
        </w:rPr>
        <w:t>shall be determined reflecting the effects of reinsurance treaties that meet the statutory requirements that would allow the treaty to be accounted for as reinsurance within statutory accounting. 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t>
      </w:r>
    </w:p>
    <w:p w14:paraId="58B3F83B" w14:textId="71C3583F"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In order to determine the </w:t>
      </w:r>
      <w:r w:rsidR="009623D8" w:rsidRPr="0059240B">
        <w:rPr>
          <w:rFonts w:ascii="Times New Roman" w:eastAsia="Times New Roman" w:hAnsi="Times New Roman"/>
        </w:rPr>
        <w:t>stochastic reserve</w:t>
      </w:r>
      <w:r w:rsidR="009623D8" w:rsidRPr="0059240B" w:rsidDel="009623D8">
        <w:rPr>
          <w:rFonts w:ascii="Times New Roman" w:eastAsia="Times New Roman" w:hAnsi="Times New Roman"/>
        </w:rPr>
        <w:t xml:space="preserve"> </w:t>
      </w:r>
      <w:r w:rsidR="0031448A" w:rsidRPr="0059240B">
        <w:rPr>
          <w:rFonts w:ascii="Times New Roman" w:eastAsia="Times New Roman" w:hAnsi="Times New Roman"/>
        </w:rPr>
        <w:t>pre-</w:t>
      </w:r>
      <w:r w:rsidRPr="0059240B">
        <w:rPr>
          <w:rFonts w:ascii="Times New Roman" w:eastAsia="Times New Roman" w:hAnsi="Times New Roman"/>
        </w:rPr>
        <w:t xml:space="preserve">reinsurance ceded, accumulated deficiencies, </w:t>
      </w:r>
      <w:r w:rsidR="00543F27" w:rsidRPr="0059240B">
        <w:rPr>
          <w:rFonts w:ascii="Times New Roman" w:eastAsia="Times New Roman" w:hAnsi="Times New Roman"/>
        </w:rPr>
        <w:t>scenario reserves</w:t>
      </w:r>
      <w:r w:rsidRPr="0059240B">
        <w:rPr>
          <w:rFonts w:ascii="Times New Roman" w:eastAsia="Times New Roman" w:hAnsi="Times New Roman"/>
        </w:rPr>
        <w:t xml:space="preserve"> and the resulting </w:t>
      </w:r>
      <w:r w:rsidR="009623D8" w:rsidRPr="0059240B">
        <w:rPr>
          <w:rFonts w:ascii="Times New Roman" w:eastAsia="Times New Roman" w:hAnsi="Times New Roman"/>
        </w:rPr>
        <w:t>stochastic reserve</w:t>
      </w:r>
      <w:r w:rsidR="009623D8" w:rsidRPr="0059240B" w:rsidDel="009623D8">
        <w:rPr>
          <w:rFonts w:ascii="Times New Roman" w:eastAsia="Times New Roman" w:hAnsi="Times New Roman"/>
        </w:rPr>
        <w:t xml:space="preserve"> </w:t>
      </w:r>
      <w:r w:rsidRPr="0059240B">
        <w:rPr>
          <w:rFonts w:ascii="Times New Roman" w:eastAsia="Times New Roman" w:hAnsi="Times New Roman"/>
        </w:rPr>
        <w:t xml:space="preserve">shall be determined ignoring the effects of reinsurance </w:t>
      </w:r>
      <w:r w:rsidR="00042FCD" w:rsidRPr="0059240B">
        <w:rPr>
          <w:rFonts w:ascii="Times New Roman" w:eastAsia="Times New Roman" w:hAnsi="Times New Roman"/>
        </w:rPr>
        <w:t xml:space="preserve">ceded </w:t>
      </w:r>
      <w:r w:rsidRPr="0059240B">
        <w:rPr>
          <w:rFonts w:ascii="Times New Roman" w:eastAsia="Times New Roman" w:hAnsi="Times New Roman"/>
        </w:rPr>
        <w:t xml:space="preserve">within the projections. One acceptable approach involves a projection based on the same starting asset amount as for the aggregate reserve </w:t>
      </w:r>
      <w:r w:rsidR="00042FCD" w:rsidRPr="0059240B">
        <w:rPr>
          <w:rFonts w:ascii="Times New Roman" w:eastAsia="Times New Roman" w:hAnsi="Times New Roman"/>
        </w:rPr>
        <w:t>post-</w:t>
      </w:r>
      <w:r w:rsidRPr="0059240B">
        <w:rPr>
          <w:rFonts w:ascii="Times New Roman" w:eastAsia="Times New Roman" w:hAnsi="Times New Roman"/>
        </w:rPr>
        <w:t xml:space="preserve">reinsurance </w:t>
      </w:r>
      <w:r w:rsidR="00042FCD" w:rsidRPr="0059240B">
        <w:rPr>
          <w:rFonts w:ascii="Times New Roman" w:eastAsia="Times New Roman" w:hAnsi="Times New Roman"/>
        </w:rPr>
        <w:t xml:space="preserve">ceded </w:t>
      </w:r>
      <w:r w:rsidRPr="0059240B">
        <w:rPr>
          <w:rFonts w:ascii="Times New Roman" w:eastAsia="Times New Roman" w:hAnsi="Times New Roman"/>
        </w:rPr>
        <w:t>and by ignoring, where appropriate, all anticipated reinsurance premiums or other costs and all reinsurance recoveries in the projections.</w:t>
      </w:r>
    </w:p>
    <w:p w14:paraId="0B46DCE8" w14:textId="797DA74A"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lastRenderedPageBreak/>
        <w:t>3.</w:t>
      </w:r>
      <w:r w:rsidRPr="0059240B">
        <w:rPr>
          <w:rFonts w:ascii="Times New Roman" w:eastAsia="Times New Roman" w:hAnsi="Times New Roman"/>
        </w:rPr>
        <w:tab/>
      </w:r>
      <w:r w:rsidR="008D6861" w:rsidRPr="0059240B">
        <w:rPr>
          <w:rFonts w:ascii="Times New Roman" w:eastAsia="Times New Roman" w:hAnsi="Times New Roman"/>
        </w:rPr>
        <w:t>Reserve</w:t>
      </w:r>
      <w:r w:rsidRPr="0059240B">
        <w:rPr>
          <w:rFonts w:ascii="Times New Roman" w:eastAsia="Times New Roman" w:hAnsi="Times New Roman"/>
        </w:rPr>
        <w:t xml:space="preserve"> Determined using the Alternative Methodology</w:t>
      </w:r>
    </w:p>
    <w:p w14:paraId="38957238" w14:textId="1A305D74"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If a company chooses to use the Alternative Methodology, as allowed in Section </w:t>
      </w:r>
      <w:r w:rsidR="00DE5A16" w:rsidRPr="0059240B">
        <w:rPr>
          <w:rFonts w:ascii="Times New Roman" w:eastAsia="Times New Roman" w:hAnsi="Times New Roman"/>
        </w:rPr>
        <w:t>3</w:t>
      </w:r>
      <w:r w:rsidRPr="0059240B">
        <w:rPr>
          <w:rFonts w:ascii="Times New Roman" w:eastAsia="Times New Roman" w:hAnsi="Times New Roman"/>
        </w:rPr>
        <w:t>.E, it is important to note that the methodology produces reserves on a pr</w:t>
      </w:r>
      <w:r w:rsidR="00DE5A16" w:rsidRPr="0059240B">
        <w:rPr>
          <w:rFonts w:ascii="Times New Roman" w:eastAsia="Times New Roman" w:hAnsi="Times New Roman"/>
        </w:rPr>
        <w:t>e-</w:t>
      </w:r>
      <w:r w:rsidRPr="0059240B">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aggregate reserve </w:t>
      </w:r>
      <w:r w:rsidR="00DE5A16" w:rsidRPr="0059240B">
        <w:rPr>
          <w:rFonts w:ascii="Times New Roman" w:eastAsia="Times New Roman" w:hAnsi="Times New Roman"/>
        </w:rPr>
        <w:t>post-</w:t>
      </w:r>
      <w:r w:rsidRPr="0059240B">
        <w:rPr>
          <w:rFonts w:ascii="Times New Roman" w:eastAsia="Times New Roman" w:hAnsi="Times New Roman"/>
        </w:rPr>
        <w:t>reinsurance</w:t>
      </w:r>
      <w:r w:rsidR="00DE5A16" w:rsidRPr="0059240B">
        <w:rPr>
          <w:rFonts w:ascii="Times New Roman" w:eastAsia="Times New Roman" w:hAnsi="Times New Roman"/>
        </w:rPr>
        <w:t xml:space="preserve"> ceded</w:t>
      </w:r>
      <w:r w:rsidRPr="0059240B">
        <w:rPr>
          <w:rFonts w:ascii="Times New Roman" w:eastAsia="Times New Roman" w:hAnsi="Times New Roman"/>
        </w:rPr>
        <w:t xml:space="preserve">. In addition, the Alternative Methodology, unadjusted for reinsurance, shall be applied to the contracts falling under the scope of these requirements to determine the </w:t>
      </w:r>
      <w:r w:rsidR="00CC0F00" w:rsidRPr="0059240B">
        <w:rPr>
          <w:rFonts w:ascii="Times New Roman" w:eastAsia="Times New Roman" w:hAnsi="Times New Roman"/>
        </w:rPr>
        <w:t>a</w:t>
      </w:r>
      <w:r w:rsidRPr="0059240B">
        <w:rPr>
          <w:rFonts w:ascii="Times New Roman" w:eastAsia="Times New Roman" w:hAnsi="Times New Roman"/>
        </w:rPr>
        <w:t xml:space="preserve">ggregate </w:t>
      </w:r>
      <w:r w:rsidR="00CC0F00" w:rsidRPr="0059240B">
        <w:rPr>
          <w:rFonts w:ascii="Times New Roman" w:eastAsia="Times New Roman" w:hAnsi="Times New Roman"/>
        </w:rPr>
        <w:t>r</w:t>
      </w:r>
      <w:r w:rsidRPr="0059240B">
        <w:rPr>
          <w:rFonts w:ascii="Times New Roman" w:eastAsia="Times New Roman" w:hAnsi="Times New Roman"/>
        </w:rPr>
        <w:t xml:space="preserve">eserve </w:t>
      </w:r>
      <w:r w:rsidR="00DE5A16" w:rsidRPr="0059240B">
        <w:rPr>
          <w:rFonts w:ascii="Times New Roman" w:eastAsia="Times New Roman" w:hAnsi="Times New Roman"/>
        </w:rPr>
        <w:t>pre-</w:t>
      </w:r>
      <w:r w:rsidRPr="0059240B">
        <w:rPr>
          <w:rFonts w:ascii="Times New Roman" w:eastAsia="Times New Roman" w:hAnsi="Times New Roman"/>
        </w:rPr>
        <w:t>reinsurance</w:t>
      </w:r>
      <w:r w:rsidR="00DE5A16" w:rsidRPr="0059240B">
        <w:rPr>
          <w:rFonts w:ascii="Times New Roman" w:eastAsia="Times New Roman" w:hAnsi="Times New Roman"/>
        </w:rPr>
        <w:t xml:space="preserve"> ceded</w:t>
      </w:r>
      <w:r w:rsidRPr="0059240B">
        <w:rPr>
          <w:rFonts w:ascii="Times New Roman" w:eastAsia="Times New Roman" w:hAnsi="Times New Roman"/>
        </w:rPr>
        <w:t>.</w:t>
      </w:r>
    </w:p>
    <w:p w14:paraId="584BA230" w14:textId="4C7DE822" w:rsidR="00CC2E32" w:rsidRPr="0059240B" w:rsidRDefault="00CC2E32"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Additional Standard Projection Amount</w:t>
      </w:r>
    </w:p>
    <w:p w14:paraId="6899EF17" w14:textId="356F532B" w:rsidR="00CC2E32" w:rsidRPr="0059240B" w:rsidRDefault="00CC2E32" w:rsidP="00067EEF">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Where reinsurance is ceded, the additional standard projection amount shall be calculated as described in Section </w:t>
      </w:r>
      <w:r w:rsidR="009623D8" w:rsidRPr="0059240B">
        <w:rPr>
          <w:rFonts w:ascii="Times New Roman" w:eastAsia="Times New Roman" w:hAnsi="Times New Roman"/>
        </w:rPr>
        <w:t>6</w:t>
      </w:r>
      <w:r w:rsidRPr="0059240B">
        <w:rPr>
          <w:rFonts w:ascii="Times New Roman" w:eastAsia="Times New Roman" w:hAnsi="Times New Roman"/>
        </w:rPr>
        <w:t xml:space="preserve"> to reflect the reinsurance costs and reinsurance recoveries under the reinsurance treaties.  The additional standard projection amount shall also </w:t>
      </w:r>
      <w:r w:rsidR="00E468E3" w:rsidRPr="0059240B">
        <w:rPr>
          <w:rFonts w:ascii="Times New Roman" w:eastAsia="Times New Roman" w:hAnsi="Times New Roman"/>
        </w:rPr>
        <w:t xml:space="preserve">be </w:t>
      </w:r>
      <w:r w:rsidRPr="0059240B">
        <w:rPr>
          <w:rFonts w:ascii="Times New Roman" w:eastAsia="Times New Roman" w:hAnsi="Times New Roman"/>
        </w:rPr>
        <w:t xml:space="preserve">calculated </w:t>
      </w:r>
      <w:r w:rsidR="00042FCD" w:rsidRPr="0059240B">
        <w:rPr>
          <w:rFonts w:ascii="Times New Roman" w:eastAsia="Times New Roman" w:hAnsi="Times New Roman"/>
        </w:rPr>
        <w:t>pre-</w:t>
      </w:r>
      <w:r w:rsidRPr="0059240B">
        <w:rPr>
          <w:rFonts w:ascii="Times New Roman" w:eastAsia="Times New Roman" w:hAnsi="Times New Roman"/>
        </w:rPr>
        <w:t xml:space="preserve">reinsurance ceded using the methods described in Section </w:t>
      </w:r>
      <w:r w:rsidR="009623D8" w:rsidRPr="0059240B">
        <w:rPr>
          <w:rFonts w:ascii="Times New Roman" w:eastAsia="Times New Roman" w:hAnsi="Times New Roman"/>
        </w:rPr>
        <w:t>6</w:t>
      </w:r>
      <w:r w:rsidRPr="0059240B">
        <w:rPr>
          <w:rFonts w:ascii="Times New Roman" w:eastAsia="Times New Roman" w:hAnsi="Times New Roman"/>
        </w:rPr>
        <w:t>, but ignoring the effects of the reinsurance ceded.</w:t>
      </w:r>
    </w:p>
    <w:p w14:paraId="69DAEDCE" w14:textId="0AD65D09" w:rsidR="003129FE" w:rsidRPr="0059240B" w:rsidRDefault="003129FE">
      <w:pPr>
        <w:rPr>
          <w:rFonts w:ascii="Times New Roman" w:eastAsia="Times New Roman" w:hAnsi="Times New Roman"/>
        </w:rPr>
      </w:pPr>
      <w:bookmarkStart w:id="8" w:name="_VM-25:_HEALTH_INSURANCE"/>
      <w:bookmarkStart w:id="9" w:name="_VM-22:__MAXIMUM"/>
      <w:bookmarkStart w:id="10" w:name="_Section_5._Standard"/>
      <w:bookmarkStart w:id="11" w:name="_Section_6._Alternative"/>
      <w:bookmarkStart w:id="12" w:name="_Section_7._Scenario"/>
      <w:bookmarkStart w:id="13" w:name="_Section_8._Allocation"/>
      <w:bookmarkStart w:id="14" w:name="_Section_9._Modeling"/>
      <w:bookmarkStart w:id="15" w:name="_Section_10._Certification"/>
      <w:bookmarkStart w:id="16" w:name="_Section_11._Contractholder"/>
      <w:bookmarkStart w:id="17" w:name="_Section_12._Specific"/>
      <w:bookmarkStart w:id="18" w:name="_APPENDIX_1_–"/>
      <w:bookmarkEnd w:id="3"/>
      <w:bookmarkEnd w:id="4"/>
      <w:bookmarkEnd w:id="8"/>
      <w:bookmarkEnd w:id="9"/>
      <w:bookmarkEnd w:id="10"/>
      <w:bookmarkEnd w:id="11"/>
      <w:bookmarkEnd w:id="12"/>
      <w:bookmarkEnd w:id="13"/>
      <w:bookmarkEnd w:id="14"/>
      <w:bookmarkEnd w:id="15"/>
      <w:bookmarkEnd w:id="16"/>
      <w:bookmarkEnd w:id="17"/>
      <w:bookmarkEnd w:id="18"/>
      <w:r w:rsidRPr="0059240B">
        <w:rPr>
          <w:rFonts w:ascii="Times New Roman" w:eastAsia="Times New Roman" w:hAnsi="Times New Roman"/>
        </w:rPr>
        <w:br w:type="page"/>
      </w:r>
    </w:p>
    <w:p w14:paraId="274F67A6" w14:textId="164FDC41" w:rsidR="003129FE" w:rsidRPr="0059240B" w:rsidRDefault="003129FE" w:rsidP="004E4618">
      <w:pPr>
        <w:pStyle w:val="Heading3"/>
        <w:spacing w:after="220"/>
        <w:jc w:val="left"/>
        <w:rPr>
          <w:sz w:val="22"/>
          <w:szCs w:val="22"/>
        </w:rPr>
      </w:pPr>
      <w:r w:rsidRPr="0059240B">
        <w:rPr>
          <w:sz w:val="22"/>
          <w:szCs w:val="22"/>
        </w:rPr>
        <w:lastRenderedPageBreak/>
        <w:t>Section 6: Requirements for the Additional Standard Projection Amount</w:t>
      </w:r>
    </w:p>
    <w:p w14:paraId="2C482273" w14:textId="230BD88E" w:rsidR="003129FE" w:rsidRPr="0059240B" w:rsidRDefault="003129FE" w:rsidP="00067EEF">
      <w:pPr>
        <w:spacing w:after="220" w:line="240" w:lineRule="auto"/>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Overview</w:t>
      </w:r>
    </w:p>
    <w:p w14:paraId="665E52C4" w14:textId="3ACC91D0" w:rsidR="003129FE" w:rsidRPr="0059240B" w:rsidRDefault="003129FE" w:rsidP="004E4618">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Determining the Additional Standard Projection Amount</w:t>
      </w:r>
    </w:p>
    <w:p w14:paraId="4B9A23DC" w14:textId="6DE844B0" w:rsidR="003129FE" w:rsidRPr="0059240B" w:rsidRDefault="003129FE" w:rsidP="00067EEF">
      <w:pPr>
        <w:spacing w:after="220" w:line="240" w:lineRule="auto"/>
        <w:ind w:left="1440"/>
        <w:rPr>
          <w:rFonts w:ascii="Times New Roman" w:eastAsia="Times New Roman" w:hAnsi="Times New Roman"/>
        </w:rPr>
      </w:pPr>
      <w:r w:rsidRPr="0059240B">
        <w:rPr>
          <w:rFonts w:ascii="Times New Roman" w:eastAsia="Times New Roman" w:hAnsi="Times New Roman"/>
        </w:rPr>
        <w:t>a.  The additional standard projection amount shall be</w:t>
      </w:r>
      <w:r w:rsidR="00B54CC2" w:rsidRPr="0059240B">
        <w:rPr>
          <w:rFonts w:ascii="Times New Roman" w:eastAsia="Times New Roman" w:hAnsi="Times New Roman"/>
        </w:rPr>
        <w:t xml:space="preserve"> the larger of zero and an amount</w:t>
      </w:r>
      <w:r w:rsidRPr="0059240B">
        <w:rPr>
          <w:rFonts w:ascii="Times New Roman" w:eastAsia="Times New Roman" w:hAnsi="Times New Roman"/>
        </w:rPr>
        <w:t xml:space="preserve"> determined in aggregate for all contracts falling under the scope of these requirements, excluding those contracts to which the Alternative Methodology is applied, by calculating the Prescribed Projections Amount by one of two methods,</w:t>
      </w:r>
      <w:r w:rsidR="009243C5" w:rsidRPr="0059240B">
        <w:rPr>
          <w:rFonts w:ascii="Times New Roman" w:eastAsia="Times New Roman" w:hAnsi="Times New Roman"/>
        </w:rPr>
        <w:t xml:space="preserve"> the Company-Specific Market </w:t>
      </w:r>
      <w:r w:rsidR="00CE59F0" w:rsidRPr="0059240B">
        <w:rPr>
          <w:rFonts w:ascii="Times New Roman" w:eastAsia="Times New Roman" w:hAnsi="Times New Roman"/>
        </w:rPr>
        <w:t>Path (</w:t>
      </w:r>
      <w:r w:rsidR="009243C5" w:rsidRPr="0059240B">
        <w:rPr>
          <w:rFonts w:ascii="Times New Roman" w:eastAsia="Times New Roman" w:hAnsi="Times New Roman"/>
        </w:rPr>
        <w:t xml:space="preserve">CSMP) method or the CTE with Prescribed Assumptions (CTEPA) </w:t>
      </w:r>
      <w:r w:rsidR="00CE59F0" w:rsidRPr="0059240B">
        <w:rPr>
          <w:rFonts w:ascii="Times New Roman" w:eastAsia="Times New Roman" w:hAnsi="Times New Roman"/>
        </w:rPr>
        <w:t>method</w:t>
      </w:r>
      <w:r w:rsidRPr="0059240B">
        <w:rPr>
          <w:rFonts w:ascii="Times New Roman" w:eastAsia="Times New Roman" w:hAnsi="Times New Roman"/>
        </w:rPr>
        <w:t>.</w:t>
      </w:r>
      <w:r w:rsidR="00D816F2" w:rsidRPr="0059240B">
        <w:rPr>
          <w:rFonts w:ascii="Times New Roman" w:eastAsia="Times New Roman" w:hAnsi="Times New Roman"/>
        </w:rPr>
        <w:t xml:space="preserve"> The company shall assess the impact of aggregation on the additional standard projection amount.</w:t>
      </w:r>
    </w:p>
    <w:p w14:paraId="2BC324AF" w14:textId="77777777" w:rsidR="00D816F2" w:rsidRPr="0059240B"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sz w:val="24"/>
          <w:szCs w:val="24"/>
        </w:rPr>
      </w:pPr>
      <w:r w:rsidRPr="0059240B">
        <w:rPr>
          <w:rFonts w:ascii="Times New Roman" w:eastAsia="Times New Roman" w:hAnsi="Times New Roman"/>
          <w:sz w:val="24"/>
          <w:szCs w:val="24"/>
        </w:rPr>
        <w:t>Guidance Note: The following outlines one method that may be used to assess the impact of aggregation. If a company plans to use a different method, they should discuss that method with their domiciliary commissioner.</w:t>
      </w:r>
    </w:p>
    <w:p w14:paraId="78631B7F" w14:textId="77777777" w:rsidR="00D816F2" w:rsidRPr="0059240B"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sz w:val="24"/>
          <w:szCs w:val="24"/>
        </w:rPr>
      </w:pPr>
      <w:r w:rsidRPr="0059240B">
        <w:rPr>
          <w:rFonts w:ascii="Times New Roman" w:eastAsia="Times New Roman" w:hAnsi="Times New Roman"/>
          <w:sz w:val="24"/>
          <w:szCs w:val="24"/>
        </w:rPr>
        <w:t>If a company uses the CSMP method, the benefit of aggregation is determined using the following steps, based on Path A, and using prescribed assumptions and discount rates used to calculate prescribed Amount A:</w:t>
      </w:r>
    </w:p>
    <w:p w14:paraId="0D22D3BF" w14:textId="77777777" w:rsidR="00D816F2" w:rsidRPr="0059240B"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sz w:val="24"/>
          <w:szCs w:val="24"/>
        </w:rPr>
      </w:pPr>
      <w:r w:rsidRPr="0059240B">
        <w:rPr>
          <w:rFonts w:ascii="Times New Roman" w:eastAsia="Times New Roman" w:hAnsi="Times New Roman"/>
          <w:sz w:val="24"/>
          <w:szCs w:val="24"/>
        </w:rPr>
        <w:t xml:space="preserve">1.         Calculate the present value of each contract’s accumulated deficiency up through the duration of the aggregate GPVAD. When determining the contract accumulated deficiency: (a) contract starting assets equal CSV, (b) contract level starting assets include both separate account and general account assets, and exclude any hedge assets, (c) discount rate for the PVAD is the NAER, and (d) for a contract that terminates prior to the duration of the GPVAD, there will no longer be liability cash flows, but assets (positive or negative) continue to accumulate. </w:t>
      </w:r>
    </w:p>
    <w:p w14:paraId="0C21FC90" w14:textId="77777777" w:rsidR="00D816F2" w:rsidRPr="0059240B"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sz w:val="24"/>
          <w:szCs w:val="24"/>
        </w:rPr>
      </w:pPr>
      <w:r w:rsidRPr="0059240B">
        <w:rPr>
          <w:rFonts w:ascii="Times New Roman" w:eastAsia="Times New Roman" w:hAnsi="Times New Roman"/>
          <w:sz w:val="24"/>
          <w:szCs w:val="24"/>
        </w:rPr>
        <w:t>2.         The impact of aggregation is the sum of the absolute value of the negative amounts from step 1 above.</w:t>
      </w:r>
    </w:p>
    <w:p w14:paraId="0EE2E04E" w14:textId="77777777" w:rsidR="00D816F2" w:rsidRPr="0059240B"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sz w:val="24"/>
          <w:szCs w:val="24"/>
        </w:rPr>
      </w:pPr>
      <w:r w:rsidRPr="0059240B">
        <w:rPr>
          <w:rFonts w:ascii="Times New Roman" w:eastAsia="Times New Roman" w:hAnsi="Times New Roman"/>
          <w:sz w:val="24"/>
          <w:szCs w:val="24"/>
        </w:rPr>
        <w:t>If a company uses the CTEPA method, it should apply steps 1 and 2 above to each model point, using the same scenario used for the cumulative decrement analysis, and using that scenario’s NAER as the discount rates for discounting the accumulated deficiency from the time of the GPVAD. For GMWBs and hybrid GMIBs that use the Withdrawal Delay Cohort Method as specified in VM-21 Section 6.C.5, cash flows for each contract or for each model point shall be determined as the aggregate across all of the constituent cohorts of the contract or model point.</w:t>
      </w:r>
    </w:p>
    <w:p w14:paraId="6835D7FF" w14:textId="77777777" w:rsidR="00D816F2" w:rsidRPr="0059240B" w:rsidRDefault="00D816F2" w:rsidP="00067EEF">
      <w:pPr>
        <w:spacing w:after="220" w:line="240" w:lineRule="auto"/>
        <w:ind w:left="1440"/>
        <w:rPr>
          <w:rFonts w:ascii="Times New Roman" w:eastAsia="Times New Roman" w:hAnsi="Times New Roman"/>
        </w:rPr>
      </w:pPr>
    </w:p>
    <w:p w14:paraId="5251F999" w14:textId="2E7F04EB" w:rsidR="00D816F2" w:rsidRPr="0059240B" w:rsidRDefault="00D816F2" w:rsidP="004E4618">
      <w:pPr>
        <w:spacing w:after="220" w:line="240" w:lineRule="auto"/>
        <w:ind w:left="1440"/>
        <w:rPr>
          <w:rFonts w:ascii="Times New Roman" w:eastAsia="Times New Roman" w:hAnsi="Times New Roman"/>
        </w:rPr>
      </w:pPr>
    </w:p>
    <w:p w14:paraId="0EAE3BA0" w14:textId="30FC18D9" w:rsidR="003129FE" w:rsidRPr="0059240B" w:rsidRDefault="003129FE" w:rsidP="004E4618">
      <w:pPr>
        <w:spacing w:after="220" w:line="240" w:lineRule="auto"/>
        <w:ind w:left="1440"/>
        <w:rPr>
          <w:rFonts w:ascii="Times New Roman" w:eastAsia="Times New Roman" w:hAnsi="Times New Roman"/>
        </w:rPr>
      </w:pPr>
      <w:r w:rsidRPr="0059240B">
        <w:rPr>
          <w:rFonts w:ascii="Times New Roman" w:eastAsia="Times New Roman" w:hAnsi="Times New Roman"/>
        </w:rPr>
        <w:t>b.  The additional standard projection amount shall be calculated based on the scenario reserves, as discussed in Section 4.B, with certain prescribed assumptions replacing the company prudent estimate assumptions. As is the case in the projection of a scenario in the calculation of the stochastic reserve, the scenario reserves used to calculate the additional standard projection amount are based on an analysis of asset and liability cash flows produced along certain equity and interest rate scenario paths.</w:t>
      </w:r>
    </w:p>
    <w:p w14:paraId="4EA9FB36" w14:textId="3E266D92" w:rsidR="003129FE" w:rsidRPr="0059240B" w:rsidRDefault="003129FE" w:rsidP="004E4618">
      <w:pPr>
        <w:spacing w:after="220" w:line="240" w:lineRule="auto"/>
        <w:rPr>
          <w:rFonts w:ascii="Times New Roman" w:eastAsia="Times New Roman" w:hAnsi="Times New Roman"/>
        </w:rPr>
      </w:pPr>
    </w:p>
    <w:p w14:paraId="01DE32D9" w14:textId="24F58B04" w:rsidR="003129FE" w:rsidRPr="0059240B" w:rsidRDefault="003129FE" w:rsidP="004E4618">
      <w:pPr>
        <w:spacing w:after="220" w:line="240" w:lineRule="auto"/>
        <w:rPr>
          <w:rFonts w:ascii="Times New Roman" w:eastAsia="Times New Roman" w:hAnsi="Times New Roman"/>
        </w:rPr>
      </w:pPr>
      <w:r w:rsidRPr="0059240B">
        <w:rPr>
          <w:rFonts w:ascii="Times New Roman" w:eastAsia="Times New Roman" w:hAnsi="Times New Roman"/>
        </w:rPr>
        <w:lastRenderedPageBreak/>
        <w:t>B.</w:t>
      </w:r>
      <w:r w:rsidRPr="0059240B">
        <w:rPr>
          <w:rFonts w:ascii="Times New Roman" w:eastAsia="Times New Roman" w:hAnsi="Times New Roman"/>
        </w:rPr>
        <w:tab/>
        <w:t xml:space="preserve">Additional Standard Projection Amount </w:t>
      </w:r>
    </w:p>
    <w:p w14:paraId="445154F8" w14:textId="77777777" w:rsidR="003129FE" w:rsidRPr="0059240B" w:rsidRDefault="003129FE" w:rsidP="00067EEF">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General</w:t>
      </w:r>
    </w:p>
    <w:p w14:paraId="777F0B62" w14:textId="7B197CDC" w:rsidR="00CE59F0" w:rsidRPr="0059240B" w:rsidRDefault="003129FE" w:rsidP="00CE59F0">
      <w:pPr>
        <w:spacing w:after="220" w:line="240" w:lineRule="auto"/>
        <w:ind w:left="1440"/>
        <w:rPr>
          <w:rFonts w:ascii="Times New Roman" w:eastAsia="Times New Roman" w:hAnsi="Times New Roman"/>
        </w:rPr>
      </w:pPr>
      <w:r w:rsidRPr="0059240B">
        <w:rPr>
          <w:rFonts w:ascii="Times New Roman" w:eastAsia="Times New Roman" w:hAnsi="Times New Roman"/>
        </w:rPr>
        <w:t>Where not inconsistent with the guidance given here, the process and methods used to determine the Additional Standard Projection Amount under either the CSMP method or the CTEPA method shall be the same as required in the calculation of the stochastic reserve as described in Section 3.D of these requirements. Any additional assumptions needed to determine the additional standard projection amount shall be explicitly documented.</w:t>
      </w:r>
    </w:p>
    <w:p w14:paraId="34119380" w14:textId="632EAD2E" w:rsidR="003129FE" w:rsidRPr="0059240B" w:rsidRDefault="00CE59F0" w:rsidP="002475B9">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00624EF4" w:rsidRPr="0059240B">
        <w:rPr>
          <w:rFonts w:ascii="Times New Roman" w:eastAsia="Times New Roman" w:hAnsi="Times New Roman"/>
        </w:rPr>
        <w:tab/>
      </w:r>
      <w:r w:rsidR="003129FE" w:rsidRPr="0059240B">
        <w:rPr>
          <w:rFonts w:ascii="Times New Roman" w:eastAsia="Times New Roman" w:hAnsi="Times New Roman"/>
        </w:rPr>
        <w:t>The company shall determine the Prescribed Projections Amount by following either the CSMP Method or the CTEPA Method below.  A company may not change the method used from one valuation to the next without approval of the domiciliary commissioner.</w:t>
      </w:r>
    </w:p>
    <w:p w14:paraId="5D73FE1B" w14:textId="77777777" w:rsidR="009F53E3" w:rsidRPr="0059240B" w:rsidRDefault="009F53E3" w:rsidP="00CC2E32">
      <w:pPr>
        <w:spacing w:after="220" w:line="240" w:lineRule="auto"/>
        <w:ind w:left="2160" w:hanging="720"/>
        <w:rPr>
          <w:rFonts w:ascii="Times New Roman" w:eastAsia="Times New Roman" w:hAnsi="Times New Roman"/>
        </w:rPr>
      </w:pPr>
    </w:p>
    <w:p w14:paraId="1766D3EE" w14:textId="77777777" w:rsidR="009F53E3" w:rsidRPr="0059240B" w:rsidRDefault="009F53E3" w:rsidP="009F53E3">
      <w:pPr>
        <w:spacing w:after="220" w:line="240" w:lineRule="auto"/>
        <w:ind w:left="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Calculation Methodology</w:t>
      </w:r>
    </w:p>
    <w:p w14:paraId="58922765" w14:textId="45E82A99" w:rsidR="003129FE" w:rsidRPr="0059240B" w:rsidRDefault="003129FE" w:rsidP="00CC2E32">
      <w:pPr>
        <w:spacing w:after="220" w:line="240" w:lineRule="auto"/>
        <w:ind w:left="216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CSMP Method:</w:t>
      </w:r>
    </w:p>
    <w:p w14:paraId="79FE41FA" w14:textId="34600936"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 xml:space="preserve">The company shall apply this method to a seriatim in-force; </w:t>
      </w:r>
    </w:p>
    <w:p w14:paraId="2A36106D" w14:textId="10B6AEC8"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Calculate the scenario reserve, as defined in VM-01 and discussed further in Section 4.B, for each of the prescribed market paths outlined in Section 6.B.</w:t>
      </w:r>
      <w:r w:rsidR="00CE59F0" w:rsidRPr="0059240B">
        <w:rPr>
          <w:rFonts w:ascii="Times New Roman" w:eastAsia="Times New Roman" w:hAnsi="Times New Roman"/>
        </w:rPr>
        <w:t>6</w:t>
      </w:r>
      <w:r w:rsidRPr="0059240B">
        <w:rPr>
          <w:rFonts w:ascii="Times New Roman" w:eastAsia="Times New Roman" w:hAnsi="Times New Roman"/>
        </w:rPr>
        <w:t xml:space="preserve"> using the same method and assumptions as those that the company uses to calculate scenario reserves for purposes of determining the CTE70 (adjusted)</w:t>
      </w:r>
      <w:r w:rsidRPr="0059240B">
        <w:rPr>
          <w:rStyle w:val="FootnoteReference"/>
          <w:rFonts w:ascii="Times New Roman" w:eastAsia="Times New Roman" w:hAnsi="Times New Roman"/>
        </w:rPr>
        <w:t xml:space="preserve"> </w:t>
      </w:r>
      <w:r w:rsidRPr="0059240B">
        <w:rPr>
          <w:rStyle w:val="FootnoteReference"/>
          <w:rFonts w:ascii="Times New Roman" w:eastAsia="Times New Roman" w:hAnsi="Times New Roman"/>
        </w:rPr>
        <w:footnoteReference w:id="2"/>
      </w:r>
      <w:r w:rsidRPr="0059240B">
        <w:rPr>
          <w:rFonts w:ascii="Times New Roman" w:eastAsia="Times New Roman" w:hAnsi="Times New Roman"/>
        </w:rPr>
        <w:t>, as outlined in Section 9.C. These scenario reserves shall collectively be referred to as Company Standard Projection Set;</w:t>
      </w:r>
    </w:p>
    <w:p w14:paraId="77210222" w14:textId="33449033" w:rsidR="003129FE" w:rsidRPr="0059240B" w:rsidRDefault="003129FE" w:rsidP="004E4618">
      <w:pPr>
        <w:spacing w:after="220" w:line="240" w:lineRule="auto"/>
        <w:ind w:left="2160"/>
        <w:rPr>
          <w:rFonts w:ascii="Times New Roman" w:eastAsia="Times New Roman" w:hAnsi="Times New Roman"/>
        </w:rPr>
      </w:pPr>
    </w:p>
    <w:p w14:paraId="485BB8B4" w14:textId="13A19633" w:rsidR="003129FE" w:rsidRPr="0059240B" w:rsidRDefault="0029331D" w:rsidP="004E4618">
      <w:pPr>
        <w:spacing w:after="220" w:line="240" w:lineRule="auto"/>
        <w:ind w:left="2160"/>
        <w:rPr>
          <w:rFonts w:ascii="Times New Roman" w:eastAsia="Times New Roman" w:hAnsi="Times New Roman"/>
        </w:rPr>
      </w:pPr>
      <w:r w:rsidRPr="0059240B">
        <w:rPr>
          <w:rFonts w:ascii="Times New Roman" w:eastAsia="Times New Roman" w:hAnsi="Times New Roman"/>
        </w:rPr>
        <w:t>i</w:t>
      </w:r>
      <w:r w:rsidR="009F53E3" w:rsidRPr="0059240B">
        <w:rPr>
          <w:rFonts w:ascii="Times New Roman" w:eastAsia="Times New Roman" w:hAnsi="Times New Roman"/>
        </w:rPr>
        <w:t>i</w:t>
      </w:r>
      <w:r w:rsidRPr="0059240B">
        <w:rPr>
          <w:rFonts w:ascii="Times New Roman" w:eastAsia="Times New Roman" w:hAnsi="Times New Roman"/>
        </w:rPr>
        <w:t>i</w:t>
      </w:r>
      <w:r w:rsidR="003129FE" w:rsidRPr="0059240B">
        <w:rPr>
          <w:rFonts w:ascii="Times New Roman" w:eastAsia="Times New Roman" w:hAnsi="Times New Roman"/>
        </w:rPr>
        <w:t>.</w:t>
      </w:r>
      <w:r w:rsidR="003129FE" w:rsidRPr="0059240B">
        <w:rPr>
          <w:rFonts w:ascii="Times New Roman" w:eastAsia="Times New Roman" w:hAnsi="Times New Roman"/>
        </w:rPr>
        <w:tab/>
        <w:t>Identify the market path from the Company Standard Projection Set such that the scenario reserve is closest to the CTE70 (adjusted), designated as Path A.  This scenario reserve shall be referred to as Company Amount A;</w:t>
      </w:r>
    </w:p>
    <w:p w14:paraId="01C9B007" w14:textId="390BEB95" w:rsidR="003129FE" w:rsidRPr="0059240B" w:rsidRDefault="0029331D" w:rsidP="004E4618">
      <w:pPr>
        <w:spacing w:after="220" w:line="240" w:lineRule="auto"/>
        <w:ind w:left="2160"/>
        <w:rPr>
          <w:rFonts w:ascii="Times New Roman" w:eastAsia="Times New Roman" w:hAnsi="Times New Roman"/>
        </w:rPr>
      </w:pPr>
      <w:r w:rsidRPr="0059240B">
        <w:rPr>
          <w:rFonts w:ascii="Times New Roman" w:eastAsia="Times New Roman" w:hAnsi="Times New Roman"/>
        </w:rPr>
        <w:t>i</w:t>
      </w:r>
      <w:r w:rsidR="009F53E3" w:rsidRPr="0059240B">
        <w:rPr>
          <w:rFonts w:ascii="Times New Roman" w:eastAsia="Times New Roman" w:hAnsi="Times New Roman"/>
        </w:rPr>
        <w:t>v</w:t>
      </w:r>
      <w:r w:rsidR="003129FE" w:rsidRPr="0059240B">
        <w:rPr>
          <w:rFonts w:ascii="Times New Roman" w:eastAsia="Times New Roman" w:hAnsi="Times New Roman"/>
        </w:rPr>
        <w:t>.</w:t>
      </w:r>
      <w:r w:rsidR="003129FE" w:rsidRPr="0059240B">
        <w:rPr>
          <w:rFonts w:ascii="Times New Roman" w:eastAsia="Times New Roman" w:hAnsi="Times New Roman"/>
        </w:rPr>
        <w:tab/>
        <w:t>Identify the following four market paths:</w:t>
      </w:r>
    </w:p>
    <w:p w14:paraId="3172BFD4" w14:textId="195990CB"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two paths with the same starting interest rate as Path A but equity shocks +/- 5% from that of Path A, and</w:t>
      </w:r>
      <w:r w:rsidR="00D55927" w:rsidRPr="0059240B">
        <w:rPr>
          <w:rFonts w:ascii="Times New Roman" w:eastAsia="Times New Roman" w:hAnsi="Times New Roman"/>
        </w:rPr>
        <w:t>;</w:t>
      </w:r>
      <w:r w:rsidRPr="0059240B">
        <w:rPr>
          <w:rFonts w:ascii="Times New Roman" w:eastAsia="Times New Roman" w:hAnsi="Times New Roman"/>
        </w:rPr>
        <w:t xml:space="preserve"> </w:t>
      </w:r>
    </w:p>
    <w:p w14:paraId="1A360635" w14:textId="57466C04"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two paths with the same equity fund returns as Path A but the next higher and next lower interest rate shocks.</w:t>
      </w:r>
    </w:p>
    <w:p w14:paraId="2598CFBC" w14:textId="43AAB6C9"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From the four paths, identify </w:t>
      </w:r>
      <w:r w:rsidR="000327D8" w:rsidRPr="0059240B">
        <w:rPr>
          <w:rFonts w:ascii="Times New Roman" w:eastAsia="Times New Roman" w:hAnsi="Times New Roman"/>
        </w:rPr>
        <w:t>P</w:t>
      </w:r>
      <w:r w:rsidRPr="0059240B">
        <w:rPr>
          <w:rFonts w:ascii="Times New Roman" w:eastAsia="Times New Roman" w:hAnsi="Times New Roman"/>
        </w:rPr>
        <w:t>ath</w:t>
      </w:r>
      <w:r w:rsidR="000327D8" w:rsidRPr="0059240B">
        <w:rPr>
          <w:rFonts w:ascii="Times New Roman" w:eastAsia="Times New Roman" w:hAnsi="Times New Roman"/>
        </w:rPr>
        <w:t xml:space="preserve"> B</w:t>
      </w:r>
      <w:r w:rsidRPr="0059240B">
        <w:rPr>
          <w:rFonts w:ascii="Times New Roman" w:eastAsia="Times New Roman" w:hAnsi="Times New Roman"/>
        </w:rPr>
        <w:t xml:space="preserve"> whose reserve value is:</w:t>
      </w:r>
    </w:p>
    <w:p w14:paraId="726626C7" w14:textId="77777777" w:rsidR="003129FE" w:rsidRPr="0059240B" w:rsidRDefault="003129FE" w:rsidP="00E87EFC">
      <w:pPr>
        <w:pStyle w:val="ListParagraph"/>
        <w:numPr>
          <w:ilvl w:val="0"/>
          <w:numId w:val="38"/>
        </w:numPr>
        <w:spacing w:after="220" w:line="240" w:lineRule="auto"/>
        <w:rPr>
          <w:rFonts w:ascii="Times New Roman" w:eastAsia="Times New Roman" w:hAnsi="Times New Roman"/>
        </w:rPr>
      </w:pPr>
      <w:r w:rsidRPr="0059240B">
        <w:rPr>
          <w:rFonts w:ascii="Times New Roman" w:eastAsia="Times New Roman" w:hAnsi="Times New Roman"/>
        </w:rPr>
        <w:t xml:space="preserve">If Company Amount A is lower than CTE70 (adjusted), the smallest reserve value that is greater than CTE70 (adjusted); </w:t>
      </w:r>
    </w:p>
    <w:p w14:paraId="53EA8512" w14:textId="073314FD" w:rsidR="003129FE" w:rsidRPr="0059240B" w:rsidRDefault="003129FE" w:rsidP="00E87EFC">
      <w:pPr>
        <w:pStyle w:val="ListParagraph"/>
        <w:numPr>
          <w:ilvl w:val="0"/>
          <w:numId w:val="38"/>
        </w:numPr>
        <w:spacing w:after="220" w:line="240" w:lineRule="auto"/>
        <w:rPr>
          <w:rFonts w:ascii="Times New Roman" w:eastAsia="Times New Roman" w:hAnsi="Times New Roman"/>
        </w:rPr>
      </w:pPr>
      <w:r w:rsidRPr="0059240B">
        <w:rPr>
          <w:rFonts w:ascii="Times New Roman" w:eastAsia="Times New Roman" w:hAnsi="Times New Roman"/>
        </w:rPr>
        <w:t>If Company Amount A is greater tha</w:t>
      </w:r>
      <w:r w:rsidR="00CD46DD" w:rsidRPr="0059240B">
        <w:rPr>
          <w:rFonts w:ascii="Times New Roman" w:eastAsia="Times New Roman" w:hAnsi="Times New Roman"/>
        </w:rPr>
        <w:t>n</w:t>
      </w:r>
      <w:r w:rsidRPr="0059240B">
        <w:rPr>
          <w:rFonts w:ascii="Times New Roman" w:eastAsia="Times New Roman" w:hAnsi="Times New Roman"/>
        </w:rPr>
        <w:t xml:space="preserve"> CTE70 (adjusted), the greatest reserve value that is less than CTE70 (adjusted).</w:t>
      </w:r>
    </w:p>
    <w:p w14:paraId="66FFE937" w14:textId="02375720" w:rsidR="003129FE" w:rsidRPr="0059240B" w:rsidRDefault="003129FE" w:rsidP="004E4618">
      <w:pPr>
        <w:spacing w:after="220" w:line="240" w:lineRule="auto"/>
        <w:ind w:left="2520"/>
        <w:rPr>
          <w:rFonts w:ascii="Times New Roman" w:eastAsia="Times New Roman" w:hAnsi="Times New Roman"/>
        </w:rPr>
      </w:pPr>
      <w:r w:rsidRPr="0059240B">
        <w:rPr>
          <w:rFonts w:ascii="Times New Roman" w:eastAsia="Times New Roman" w:hAnsi="Times New Roman"/>
        </w:rPr>
        <w:lastRenderedPageBreak/>
        <w:t>If none of the 4 paths satisfy the stated condition, discard the identified Path A, and redo steps iii and iv using the scenario next closer to CTE70 (adjusted) to be</w:t>
      </w:r>
      <w:r w:rsidR="000327D8" w:rsidRPr="0059240B">
        <w:rPr>
          <w:rFonts w:ascii="Times New Roman" w:eastAsia="Times New Roman" w:hAnsi="Times New Roman"/>
        </w:rPr>
        <w:t xml:space="preserve"> the new</w:t>
      </w:r>
      <w:r w:rsidRPr="0059240B">
        <w:rPr>
          <w:rFonts w:ascii="Times New Roman" w:eastAsia="Times New Roman" w:hAnsi="Times New Roman"/>
        </w:rPr>
        <w:t xml:space="preserve"> Path A in step iii.</w:t>
      </w:r>
    </w:p>
    <w:p w14:paraId="02A2CF7B" w14:textId="5FFD2604" w:rsidR="003129FE" w:rsidRPr="0059240B" w:rsidRDefault="007141E6" w:rsidP="004E4618">
      <w:pPr>
        <w:spacing w:after="220" w:line="240" w:lineRule="auto"/>
        <w:ind w:left="2520"/>
        <w:rPr>
          <w:rFonts w:ascii="Times New Roman" w:eastAsia="Times New Roman" w:hAnsi="Times New Roman"/>
        </w:rPr>
      </w:pPr>
      <w:r w:rsidRPr="0059240B">
        <w:rPr>
          <w:rFonts w:ascii="Times New Roman" w:eastAsia="Times New Roman" w:hAnsi="Times New Roman"/>
        </w:rPr>
        <w:t>For t</w:t>
      </w:r>
      <w:r w:rsidR="003129FE" w:rsidRPr="0059240B">
        <w:rPr>
          <w:rFonts w:ascii="Times New Roman" w:eastAsia="Times New Roman" w:hAnsi="Times New Roman"/>
        </w:rPr>
        <w:t>he path so designated as Path B, the scenario reserve shall be referred to as Company Amount B;</w:t>
      </w:r>
    </w:p>
    <w:p w14:paraId="3AFE55C2" w14:textId="1E768438" w:rsidR="003129FE" w:rsidRPr="0059240B" w:rsidRDefault="0029331D" w:rsidP="004E4618">
      <w:pPr>
        <w:spacing w:after="220" w:line="240" w:lineRule="auto"/>
        <w:ind w:left="2160"/>
        <w:rPr>
          <w:rFonts w:ascii="Times New Roman" w:eastAsia="Times New Roman" w:hAnsi="Times New Roman"/>
        </w:rPr>
      </w:pPr>
      <w:r w:rsidRPr="0059240B">
        <w:rPr>
          <w:rFonts w:ascii="Times New Roman" w:eastAsia="Times New Roman" w:hAnsi="Times New Roman"/>
        </w:rPr>
        <w:t>v</w:t>
      </w:r>
      <w:r w:rsidR="003129FE" w:rsidRPr="0059240B">
        <w:rPr>
          <w:rFonts w:ascii="Times New Roman" w:eastAsia="Times New Roman" w:hAnsi="Times New Roman"/>
        </w:rPr>
        <w:t>.</w:t>
      </w:r>
      <w:r w:rsidR="003129FE" w:rsidRPr="0059240B">
        <w:rPr>
          <w:rFonts w:ascii="Times New Roman" w:eastAsia="Times New Roman" w:hAnsi="Times New Roman"/>
        </w:rPr>
        <w:tab/>
      </w:r>
      <w:r w:rsidR="007141E6" w:rsidRPr="0059240B">
        <w:rPr>
          <w:rFonts w:ascii="Times New Roman" w:eastAsia="Times New Roman" w:hAnsi="Times New Roman"/>
        </w:rPr>
        <w:t xml:space="preserve">Recalculate </w:t>
      </w:r>
      <w:r w:rsidR="003129FE" w:rsidRPr="0059240B">
        <w:rPr>
          <w:rFonts w:ascii="Times New Roman" w:eastAsia="Times New Roman" w:hAnsi="Times New Roman"/>
        </w:rPr>
        <w:t xml:space="preserve">the scenario reserves </w:t>
      </w:r>
      <w:r w:rsidR="007141E6" w:rsidRPr="0059240B">
        <w:rPr>
          <w:rFonts w:ascii="Times New Roman" w:eastAsia="Times New Roman" w:hAnsi="Times New Roman"/>
        </w:rPr>
        <w:t xml:space="preserve">for </w:t>
      </w:r>
      <w:r w:rsidR="003129FE" w:rsidRPr="0059240B">
        <w:rPr>
          <w:rFonts w:ascii="Times New Roman" w:eastAsia="Times New Roman" w:hAnsi="Times New Roman"/>
        </w:rPr>
        <w:t>Path A and Path B</w:t>
      </w:r>
      <w:r w:rsidR="007141E6" w:rsidRPr="0059240B">
        <w:rPr>
          <w:rFonts w:ascii="Times New Roman" w:eastAsia="Times New Roman" w:hAnsi="Times New Roman"/>
        </w:rPr>
        <w:t xml:space="preserve"> using the same method as outlined in step </w:t>
      </w:r>
      <w:r w:rsidR="00896B49" w:rsidRPr="0059240B">
        <w:rPr>
          <w:rFonts w:ascii="Times New Roman" w:eastAsia="Times New Roman" w:hAnsi="Times New Roman"/>
        </w:rPr>
        <w:t>ii</w:t>
      </w:r>
      <w:r w:rsidR="007141E6" w:rsidRPr="0059240B">
        <w:rPr>
          <w:rFonts w:ascii="Times New Roman" w:eastAsia="Times New Roman" w:hAnsi="Times New Roman"/>
        </w:rPr>
        <w:t xml:space="preserve"> above but substituting the assumptions prescribed in Section 6.C and using the modeled in force prescribed by Section 6.B.2</w:t>
      </w:r>
      <w:r w:rsidR="003129FE" w:rsidRPr="0059240B">
        <w:rPr>
          <w:rFonts w:ascii="Times New Roman" w:eastAsia="Times New Roman" w:hAnsi="Times New Roman"/>
        </w:rPr>
        <w:t>. These scenario reserves shall be referred to as Prescribed Amount A and Prescribed Amount B, respectively;</w:t>
      </w:r>
    </w:p>
    <w:p w14:paraId="4A2CD689" w14:textId="43BB15A3" w:rsidR="003129FE" w:rsidRPr="0059240B" w:rsidRDefault="0029331D" w:rsidP="004E4618">
      <w:pPr>
        <w:keepNext/>
        <w:spacing w:after="220" w:line="240" w:lineRule="auto"/>
        <w:ind w:left="2160"/>
        <w:rPr>
          <w:rFonts w:ascii="Times New Roman" w:eastAsia="Times New Roman" w:hAnsi="Times New Roman"/>
        </w:rPr>
      </w:pPr>
      <w:r w:rsidRPr="0059240B">
        <w:rPr>
          <w:rFonts w:ascii="Times New Roman" w:eastAsia="Times New Roman" w:hAnsi="Times New Roman"/>
        </w:rPr>
        <w:t>v</w:t>
      </w:r>
      <w:r w:rsidR="009F53E3" w:rsidRPr="0059240B">
        <w:rPr>
          <w:rFonts w:ascii="Times New Roman" w:eastAsia="Times New Roman" w:hAnsi="Times New Roman"/>
        </w:rPr>
        <w:t>i</w:t>
      </w:r>
      <w:r w:rsidR="003129FE" w:rsidRPr="0059240B">
        <w:rPr>
          <w:rFonts w:ascii="Times New Roman" w:eastAsia="Times New Roman" w:hAnsi="Times New Roman"/>
        </w:rPr>
        <w:t>.</w:t>
      </w:r>
      <w:r w:rsidR="003129FE" w:rsidRPr="0059240B">
        <w:rPr>
          <w:rFonts w:ascii="Times New Roman" w:eastAsia="Times New Roman" w:hAnsi="Times New Roman"/>
        </w:rPr>
        <w:tab/>
        <w:t>Calculate the Prescribed Projections Amount as:</w:t>
      </w:r>
    </w:p>
    <w:p w14:paraId="352F1532" w14:textId="77777777" w:rsidR="003129FE" w:rsidRPr="0059240B" w:rsidRDefault="003129FE" w:rsidP="004E4618">
      <w:pPr>
        <w:keepNext/>
        <w:spacing w:after="220" w:line="240" w:lineRule="auto"/>
        <w:ind w:left="2160"/>
        <w:rPr>
          <w:rFonts w:ascii="Times New Roman" w:eastAsia="Times New Roman" w:hAnsi="Times New Roman"/>
        </w:rPr>
      </w:pPr>
      <w:r w:rsidRPr="0059240B">
        <w:rPr>
          <w:rFonts w:ascii="Times New Roman" w:eastAsia="Times New Roman" w:hAnsi="Times New Roman"/>
        </w:rPr>
        <w:t>Prescribed Projections Amount</w:t>
      </w:r>
    </w:p>
    <w:p w14:paraId="6A4CE751" w14:textId="77777777" w:rsidR="003129FE" w:rsidRPr="0059240B" w:rsidRDefault="003129FE" w:rsidP="004E4618">
      <w:pPr>
        <w:keepNext/>
        <w:spacing w:after="220" w:line="240" w:lineRule="auto"/>
        <w:ind w:left="2160"/>
        <w:rPr>
          <w:rFonts w:ascii="Times New Roman" w:eastAsia="Times New Roman" w:hAnsi="Times New Roman"/>
        </w:rPr>
      </w:pPr>
      <w:r w:rsidRPr="0059240B">
        <w:rPr>
          <w:rFonts w:ascii="Times New Roman" w:eastAsia="Times New Roman" w:hAnsi="Times New Roman"/>
        </w:rPr>
        <w:t>=Prescribed Amount A + (CTE70 (adjusted) − Company Amount A)</w:t>
      </w:r>
    </w:p>
    <w:p w14:paraId="23530B8F" w14:textId="3DAF6520" w:rsidR="003129FE" w:rsidRPr="0059240B" w:rsidRDefault="003129FE" w:rsidP="004E4618">
      <w:pPr>
        <w:keepNext/>
        <w:spacing w:after="220" w:line="240" w:lineRule="auto"/>
        <w:ind w:left="2160" w:firstLine="720"/>
        <w:rPr>
          <w:rFonts w:ascii="Times New Roman" w:eastAsia="Times New Roman" w:hAnsi="Times New Roman"/>
        </w:rPr>
      </w:pPr>
      <w:r w:rsidRPr="0059240B">
        <w:rPr>
          <w:rFonts w:ascii="Times New Roman" w:eastAsia="Times New Roman" w:hAnsi="Times New Roman"/>
        </w:rPr>
        <w:t xml:space="preserve">×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Amount B-Prescribed Amount. A</m:t>
                </m:r>
              </m:num>
              <m:den>
                <m:r>
                  <w:rPr>
                    <w:rFonts w:ascii="Cambria Math" w:eastAsia="Times New Roman" w:hAnsi="Cambria Math"/>
                  </w:rPr>
                  <m:t>Company Amount. B-Company Amount. A</m:t>
                </m:r>
              </m:den>
            </m:f>
          </m:e>
        </m:d>
      </m:oMath>
    </w:p>
    <w:p w14:paraId="43EF2D76" w14:textId="5E85E4DB" w:rsidR="003129FE" w:rsidRPr="0059240B" w:rsidRDefault="003129FE" w:rsidP="004E4618">
      <w:pPr>
        <w:keepNext/>
        <w:spacing w:after="220" w:line="240" w:lineRule="auto"/>
        <w:ind w:left="1440" w:hanging="63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CTEPA Method:</w:t>
      </w:r>
    </w:p>
    <w:p w14:paraId="10D48304" w14:textId="07545CF9" w:rsidR="00666F6E" w:rsidRPr="0059240B" w:rsidRDefault="00666F6E" w:rsidP="00666F6E">
      <w:pPr>
        <w:pStyle w:val="ListParagraph"/>
        <w:keepNext/>
        <w:numPr>
          <w:ilvl w:val="0"/>
          <w:numId w:val="208"/>
        </w:numPr>
        <w:spacing w:after="220" w:line="240" w:lineRule="auto"/>
        <w:ind w:left="2160" w:hanging="634"/>
        <w:rPr>
          <w:rFonts w:ascii="Times New Roman" w:eastAsia="Times New Roman" w:hAnsi="Times New Roman"/>
        </w:rPr>
      </w:pPr>
      <w:r w:rsidRPr="0059240B">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CC0B107" w14:textId="77777777" w:rsidR="00666F6E" w:rsidRPr="0059240B" w:rsidRDefault="00666F6E" w:rsidP="00666F6E">
      <w:pPr>
        <w:pStyle w:val="ListParagraph"/>
        <w:keepNext/>
        <w:spacing w:after="220" w:line="240" w:lineRule="auto"/>
        <w:ind w:left="2160"/>
        <w:rPr>
          <w:rFonts w:ascii="Times New Roman" w:eastAsia="Times New Roman" w:hAnsi="Times New Roman"/>
        </w:rPr>
      </w:pPr>
    </w:p>
    <w:p w14:paraId="49AFF0C4" w14:textId="7B39D804" w:rsidR="003129FE" w:rsidRPr="0059240B" w:rsidRDefault="003129FE" w:rsidP="00666F6E">
      <w:pPr>
        <w:pStyle w:val="ListParagraph"/>
        <w:keepNext/>
        <w:numPr>
          <w:ilvl w:val="0"/>
          <w:numId w:val="208"/>
        </w:numPr>
        <w:spacing w:after="220" w:line="240" w:lineRule="auto"/>
        <w:ind w:left="2160" w:hanging="634"/>
        <w:rPr>
          <w:rFonts w:ascii="Times New Roman" w:eastAsia="Times New Roman" w:hAnsi="Times New Roman"/>
        </w:rPr>
      </w:pPr>
      <w:r w:rsidRPr="0059240B">
        <w:rPr>
          <w:rFonts w:ascii="Times New Roman" w:eastAsiaTheme="minorHAnsi" w:hAnsi="Times New Roman"/>
        </w:rPr>
        <w:t>Calculate the Prescribed Projections Amount as the CTE70 (adjusted) using the same method as that outlined in Section 9.C (</w:t>
      </w:r>
      <w:r w:rsidR="00666F6E" w:rsidRPr="0059240B">
        <w:rPr>
          <w:rFonts w:ascii="Times New Roman" w:eastAsiaTheme="minorHAnsi" w:hAnsi="Times New Roman"/>
        </w:rPr>
        <w:t>which is the same as</w:t>
      </w:r>
      <w:r w:rsidRPr="0059240B">
        <w:rPr>
          <w:rFonts w:ascii="Times New Roman" w:eastAsiaTheme="minorHAnsi" w:hAnsi="Times New Roman"/>
        </w:rPr>
        <w:t xml:space="preserve"> the stochastic reserves following Section 4.A.4.a for a company that does not have a CDHS) but substituting the assumptions prescribed by Section 6.C. The calculation of this Prescribed Projections Amount also requires that the </w:t>
      </w:r>
      <w:r w:rsidRPr="0059240B">
        <w:rPr>
          <w:rFonts w:ascii="Times New Roman" w:eastAsia="Times New Roman" w:hAnsi="Times New Roman"/>
        </w:rPr>
        <w:t>scenario reserve</w:t>
      </w:r>
      <w:r w:rsidRPr="0059240B">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7DB4746E" w14:textId="75210E6E" w:rsidR="003129FE" w:rsidRPr="0059240B" w:rsidRDefault="00B518AF" w:rsidP="00B518AF">
      <w:pPr>
        <w:keepNext/>
        <w:spacing w:after="220" w:line="240" w:lineRule="auto"/>
        <w:ind w:left="144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r>
      <w:r w:rsidR="003129FE" w:rsidRPr="0059240B">
        <w:rPr>
          <w:rFonts w:ascii="Times New Roman" w:eastAsia="Times New Roman" w:hAnsi="Times New Roman"/>
        </w:rPr>
        <w:t>Once the Prescribed Projections Amount is determined by one of the two methodologies above, then the company shall</w:t>
      </w:r>
      <w:r w:rsidR="007141E6" w:rsidRPr="0059240B">
        <w:rPr>
          <w:rFonts w:ascii="Times New Roman" w:eastAsia="Times New Roman" w:hAnsi="Times New Roman"/>
        </w:rPr>
        <w:t xml:space="preserve"> </w:t>
      </w:r>
    </w:p>
    <w:p w14:paraId="0EE38904" w14:textId="28B08DE1" w:rsidR="003129FE" w:rsidRPr="0059240B" w:rsidRDefault="007141E6" w:rsidP="004E4618">
      <w:pPr>
        <w:keepNext/>
        <w:spacing w:after="220" w:line="240" w:lineRule="auto"/>
        <w:ind w:left="1440" w:hanging="720"/>
        <w:rPr>
          <w:rFonts w:ascii="Times New Roman" w:eastAsia="Times New Roman" w:hAnsi="Times New Roman"/>
        </w:rPr>
      </w:pPr>
      <w:r w:rsidRPr="0059240B">
        <w:rPr>
          <w:rFonts w:ascii="Times New Roman" w:eastAsia="Times New Roman" w:hAnsi="Times New Roman"/>
        </w:rPr>
        <w:t>r</w:t>
      </w:r>
      <w:r w:rsidR="003129FE" w:rsidRPr="0059240B">
        <w:rPr>
          <w:rFonts w:ascii="Times New Roman" w:eastAsia="Times New Roman" w:hAnsi="Times New Roman"/>
        </w:rPr>
        <w:t>educe the Prescribed Projections Amount by the CTE70 (adjusted). The difference shall be referred to as the Unbuffered Additional Standard Projection Amount;</w:t>
      </w:r>
    </w:p>
    <w:p w14:paraId="4A0C050A" w14:textId="183FC0C4" w:rsidR="003129FE" w:rsidRPr="0059240B" w:rsidRDefault="00F96937" w:rsidP="004E4618">
      <w:pPr>
        <w:keepNext/>
        <w:spacing w:after="220" w:line="240" w:lineRule="auto"/>
        <w:ind w:left="1440" w:hanging="720"/>
        <w:rPr>
          <w:rFonts w:ascii="Times New Roman" w:eastAsia="Times New Roman" w:hAnsi="Times New Roman"/>
        </w:rPr>
      </w:pPr>
      <w:r w:rsidRPr="0059240B">
        <w:rPr>
          <w:rFonts w:ascii="Times New Roman" w:eastAsia="Times New Roman" w:hAnsi="Times New Roman"/>
        </w:rPr>
        <w:t>d</w:t>
      </w:r>
      <w:r w:rsidR="003129FE" w:rsidRPr="0059240B">
        <w:rPr>
          <w:rFonts w:ascii="Times New Roman" w:eastAsia="Times New Roman" w:hAnsi="Times New Roman"/>
        </w:rPr>
        <w:t>.</w:t>
      </w:r>
      <w:r w:rsidR="003129FE" w:rsidRPr="0059240B">
        <w:rPr>
          <w:rFonts w:ascii="Times New Roman" w:eastAsia="Times New Roman" w:hAnsi="Times New Roman"/>
        </w:rPr>
        <w:tab/>
        <w:t>Reduce the Unbuffered Additional Standard Projection Amount by an amount equal to the difference between i and ii, where i and ii are calculated in the following manner:</w:t>
      </w:r>
    </w:p>
    <w:p w14:paraId="4A2A3F60" w14:textId="23826054" w:rsidR="003129FE" w:rsidRPr="0059240B" w:rsidRDefault="003129FE" w:rsidP="00500FC3">
      <w:pPr>
        <w:pStyle w:val="ListParagraph"/>
        <w:numPr>
          <w:ilvl w:val="0"/>
          <w:numId w:val="48"/>
        </w:numPr>
        <w:tabs>
          <w:tab w:val="num" w:pos="2250"/>
        </w:tabs>
        <w:ind w:hanging="630"/>
        <w:rPr>
          <w:rFonts w:ascii="Times New Roman" w:hAnsi="Times New Roman"/>
        </w:rPr>
      </w:pPr>
      <w:r w:rsidRPr="0059240B">
        <w:rPr>
          <w:rFonts w:ascii="Times New Roman" w:hAnsi="Times New Roman"/>
        </w:rPr>
        <w:t>Calculate the Unfloored CTE70</w:t>
      </w:r>
      <w:r w:rsidR="00500FC3" w:rsidRPr="0059240B">
        <w:rPr>
          <w:rFonts w:ascii="Times New Roman" w:hAnsi="Times New Roman"/>
        </w:rPr>
        <w:t xml:space="preserve"> </w:t>
      </w:r>
      <w:r w:rsidRPr="0059240B">
        <w:rPr>
          <w:rFonts w:ascii="Times New Roman" w:hAnsi="Times New Roman"/>
        </w:rPr>
        <w:t>(adjusted), using the same procedure as CTE70(adjusted) but without requiring that the scenario reserve for any scenario be no less than the cash surrender value in aggregate on the valuation date</w:t>
      </w:r>
    </w:p>
    <w:p w14:paraId="51CE318C" w14:textId="05D07FF2" w:rsidR="003129FE" w:rsidRPr="0059240B" w:rsidRDefault="003129FE" w:rsidP="00E87EFC">
      <w:pPr>
        <w:pStyle w:val="ListParagraph"/>
        <w:numPr>
          <w:ilvl w:val="0"/>
          <w:numId w:val="48"/>
        </w:numPr>
        <w:tabs>
          <w:tab w:val="num" w:pos="360"/>
        </w:tabs>
        <w:ind w:left="2250"/>
        <w:rPr>
          <w:rFonts w:ascii="Times New Roman" w:hAnsi="Times New Roman"/>
        </w:rPr>
      </w:pPr>
      <w:r w:rsidRPr="0059240B">
        <w:rPr>
          <w:rFonts w:ascii="Times New Roman" w:hAnsi="Times New Roman"/>
        </w:rPr>
        <w:t>Calculate the Unfloored CTE65</w:t>
      </w:r>
      <w:r w:rsidR="00500FC3" w:rsidRPr="0059240B">
        <w:rPr>
          <w:rFonts w:ascii="Times New Roman" w:hAnsi="Times New Roman"/>
        </w:rPr>
        <w:t xml:space="preserve"> </w:t>
      </w:r>
      <w:r w:rsidRPr="0059240B">
        <w:rPr>
          <w:rFonts w:ascii="Times New Roman" w:hAnsi="Times New Roman"/>
        </w:rPr>
        <w:t>(adjusted), which is calculated in the same way as Unfloored CTE70</w:t>
      </w:r>
      <w:r w:rsidR="00500FC3" w:rsidRPr="0059240B">
        <w:rPr>
          <w:rFonts w:ascii="Times New Roman" w:hAnsi="Times New Roman"/>
        </w:rPr>
        <w:t xml:space="preserve"> </w:t>
      </w:r>
      <w:r w:rsidRPr="0059240B">
        <w:rPr>
          <w:rFonts w:ascii="Times New Roman" w:hAnsi="Times New Roman"/>
        </w:rPr>
        <w:t>(adjusted) but averaging the 35 percent (instead of 30 percent) largest values</w:t>
      </w:r>
    </w:p>
    <w:p w14:paraId="6E4FA25F" w14:textId="77777777" w:rsidR="003129FE" w:rsidRPr="0059240B" w:rsidRDefault="003129FE" w:rsidP="00067EEF">
      <w:pPr>
        <w:keepNext/>
        <w:spacing w:after="220" w:line="240" w:lineRule="auto"/>
        <w:ind w:left="1440" w:hanging="720"/>
        <w:rPr>
          <w:rFonts w:ascii="Times New Roman" w:eastAsia="Times New Roman" w:hAnsi="Times New Roman"/>
        </w:rPr>
      </w:pPr>
    </w:p>
    <w:p w14:paraId="0015008A" w14:textId="201DDD39" w:rsidR="003129FE" w:rsidRPr="0059240B" w:rsidRDefault="00F96937" w:rsidP="00B518AF">
      <w:pPr>
        <w:autoSpaceDE w:val="0"/>
        <w:autoSpaceDN w:val="0"/>
        <w:adjustRightInd w:val="0"/>
        <w:spacing w:after="0" w:line="240" w:lineRule="auto"/>
        <w:ind w:left="1440" w:hanging="720"/>
        <w:rPr>
          <w:rFonts w:ascii="Times New Roman" w:hAnsi="Times New Roman"/>
        </w:rPr>
      </w:pPr>
      <w:r w:rsidRPr="0059240B">
        <w:rPr>
          <w:rFonts w:ascii="Times New Roman" w:eastAsiaTheme="minorHAnsi" w:hAnsi="Times New Roman"/>
        </w:rPr>
        <w:t>e</w:t>
      </w:r>
      <w:r w:rsidR="003129FE" w:rsidRPr="0059240B">
        <w:rPr>
          <w:rFonts w:ascii="Times New Roman" w:eastAsiaTheme="minorHAnsi" w:hAnsi="Times New Roman"/>
        </w:rPr>
        <w:t>.</w:t>
      </w:r>
      <w:r w:rsidR="003129FE" w:rsidRPr="0059240B">
        <w:rPr>
          <w:rFonts w:ascii="Times New Roman" w:eastAsiaTheme="minorHAnsi" w:hAnsi="Times New Roman"/>
        </w:rPr>
        <w:tab/>
      </w:r>
      <w:r w:rsidR="003129FE" w:rsidRPr="0059240B">
        <w:rPr>
          <w:rFonts w:ascii="Times New Roman" w:hAnsi="Times New Roman"/>
        </w:rPr>
        <w:t xml:space="preserve">The </w:t>
      </w:r>
      <w:r w:rsidR="007141E6" w:rsidRPr="0059240B">
        <w:rPr>
          <w:rFonts w:ascii="Times New Roman" w:hAnsi="Times New Roman"/>
        </w:rPr>
        <w:t>a</w:t>
      </w:r>
      <w:r w:rsidR="003129FE" w:rsidRPr="0059240B">
        <w:rPr>
          <w:rFonts w:ascii="Times New Roman" w:hAnsi="Times New Roman"/>
        </w:rPr>
        <w:t xml:space="preserve">dditional </w:t>
      </w:r>
      <w:r w:rsidR="007141E6" w:rsidRPr="0059240B">
        <w:rPr>
          <w:rFonts w:ascii="Times New Roman" w:hAnsi="Times New Roman"/>
        </w:rPr>
        <w:t>s</w:t>
      </w:r>
      <w:r w:rsidR="003129FE" w:rsidRPr="0059240B">
        <w:rPr>
          <w:rFonts w:ascii="Times New Roman" w:hAnsi="Times New Roman"/>
        </w:rPr>
        <w:t xml:space="preserve">tandard </w:t>
      </w:r>
      <w:r w:rsidR="007141E6" w:rsidRPr="0059240B">
        <w:rPr>
          <w:rFonts w:ascii="Times New Roman" w:hAnsi="Times New Roman"/>
        </w:rPr>
        <w:t>p</w:t>
      </w:r>
      <w:r w:rsidR="003129FE" w:rsidRPr="0059240B">
        <w:rPr>
          <w:rFonts w:ascii="Times New Roman" w:hAnsi="Times New Roman"/>
        </w:rPr>
        <w:t>rojection Amount shall subsequently be the larger of the quantity calculated in Section 6.B.</w:t>
      </w:r>
      <w:r w:rsidR="00CE59F0" w:rsidRPr="0059240B">
        <w:rPr>
          <w:rFonts w:ascii="Times New Roman" w:hAnsi="Times New Roman"/>
        </w:rPr>
        <w:t>3</w:t>
      </w:r>
      <w:r w:rsidR="003129FE" w:rsidRPr="0059240B">
        <w:rPr>
          <w:rFonts w:ascii="Times New Roman" w:hAnsi="Times New Roman"/>
        </w:rPr>
        <w:t xml:space="preserve">.d and zero. </w:t>
      </w:r>
    </w:p>
    <w:p w14:paraId="40C26282" w14:textId="77777777" w:rsidR="003129FE" w:rsidRPr="0059240B" w:rsidRDefault="003129FE" w:rsidP="00CC2E32">
      <w:pPr>
        <w:autoSpaceDE w:val="0"/>
        <w:autoSpaceDN w:val="0"/>
        <w:adjustRightInd w:val="0"/>
        <w:spacing w:after="0" w:line="240" w:lineRule="auto"/>
        <w:ind w:left="1440"/>
        <w:rPr>
          <w:rFonts w:ascii="Times New Roman" w:eastAsiaTheme="minorHAnsi" w:hAnsi="Times New Roman"/>
          <w:color w:val="000000"/>
        </w:rPr>
      </w:pPr>
    </w:p>
    <w:p w14:paraId="7C49EDCA" w14:textId="34BCA6E1" w:rsidR="003129FE" w:rsidRPr="0059240B" w:rsidRDefault="00CE59F0" w:rsidP="004E4618">
      <w:pPr>
        <w:keepNext/>
        <w:spacing w:after="220" w:line="240" w:lineRule="auto"/>
        <w:ind w:left="720" w:hanging="720"/>
        <w:rPr>
          <w:rFonts w:ascii="Times New Roman" w:eastAsia="Times New Roman" w:hAnsi="Times New Roman"/>
        </w:rPr>
      </w:pPr>
      <w:r w:rsidRPr="0059240B">
        <w:rPr>
          <w:rFonts w:ascii="Times New Roman" w:eastAsia="Times New Roman" w:hAnsi="Times New Roman"/>
        </w:rPr>
        <w:t>4</w:t>
      </w:r>
      <w:r w:rsidR="003129FE" w:rsidRPr="0059240B">
        <w:rPr>
          <w:rFonts w:ascii="Times New Roman" w:eastAsia="Times New Roman" w:hAnsi="Times New Roman"/>
        </w:rPr>
        <w:t>.</w:t>
      </w:r>
      <w:r w:rsidR="003129FE" w:rsidRPr="0059240B">
        <w:rPr>
          <w:rFonts w:ascii="Times New Roman" w:eastAsia="Times New Roman" w:hAnsi="Times New Roman"/>
        </w:rPr>
        <w:tab/>
      </w:r>
      <w:r w:rsidR="003129FE" w:rsidRPr="0059240B">
        <w:rPr>
          <w:rFonts w:ascii="Times New Roman" w:eastAsia="Times New Roman" w:hAnsi="Times New Roman"/>
          <w:spacing w:val="-2"/>
        </w:rPr>
        <w:t>Modeled Reinsurance</w:t>
      </w:r>
    </w:p>
    <w:p w14:paraId="3B3460AF" w14:textId="77777777" w:rsidR="003129FE" w:rsidRPr="0059240B" w:rsidRDefault="003129FE" w:rsidP="004E4618">
      <w:pPr>
        <w:spacing w:after="220" w:line="240" w:lineRule="auto"/>
        <w:ind w:left="720"/>
        <w:rPr>
          <w:rFonts w:ascii="Times New Roman" w:eastAsia="Times New Roman" w:hAnsi="Times New Roman"/>
          <w:spacing w:val="-2"/>
        </w:rPr>
      </w:pPr>
      <w:r w:rsidRPr="0059240B">
        <w:rPr>
          <w:rFonts w:ascii="Times New Roman" w:eastAsia="Times New Roman" w:hAnsi="Times New Roman"/>
          <w:spacing w:val="-2"/>
        </w:rPr>
        <w:t>Cash flows associated with reinsurance shall be projected in the same manner as that used in the calculation of the stochastic reserve as described in Section 3 of these requirements.</w:t>
      </w:r>
    </w:p>
    <w:p w14:paraId="636DEE9E" w14:textId="445AD10B" w:rsidR="003129FE" w:rsidRPr="0059240B" w:rsidRDefault="00CE59F0" w:rsidP="004E4618">
      <w:pPr>
        <w:keepNext/>
        <w:spacing w:after="220" w:line="240" w:lineRule="auto"/>
        <w:ind w:left="720" w:hanging="720"/>
        <w:rPr>
          <w:rFonts w:ascii="Times New Roman" w:eastAsia="Times New Roman" w:hAnsi="Times New Roman"/>
        </w:rPr>
      </w:pPr>
      <w:r w:rsidRPr="0059240B">
        <w:rPr>
          <w:rFonts w:ascii="Times New Roman" w:eastAsia="Times New Roman" w:hAnsi="Times New Roman"/>
        </w:rPr>
        <w:t>5</w:t>
      </w:r>
      <w:r w:rsidR="003129FE" w:rsidRPr="0059240B">
        <w:rPr>
          <w:rFonts w:ascii="Times New Roman" w:eastAsia="Times New Roman" w:hAnsi="Times New Roman"/>
        </w:rPr>
        <w:t>.</w:t>
      </w:r>
      <w:r w:rsidR="003129FE" w:rsidRPr="0059240B">
        <w:rPr>
          <w:rFonts w:ascii="Times New Roman" w:eastAsia="Times New Roman" w:hAnsi="Times New Roman"/>
        </w:rPr>
        <w:tab/>
      </w:r>
      <w:r w:rsidR="003129FE" w:rsidRPr="0059240B">
        <w:rPr>
          <w:rFonts w:ascii="Times New Roman" w:eastAsia="Times New Roman" w:hAnsi="Times New Roman"/>
          <w:spacing w:val="-2"/>
        </w:rPr>
        <w:t xml:space="preserve">Modeled </w:t>
      </w:r>
      <w:r w:rsidR="003129FE" w:rsidRPr="0059240B">
        <w:rPr>
          <w:rFonts w:ascii="Times New Roman" w:eastAsia="Times New Roman" w:hAnsi="Times New Roman"/>
        </w:rPr>
        <w:t>Hedges</w:t>
      </w:r>
    </w:p>
    <w:p w14:paraId="0B680376" w14:textId="77777777" w:rsidR="003129FE" w:rsidRPr="0059240B" w:rsidRDefault="003129FE" w:rsidP="004E4618">
      <w:pPr>
        <w:spacing w:after="220" w:line="240" w:lineRule="auto"/>
        <w:ind w:left="720"/>
        <w:rPr>
          <w:rFonts w:ascii="Times New Roman" w:eastAsia="Times New Roman" w:hAnsi="Times New Roman"/>
        </w:rPr>
      </w:pPr>
      <w:r w:rsidRPr="0059240B">
        <w:rPr>
          <w:rFonts w:ascii="Times New Roman" w:eastAsia="Times New Roman" w:hAnsi="Times New Roman"/>
        </w:rPr>
        <w:t>Cash flows associated with hedging shall be projected in the same manner as that used in the calculation of the CTE70 (adjusted) as discussed in Section 9.C or Section 4.A.4.a for a company without a CDHS.</w:t>
      </w:r>
    </w:p>
    <w:p w14:paraId="30597419" w14:textId="6B125B86" w:rsidR="003129FE" w:rsidRPr="0059240B" w:rsidRDefault="00CE59F0" w:rsidP="004E4618">
      <w:pPr>
        <w:keepNext/>
        <w:spacing w:after="220" w:line="240" w:lineRule="auto"/>
        <w:ind w:left="720" w:hanging="720"/>
        <w:rPr>
          <w:rFonts w:ascii="Times New Roman" w:eastAsia="Times New Roman" w:hAnsi="Times New Roman"/>
        </w:rPr>
      </w:pPr>
      <w:r w:rsidRPr="0059240B">
        <w:rPr>
          <w:rFonts w:ascii="Times New Roman" w:eastAsia="Times New Roman" w:hAnsi="Times New Roman"/>
        </w:rPr>
        <w:t>6</w:t>
      </w:r>
      <w:r w:rsidR="003129FE" w:rsidRPr="0059240B">
        <w:rPr>
          <w:rFonts w:ascii="Times New Roman" w:eastAsia="Times New Roman" w:hAnsi="Times New Roman"/>
        </w:rPr>
        <w:t>.</w:t>
      </w:r>
      <w:r w:rsidR="003129FE" w:rsidRPr="0059240B">
        <w:rPr>
          <w:rFonts w:ascii="Times New Roman" w:eastAsia="Times New Roman" w:hAnsi="Times New Roman"/>
        </w:rPr>
        <w:tab/>
        <w:t>Market Paths for CSMP Method</w:t>
      </w:r>
    </w:p>
    <w:p w14:paraId="72C7BFB1" w14:textId="03D1CFF1" w:rsidR="003129FE" w:rsidRPr="0059240B" w:rsidRDefault="003129FE" w:rsidP="004E4618">
      <w:pPr>
        <w:spacing w:after="220" w:line="240" w:lineRule="auto"/>
        <w:ind w:left="720"/>
        <w:rPr>
          <w:rFonts w:ascii="Times New Roman" w:eastAsia="Times New Roman" w:hAnsi="Times New Roman"/>
        </w:rPr>
      </w:pPr>
      <w:r w:rsidRPr="0059240B">
        <w:rPr>
          <w:rFonts w:ascii="Times New Roman" w:eastAsia="Times New Roman" w:hAnsi="Times New Roman"/>
        </w:rPr>
        <w:t>If the company elects the CSMP method described in Section 6.B.</w:t>
      </w:r>
      <w:r w:rsidR="00CE59F0" w:rsidRPr="0059240B">
        <w:rPr>
          <w:rFonts w:ascii="Times New Roman" w:eastAsia="Times New Roman" w:hAnsi="Times New Roman"/>
        </w:rPr>
        <w:t>3</w:t>
      </w:r>
      <w:r w:rsidRPr="0059240B">
        <w:rPr>
          <w:rFonts w:ascii="Times New Roman" w:eastAsia="Times New Roman" w:hAnsi="Times New Roman"/>
        </w:rPr>
        <w:t xml:space="preserve">.a, the </w:t>
      </w:r>
      <w:r w:rsidR="00186D31" w:rsidRPr="0059240B">
        <w:rPr>
          <w:rFonts w:ascii="Times New Roman" w:eastAsia="Times New Roman" w:hAnsi="Times New Roman"/>
        </w:rPr>
        <w:t>a</w:t>
      </w:r>
      <w:r w:rsidRPr="0059240B">
        <w:rPr>
          <w:rFonts w:ascii="Times New Roman" w:eastAsia="Times New Roman" w:hAnsi="Times New Roman"/>
        </w:rPr>
        <w:t xml:space="preserve">dditional </w:t>
      </w:r>
      <w:r w:rsidR="00186D31" w:rsidRPr="0059240B">
        <w:rPr>
          <w:rFonts w:ascii="Times New Roman" w:eastAsia="Times New Roman" w:hAnsi="Times New Roman"/>
        </w:rPr>
        <w:t>s</w:t>
      </w:r>
      <w:r w:rsidRPr="0059240B">
        <w:rPr>
          <w:rFonts w:ascii="Times New Roman" w:eastAsia="Times New Roman" w:hAnsi="Times New Roman"/>
        </w:rPr>
        <w:t xml:space="preserve">tandard </w:t>
      </w:r>
      <w:r w:rsidR="00186D31" w:rsidRPr="0059240B">
        <w:rPr>
          <w:rFonts w:ascii="Times New Roman" w:eastAsia="Times New Roman" w:hAnsi="Times New Roman"/>
        </w:rPr>
        <w:t>p</w:t>
      </w:r>
      <w:r w:rsidRPr="0059240B">
        <w:rPr>
          <w:rFonts w:ascii="Times New Roman" w:eastAsia="Times New Roman" w:hAnsi="Times New Roman"/>
        </w:rPr>
        <w:t xml:space="preserve">rojection </w:t>
      </w:r>
      <w:r w:rsidR="00186D31" w:rsidRPr="0059240B">
        <w:rPr>
          <w:rFonts w:ascii="Times New Roman" w:eastAsia="Times New Roman" w:hAnsi="Times New Roman"/>
        </w:rPr>
        <w:t>a</w:t>
      </w:r>
      <w:r w:rsidRPr="0059240B">
        <w:rPr>
          <w:rFonts w:ascii="Times New Roman" w:eastAsia="Times New Roman" w:hAnsi="Times New Roman"/>
        </w:rPr>
        <w:t>mount shall be determined from the scenario reserves calculated for the prescribed market paths defined below. Each prescribed market path shall be defined by an initial equity fund stress and an initial interest rate stress, after which equity fund returns steadily recover and interest rates revert to the same long term mean.</w:t>
      </w:r>
    </w:p>
    <w:p w14:paraId="7411D69E" w14:textId="77777777" w:rsidR="003129FE" w:rsidRPr="0059240B" w:rsidRDefault="003129FE" w:rsidP="004E4618">
      <w:pPr>
        <w:spacing w:after="220" w:line="240" w:lineRule="auto"/>
        <w:ind w:left="720"/>
        <w:rPr>
          <w:rFonts w:ascii="Times New Roman" w:eastAsia="Times New Roman" w:hAnsi="Times New Roman"/>
        </w:rPr>
      </w:pPr>
      <w:r w:rsidRPr="0059240B">
        <w:rPr>
          <w:rFonts w:ascii="Times New Roman" w:eastAsia="Times New Roman" w:hAnsi="Times New Roman"/>
        </w:rPr>
        <w:t>All combinations of prescribed equity fund return scenarios and interest rate scenarios shall be considered prescribed Standard Projection market paths. Accordingly, each company shall calculate scenario reserves for a minimum of 40 market paths.</w:t>
      </w:r>
    </w:p>
    <w:p w14:paraId="6B636C33" w14:textId="77777777" w:rsidR="003129FE" w:rsidRPr="0059240B" w:rsidRDefault="003129FE" w:rsidP="004E4618">
      <w:pPr>
        <w:spacing w:after="220" w:line="240" w:lineRule="auto"/>
        <w:ind w:left="144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Equity Fund Returns. Eight equity fund return market paths shall be used. These market paths differ only in the prescribed gross return in the first projection year.</w:t>
      </w:r>
    </w:p>
    <w:p w14:paraId="603AC3A8" w14:textId="77777777" w:rsidR="003129FE" w:rsidRPr="0059240B" w:rsidRDefault="003129FE" w:rsidP="004E4618">
      <w:pPr>
        <w:spacing w:after="220" w:line="240" w:lineRule="auto"/>
        <w:ind w:left="1440"/>
        <w:rPr>
          <w:rFonts w:ascii="Times New Roman" w:eastAsia="Times New Roman" w:hAnsi="Times New Roman"/>
        </w:rPr>
      </w:pPr>
      <w:r w:rsidRPr="0059240B">
        <w:rPr>
          <w:rFonts w:ascii="Times New Roman" w:eastAsia="Times New Roman" w:hAnsi="Times New Roman"/>
        </w:rPr>
        <w:t>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market paths shall assume total gross returns of 3.0% per annum.</w:t>
      </w:r>
    </w:p>
    <w:p w14:paraId="4970E9DC" w14:textId="7924BC77" w:rsidR="003129FE" w:rsidRPr="0059240B" w:rsidRDefault="003129FE" w:rsidP="004E4618">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If the eight prescribed equity fund market paths are insufficient for a company to calculate the </w:t>
      </w:r>
      <w:r w:rsidR="00186D31" w:rsidRPr="0059240B">
        <w:rPr>
          <w:rFonts w:ascii="Times New Roman" w:eastAsia="Times New Roman" w:hAnsi="Times New Roman"/>
        </w:rPr>
        <w:t>a</w:t>
      </w:r>
      <w:r w:rsidRPr="0059240B">
        <w:rPr>
          <w:rFonts w:ascii="Times New Roman" w:eastAsia="Times New Roman" w:hAnsi="Times New Roman"/>
        </w:rPr>
        <w:t xml:space="preserve">dditional </w:t>
      </w:r>
      <w:r w:rsidR="00186D31" w:rsidRPr="0059240B">
        <w:rPr>
          <w:rFonts w:ascii="Times New Roman" w:eastAsia="Times New Roman" w:hAnsi="Times New Roman"/>
        </w:rPr>
        <w:t>s</w:t>
      </w:r>
      <w:r w:rsidRPr="0059240B">
        <w:rPr>
          <w:rFonts w:ascii="Times New Roman" w:eastAsia="Times New Roman" w:hAnsi="Times New Roman"/>
        </w:rPr>
        <w:t xml:space="preserve">tandard </w:t>
      </w:r>
      <w:r w:rsidR="00186D31" w:rsidRPr="0059240B">
        <w:rPr>
          <w:rFonts w:ascii="Times New Roman" w:eastAsia="Times New Roman" w:hAnsi="Times New Roman"/>
        </w:rPr>
        <w:t>p</w:t>
      </w:r>
      <w:r w:rsidRPr="0059240B">
        <w:rPr>
          <w:rFonts w:ascii="Times New Roman" w:eastAsia="Times New Roman" w:hAnsi="Times New Roman"/>
        </w:rPr>
        <w:t xml:space="preserve">rojection </w:t>
      </w:r>
      <w:r w:rsidR="00186D31" w:rsidRPr="0059240B">
        <w:rPr>
          <w:rFonts w:ascii="Times New Roman" w:eastAsia="Times New Roman" w:hAnsi="Times New Roman"/>
        </w:rPr>
        <w:t>a</w:t>
      </w:r>
      <w:r w:rsidRPr="0059240B">
        <w:rPr>
          <w:rFonts w:ascii="Times New Roman" w:eastAsia="Times New Roman" w:hAnsi="Times New Roman"/>
        </w:rPr>
        <w:t xml:space="preserve">mount via steps (i) </w:t>
      </w:r>
      <w:r w:rsidR="00005FD2" w:rsidRPr="0059240B">
        <w:rPr>
          <w:rFonts w:ascii="Times New Roman" w:eastAsia="Times New Roman" w:hAnsi="Times New Roman"/>
        </w:rPr>
        <w:t>through</w:t>
      </w:r>
      <w:r w:rsidRPr="0059240B">
        <w:rPr>
          <w:rFonts w:ascii="Times New Roman" w:eastAsia="Times New Roman" w:hAnsi="Times New Roman"/>
        </w:rPr>
        <w:t xml:space="preserve"> (vii) outlined in Section 6.B.</w:t>
      </w:r>
      <w:r w:rsidR="00CE59F0" w:rsidRPr="0059240B">
        <w:rPr>
          <w:rFonts w:ascii="Times New Roman" w:eastAsia="Times New Roman" w:hAnsi="Times New Roman"/>
        </w:rPr>
        <w:t>3</w:t>
      </w:r>
      <w:r w:rsidRPr="0059240B">
        <w:rPr>
          <w:rFonts w:ascii="Times New Roman" w:eastAsia="Times New Roman" w:hAnsi="Times New Roman"/>
        </w:rPr>
        <w:t>.a, then the company shall include additional equity fund market paths that increase or decrease the prescribed gross returns in the first projection year by 5% increments at a time.</w:t>
      </w:r>
    </w:p>
    <w:p w14:paraId="0BC870FF" w14:textId="77777777" w:rsidR="003129FE" w:rsidRPr="0059240B" w:rsidRDefault="003129FE" w:rsidP="004E4618">
      <w:pPr>
        <w:spacing w:after="220" w:line="240" w:lineRule="auto"/>
        <w:ind w:left="144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 xml:space="preserve">Interest Rates. Five interest rate market paths shall be used. </w:t>
      </w:r>
    </w:p>
    <w:p w14:paraId="23A39279" w14:textId="77777777" w:rsidR="003129FE" w:rsidRPr="0059240B" w:rsidRDefault="003129FE" w:rsidP="004E4618">
      <w:pPr>
        <w:spacing w:after="220" w:line="240" w:lineRule="auto"/>
        <w:ind w:left="1440"/>
        <w:rPr>
          <w:rFonts w:ascii="Times New Roman" w:eastAsia="Times New Roman" w:hAnsi="Times New Roman"/>
        </w:rPr>
      </w:pPr>
      <w:r w:rsidRPr="0059240B">
        <w:rPr>
          <w:rFonts w:ascii="Times New Roman" w:eastAsia="Times New Roman" w:hAnsi="Times New Roman"/>
        </w:rPr>
        <w:t>The five prescribed interest rate market paths shall differ in the starting U.S. Treasury rates used to generate the mean interest rate path. Specifically, the following five sets of starting U.S. Treasury rates shall be used:</w:t>
      </w:r>
    </w:p>
    <w:p w14:paraId="5536E966" w14:textId="77777777" w:rsidR="003129FE" w:rsidRPr="0059240B" w:rsidRDefault="003129FE" w:rsidP="00E87EFC">
      <w:pPr>
        <w:pStyle w:val="ListParagraph"/>
        <w:numPr>
          <w:ilvl w:val="0"/>
          <w:numId w:val="39"/>
        </w:numPr>
        <w:spacing w:after="220" w:line="240" w:lineRule="auto"/>
        <w:rPr>
          <w:rFonts w:ascii="Times New Roman" w:eastAsia="Times New Roman" w:hAnsi="Times New Roman"/>
        </w:rPr>
      </w:pPr>
      <w:r w:rsidRPr="0059240B">
        <w:rPr>
          <w:rFonts w:ascii="Times New Roman" w:eastAsia="Times New Roman" w:hAnsi="Times New Roman"/>
        </w:rPr>
        <w:t>The actual U.S. Treasury rates as of the valuation date;</w:t>
      </w:r>
    </w:p>
    <w:p w14:paraId="36A4C5CC" w14:textId="77777777" w:rsidR="003129FE" w:rsidRPr="0059240B" w:rsidRDefault="003129FE" w:rsidP="00E87EFC">
      <w:pPr>
        <w:pStyle w:val="ListParagraph"/>
        <w:numPr>
          <w:ilvl w:val="0"/>
          <w:numId w:val="39"/>
        </w:numPr>
        <w:spacing w:after="220" w:line="240" w:lineRule="auto"/>
        <w:rPr>
          <w:rFonts w:ascii="Times New Roman" w:eastAsia="Times New Roman" w:hAnsi="Times New Roman"/>
        </w:rPr>
      </w:pPr>
      <w:r w:rsidRPr="0059240B">
        <w:rPr>
          <w:rFonts w:ascii="Times New Roman" w:eastAsia="Times New Roman" w:hAnsi="Times New Roman"/>
        </w:rPr>
        <w:t>The actual U.S. Treasury rates as of the valuation date, reduced at each point on the term structure by 25% of the difference between the U.S. Treasury rate as of the valuation date and 0.01%;</w:t>
      </w:r>
    </w:p>
    <w:p w14:paraId="6A44F17B" w14:textId="77777777" w:rsidR="003129FE" w:rsidRPr="0059240B" w:rsidRDefault="003129FE" w:rsidP="00E87EFC">
      <w:pPr>
        <w:pStyle w:val="ListParagraph"/>
        <w:numPr>
          <w:ilvl w:val="0"/>
          <w:numId w:val="39"/>
        </w:numPr>
        <w:spacing w:after="220" w:line="240" w:lineRule="auto"/>
        <w:rPr>
          <w:rFonts w:ascii="Times New Roman" w:eastAsia="Times New Roman" w:hAnsi="Times New Roman"/>
        </w:rPr>
      </w:pPr>
      <w:r w:rsidRPr="0059240B">
        <w:rPr>
          <w:rFonts w:ascii="Times New Roman" w:eastAsia="Times New Roman" w:hAnsi="Times New Roman"/>
        </w:rPr>
        <w:t>The actual U.S. Treasury rates as of the valuation date, reduced at each point on the term structure by 50% of the difference between the U.S. Treasury rate as of the valuation date and 0.01%;</w:t>
      </w:r>
    </w:p>
    <w:p w14:paraId="71F0FBBC" w14:textId="77777777" w:rsidR="003129FE" w:rsidRPr="0059240B" w:rsidRDefault="003129FE" w:rsidP="00E87EFC">
      <w:pPr>
        <w:pStyle w:val="ListParagraph"/>
        <w:numPr>
          <w:ilvl w:val="0"/>
          <w:numId w:val="39"/>
        </w:numPr>
        <w:spacing w:after="220" w:line="240" w:lineRule="auto"/>
        <w:rPr>
          <w:rFonts w:ascii="Times New Roman" w:eastAsia="Times New Roman" w:hAnsi="Times New Roman"/>
        </w:rPr>
      </w:pPr>
      <w:r w:rsidRPr="0059240B">
        <w:rPr>
          <w:rFonts w:ascii="Times New Roman" w:eastAsia="Times New Roman" w:hAnsi="Times New Roman"/>
        </w:rPr>
        <w:t xml:space="preserve">The actual U.S. Treasury rates as of the valuation date, reduced at each point on the term structure by 75% of the difference between the U.S. Treasury rate as of the valuation date </w:t>
      </w:r>
      <w:r w:rsidRPr="0059240B">
        <w:rPr>
          <w:rFonts w:ascii="Times New Roman" w:eastAsia="Times New Roman" w:hAnsi="Times New Roman"/>
        </w:rPr>
        <w:lastRenderedPageBreak/>
        <w:t>and 0.01%;</w:t>
      </w:r>
    </w:p>
    <w:p w14:paraId="44F64565" w14:textId="77777777" w:rsidR="003129FE" w:rsidRPr="0059240B" w:rsidRDefault="003129FE" w:rsidP="00E87EFC">
      <w:pPr>
        <w:pStyle w:val="ListParagraph"/>
        <w:numPr>
          <w:ilvl w:val="0"/>
          <w:numId w:val="39"/>
        </w:numPr>
        <w:spacing w:after="220" w:line="240" w:lineRule="auto"/>
        <w:rPr>
          <w:rFonts w:ascii="Times New Roman" w:eastAsia="Times New Roman" w:hAnsi="Times New Roman"/>
        </w:rPr>
      </w:pPr>
      <w:r w:rsidRPr="0059240B">
        <w:rPr>
          <w:rFonts w:ascii="Times New Roman" w:eastAsia="Times New Roman" w:hAnsi="Times New Roman"/>
        </w:rPr>
        <w:t>The actual U.S. Treasury rates as of the valuation date, increased at each point on the term structure by 25% of the difference between the U.S. Treasury rate as of the valuation date and 0.01%.</w:t>
      </w:r>
    </w:p>
    <w:p w14:paraId="36D11553" w14:textId="77777777" w:rsidR="003129FE" w:rsidRPr="0059240B" w:rsidRDefault="003129FE" w:rsidP="004E4618">
      <w:pPr>
        <w:spacing w:after="220" w:line="240" w:lineRule="auto"/>
        <w:ind w:left="1440"/>
        <w:rPr>
          <w:rFonts w:ascii="Times New Roman" w:eastAsia="Times New Roman" w:hAnsi="Times New Roman"/>
        </w:rPr>
      </w:pPr>
      <w:r w:rsidRPr="0059240B">
        <w:rPr>
          <w:rFonts w:ascii="Times New Roman" w:eastAsia="Times New Roman" w:hAnsi="Times New Roman"/>
        </w:rPr>
        <w:t>For each of these five sets of starting U.S. Treasury rates, the prescribed interest rate market path is defined as the interest rate path generated by the prescribed interest rate scenario generator (described in Section 8.B) when the applicable set of starting rates is the initial yield curve for the generator and all random variables in the generator are set to zero across all time periods. The starting U.S. Treasury rates should not change any prescribed parameters in the generator, including the mean reversion parameter.</w:t>
      </w:r>
    </w:p>
    <w:p w14:paraId="0E2BDEA2" w14:textId="06ACD271" w:rsidR="003129FE" w:rsidRPr="0059240B" w:rsidRDefault="003129FE" w:rsidP="004E4618">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If the five prescribed interest rate market paths are insufficient for a company to calculate the Additional Standard Projection Amount via steps (i) </w:t>
      </w:r>
      <w:r w:rsidR="00005FD2" w:rsidRPr="0059240B">
        <w:rPr>
          <w:rFonts w:ascii="Times New Roman" w:eastAsia="Times New Roman" w:hAnsi="Times New Roman"/>
        </w:rPr>
        <w:t>through</w:t>
      </w:r>
      <w:r w:rsidRPr="0059240B">
        <w:rPr>
          <w:rFonts w:ascii="Times New Roman" w:eastAsia="Times New Roman" w:hAnsi="Times New Roman"/>
        </w:rPr>
        <w:t xml:space="preserve"> (vii) outlined in Section 6.B.</w:t>
      </w:r>
      <w:r w:rsidR="00CE59F0" w:rsidRPr="0059240B">
        <w:rPr>
          <w:rFonts w:ascii="Times New Roman" w:eastAsia="Times New Roman" w:hAnsi="Times New Roman"/>
        </w:rPr>
        <w:t>3</w:t>
      </w:r>
      <w:r w:rsidRPr="0059240B">
        <w:rPr>
          <w:rFonts w:ascii="Times New Roman" w:eastAsia="Times New Roman" w:hAnsi="Times New Roman"/>
        </w:rPr>
        <w:t>.a, then the company shall include additional interest rate market paths that increase or decrease the prescribed starting U.S. Treasury rates at each point on the term structure by increments equal to 25% of the difference between the U.S. Treasury rate as of the valuation date and 0.01%.  The lowest interest rate to be used in this analysis is 0.01%.</w:t>
      </w:r>
    </w:p>
    <w:p w14:paraId="44089949" w14:textId="77777777" w:rsidR="003129FE" w:rsidRPr="0059240B" w:rsidRDefault="003129FE" w:rsidP="004E4618">
      <w:pPr>
        <w:spacing w:after="220" w:line="240" w:lineRule="auto"/>
        <w:ind w:left="1440"/>
        <w:rPr>
          <w:rFonts w:ascii="Times New Roman" w:eastAsia="Times New Roman" w:hAnsi="Times New Roman"/>
        </w:rPr>
      </w:pPr>
      <w:r w:rsidRPr="0059240B">
        <w:rPr>
          <w:rFonts w:ascii="Times New Roman" w:eastAsia="Times New Roman" w:hAnsi="Times New Roman"/>
        </w:rPr>
        <w:t>For projecting swap rates along the prescribed interest rate market paths, companies shall assume that the swap-to-Treasury spread term structure in effect as of the valuation date persists throughout each market path.  The lowest swap rate to be used in this analysis is 0.01%.</w:t>
      </w:r>
    </w:p>
    <w:p w14:paraId="18ED5459" w14:textId="77777777" w:rsidR="003129FE" w:rsidRPr="0059240B" w:rsidRDefault="003129FE" w:rsidP="004E4618">
      <w:pPr>
        <w:spacing w:after="220" w:line="240" w:lineRule="auto"/>
        <w:ind w:left="144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Indices and Returns That Are Not Scenario-Specific. The following market indicators and fund returns are constructed in a consistent manner across all prescribed market paths:</w:t>
      </w:r>
    </w:p>
    <w:p w14:paraId="29994DF1" w14:textId="77777777" w:rsidR="007D150A" w:rsidRPr="0059240B" w:rsidRDefault="007D150A" w:rsidP="007A6B74">
      <w:pPr>
        <w:keepNext/>
        <w:spacing w:after="220" w:line="240" w:lineRule="auto"/>
        <w:ind w:left="4680"/>
        <w:rPr>
          <w:rFonts w:ascii="Times New Roman" w:eastAsia="Times New Roman" w:hAnsi="Times New Roman"/>
          <w:position w:val="-1"/>
        </w:rPr>
      </w:pPr>
    </w:p>
    <w:p w14:paraId="07E33F3E" w14:textId="77777777" w:rsidR="007D150A" w:rsidRPr="0059240B" w:rsidRDefault="007D150A" w:rsidP="007A6B74">
      <w:pPr>
        <w:keepNext/>
        <w:spacing w:after="220" w:line="240" w:lineRule="auto"/>
        <w:ind w:left="4680"/>
        <w:rPr>
          <w:rFonts w:ascii="Times New Roman" w:eastAsia="Times New Roman" w:hAnsi="Times New Roman"/>
          <w:position w:val="-1"/>
        </w:rPr>
      </w:pPr>
    </w:p>
    <w:p w14:paraId="2B5D6951" w14:textId="77777777" w:rsidR="007D150A" w:rsidRPr="0059240B" w:rsidRDefault="007D150A" w:rsidP="007A6B74">
      <w:pPr>
        <w:keepNext/>
        <w:spacing w:after="220" w:line="240" w:lineRule="auto"/>
        <w:ind w:left="4680"/>
        <w:rPr>
          <w:rFonts w:ascii="Times New Roman" w:eastAsia="Times New Roman" w:hAnsi="Times New Roman"/>
          <w:position w:val="-1"/>
        </w:rPr>
      </w:pPr>
    </w:p>
    <w:p w14:paraId="71AD15CC" w14:textId="77B97B1C" w:rsidR="00186D31" w:rsidRPr="0059240B" w:rsidRDefault="00186D31" w:rsidP="007A6B74">
      <w:pPr>
        <w:keepNext/>
        <w:spacing w:after="220" w:line="240" w:lineRule="auto"/>
        <w:ind w:left="4680"/>
        <w:rPr>
          <w:rFonts w:ascii="Times New Roman" w:eastAsia="Times New Roman" w:hAnsi="Times New Roman"/>
        </w:rPr>
      </w:pPr>
      <w:r w:rsidRPr="0059240B">
        <w:rPr>
          <w:rFonts w:ascii="Times New Roman" w:eastAsia="Times New Roman" w:hAnsi="Times New Roman"/>
          <w:position w:val="-1"/>
        </w:rPr>
        <w:t>Table 6.1: Returns and Indicators</w:t>
      </w:r>
    </w:p>
    <w:tbl>
      <w:tblPr>
        <w:tblStyle w:val="TableGrid"/>
        <w:tblW w:w="0" w:type="auto"/>
        <w:tblInd w:w="1548" w:type="dxa"/>
        <w:tblLayout w:type="fixed"/>
        <w:tblLook w:val="04A0" w:firstRow="1" w:lastRow="0" w:firstColumn="1" w:lastColumn="0" w:noHBand="0" w:noVBand="1"/>
      </w:tblPr>
      <w:tblGrid>
        <w:gridCol w:w="2070"/>
        <w:gridCol w:w="67"/>
        <w:gridCol w:w="5891"/>
        <w:gridCol w:w="67"/>
      </w:tblGrid>
      <w:tr w:rsidR="00067EEF" w:rsidRPr="0059240B" w14:paraId="6DF54A51" w14:textId="77777777" w:rsidTr="00063E8C">
        <w:trPr>
          <w:gridAfter w:val="1"/>
          <w:wAfter w:w="40" w:type="dxa"/>
        </w:trPr>
        <w:tc>
          <w:tcPr>
            <w:tcW w:w="2070" w:type="dxa"/>
          </w:tcPr>
          <w:p w14:paraId="4B335BA6" w14:textId="77777777" w:rsidR="00067EEF" w:rsidRPr="0059240B" w:rsidRDefault="00067EEF" w:rsidP="00067EEF">
            <w:pPr>
              <w:pStyle w:val="Default"/>
              <w:ind w:left="135" w:right="-3690"/>
              <w:rPr>
                <w:sz w:val="22"/>
              </w:rPr>
            </w:pPr>
            <w:r w:rsidRPr="0059240B">
              <w:rPr>
                <w:color w:val="0000FF"/>
                <w:sz w:val="22"/>
                <w:szCs w:val="22"/>
              </w:rPr>
              <w:t xml:space="preserve">Returns &amp; indicators </w:t>
            </w:r>
          </w:p>
        </w:tc>
        <w:tc>
          <w:tcPr>
            <w:tcW w:w="5958" w:type="dxa"/>
            <w:gridSpan w:val="2"/>
          </w:tcPr>
          <w:p w14:paraId="0C4FD6EF" w14:textId="1DB4F339" w:rsidR="00067EEF" w:rsidRPr="0059240B" w:rsidRDefault="00067EEF" w:rsidP="00DD29B3">
            <w:pPr>
              <w:keepNext/>
              <w:ind w:left="720"/>
              <w:rPr>
                <w:rFonts w:ascii="Times New Roman" w:hAnsi="Times New Roman"/>
                <w:sz w:val="22"/>
              </w:rPr>
            </w:pPr>
            <w:r w:rsidRPr="0059240B">
              <w:rPr>
                <w:rFonts w:ascii="Times New Roman" w:hAnsi="Times New Roman"/>
                <w:sz w:val="22"/>
                <w:szCs w:val="22"/>
              </w:rPr>
              <w:t>All projection years</w:t>
            </w:r>
          </w:p>
        </w:tc>
      </w:tr>
      <w:tr w:rsidR="00067EEF" w:rsidRPr="0059240B" w14:paraId="10732893" w14:textId="77777777" w:rsidTr="00063E8C">
        <w:trPr>
          <w:gridAfter w:val="1"/>
          <w:wAfter w:w="27" w:type="dxa"/>
        </w:trPr>
        <w:tc>
          <w:tcPr>
            <w:tcW w:w="2070" w:type="dxa"/>
          </w:tcPr>
          <w:p w14:paraId="6711A216" w14:textId="41E3882E" w:rsidR="00067EEF" w:rsidRPr="0059240B" w:rsidRDefault="00067EEF" w:rsidP="00DD29B3">
            <w:pPr>
              <w:keepNext/>
              <w:ind w:left="288"/>
              <w:rPr>
                <w:rFonts w:ascii="Times New Roman" w:hAnsi="Times New Roman"/>
                <w:sz w:val="22"/>
              </w:rPr>
            </w:pPr>
            <w:r w:rsidRPr="0059240B">
              <w:rPr>
                <w:rFonts w:ascii="Times New Roman" w:hAnsi="Times New Roman"/>
                <w:sz w:val="22"/>
              </w:rPr>
              <w:lastRenderedPageBreak/>
              <w:t xml:space="preserve">Bond </w:t>
            </w:r>
            <w:r w:rsidRPr="0059240B">
              <w:rPr>
                <w:rFonts w:ascii="Times New Roman" w:hAnsi="Times New Roman"/>
                <w:sz w:val="22"/>
                <w:szCs w:val="22"/>
              </w:rPr>
              <w:t>fund returns</w:t>
            </w:r>
          </w:p>
        </w:tc>
        <w:tc>
          <w:tcPr>
            <w:tcW w:w="5958" w:type="dxa"/>
            <w:gridSpan w:val="2"/>
          </w:tcPr>
          <w:p w14:paraId="2A840E98" w14:textId="50EC2893" w:rsidR="00067EEF" w:rsidRPr="0059240B" w:rsidRDefault="00067EEF" w:rsidP="00DD29B3">
            <w:pPr>
              <w:keepNext/>
              <w:ind w:left="720"/>
              <w:rPr>
                <w:rFonts w:ascii="Times New Roman" w:hAnsi="Times New Roman"/>
                <w:sz w:val="22"/>
                <w:szCs w:val="22"/>
              </w:rPr>
            </w:pPr>
            <w:r w:rsidRPr="0059240B">
              <w:rPr>
                <w:rFonts w:ascii="Times New Roman" w:hAnsi="Times New Roman"/>
                <w:sz w:val="22"/>
                <w:szCs w:val="22"/>
              </w:rPr>
              <w:t>Equal to the 5-year trailing average of the 5-year U.S. Treasury rate, plus an earned spread of 100 bps per annum.</w:t>
            </w:r>
          </w:p>
          <w:p w14:paraId="2730A693" w14:textId="77777777" w:rsidR="00067EEF" w:rsidRPr="0059240B" w:rsidRDefault="00067EEF" w:rsidP="00DD29B3">
            <w:pPr>
              <w:keepNext/>
              <w:ind w:left="720"/>
              <w:rPr>
                <w:rFonts w:ascii="Times New Roman" w:hAnsi="Times New Roman"/>
                <w:sz w:val="22"/>
              </w:rPr>
            </w:pPr>
            <w:r w:rsidRPr="0059240B">
              <w:rPr>
                <w:rFonts w:ascii="Times New Roman" w:hAnsi="Times New Roman"/>
                <w:sz w:val="22"/>
                <w:szCs w:val="22"/>
              </w:rPr>
              <w:t>In the first projection year, additionally adjust the projected return by an amount equal to 20% of the prescribed gross equity fund return – with the same directionality, reflected in a linear fashion over the full projection year</w:t>
            </w:r>
          </w:p>
        </w:tc>
      </w:tr>
      <w:tr w:rsidR="003129FE" w:rsidRPr="0059240B" w14:paraId="5DE5B583" w14:textId="77777777" w:rsidTr="004E4618">
        <w:trPr>
          <w:gridAfter w:val="1"/>
          <w:wAfter w:w="27" w:type="dxa"/>
        </w:trPr>
        <w:tc>
          <w:tcPr>
            <w:tcW w:w="2070" w:type="dxa"/>
          </w:tcPr>
          <w:p w14:paraId="79F5FF3E" w14:textId="77777777" w:rsidR="003129FE" w:rsidRPr="0059240B" w:rsidRDefault="003129FE" w:rsidP="00DD29B3">
            <w:pPr>
              <w:keepNext/>
              <w:ind w:left="288"/>
              <w:rPr>
                <w:rFonts w:ascii="Times New Roman" w:hAnsi="Times New Roman"/>
                <w:sz w:val="22"/>
                <w:szCs w:val="22"/>
              </w:rPr>
            </w:pPr>
            <w:r w:rsidRPr="0059240B">
              <w:rPr>
                <w:rFonts w:ascii="Times New Roman" w:hAnsi="Times New Roman"/>
                <w:sz w:val="22"/>
                <w:szCs w:val="22"/>
              </w:rPr>
              <w:t>Money market fund returns</w:t>
            </w:r>
          </w:p>
        </w:tc>
        <w:tc>
          <w:tcPr>
            <w:tcW w:w="5958" w:type="dxa"/>
            <w:gridSpan w:val="2"/>
          </w:tcPr>
          <w:p w14:paraId="6D4DD4B2" w14:textId="77777777" w:rsidR="003129FE" w:rsidRPr="0059240B" w:rsidRDefault="003129FE" w:rsidP="00DD29B3">
            <w:pPr>
              <w:keepNext/>
              <w:ind w:left="720"/>
              <w:rPr>
                <w:rFonts w:ascii="Times New Roman" w:hAnsi="Times New Roman"/>
                <w:sz w:val="22"/>
                <w:szCs w:val="22"/>
              </w:rPr>
            </w:pPr>
            <w:r w:rsidRPr="0059240B">
              <w:rPr>
                <w:rFonts w:ascii="Times New Roman" w:hAnsi="Times New Roman"/>
                <w:sz w:val="22"/>
                <w:szCs w:val="22"/>
              </w:rPr>
              <w:t>Follow the three-month U.S. Treasury rate projected in the prescribed scenario</w:t>
            </w:r>
          </w:p>
        </w:tc>
      </w:tr>
      <w:tr w:rsidR="003129FE" w:rsidRPr="0059240B" w14:paraId="0792F667" w14:textId="77777777" w:rsidTr="004E4618">
        <w:trPr>
          <w:gridAfter w:val="1"/>
          <w:wAfter w:w="27" w:type="dxa"/>
        </w:trPr>
        <w:tc>
          <w:tcPr>
            <w:tcW w:w="2070" w:type="dxa"/>
          </w:tcPr>
          <w:p w14:paraId="50713E60" w14:textId="640B4FCC" w:rsidR="003129FE" w:rsidRPr="0059240B" w:rsidRDefault="003129FE" w:rsidP="00DD29B3">
            <w:pPr>
              <w:keepNext/>
              <w:ind w:left="288"/>
              <w:rPr>
                <w:rFonts w:ascii="Times New Roman" w:hAnsi="Times New Roman"/>
                <w:sz w:val="22"/>
              </w:rPr>
            </w:pPr>
            <w:r w:rsidRPr="0059240B">
              <w:rPr>
                <w:rFonts w:ascii="Times New Roman" w:hAnsi="Times New Roman"/>
                <w:sz w:val="22"/>
              </w:rPr>
              <w:t xml:space="preserve">Balanced </w:t>
            </w:r>
            <w:r w:rsidRPr="0059240B">
              <w:rPr>
                <w:rFonts w:ascii="Times New Roman" w:hAnsi="Times New Roman"/>
                <w:sz w:val="22"/>
                <w:szCs w:val="22"/>
              </w:rPr>
              <w:t>fund returns</w:t>
            </w:r>
          </w:p>
        </w:tc>
        <w:tc>
          <w:tcPr>
            <w:tcW w:w="5958" w:type="dxa"/>
            <w:gridSpan w:val="2"/>
          </w:tcPr>
          <w:p w14:paraId="2372D646" w14:textId="210127F1" w:rsidR="003129FE" w:rsidRPr="0059240B" w:rsidRDefault="003129FE" w:rsidP="00DD29B3">
            <w:pPr>
              <w:keepNext/>
              <w:ind w:left="720"/>
              <w:rPr>
                <w:rFonts w:ascii="Times New Roman" w:hAnsi="Times New Roman"/>
                <w:sz w:val="22"/>
              </w:rPr>
            </w:pPr>
            <w:r w:rsidRPr="0059240B">
              <w:rPr>
                <w:rFonts w:ascii="Times New Roman" w:hAnsi="Times New Roman"/>
                <w:sz w:val="22"/>
                <w:szCs w:val="22"/>
              </w:rPr>
              <w:t>Reflect the equity and bond allocations as of the valuation date and any expected asset rebalancing in the projection consistent with fund operations</w:t>
            </w:r>
          </w:p>
        </w:tc>
      </w:tr>
      <w:tr w:rsidR="00067EEF" w:rsidRPr="0059240B" w14:paraId="797917D7" w14:textId="77777777" w:rsidTr="00063E8C">
        <w:trPr>
          <w:gridAfter w:val="1"/>
          <w:wAfter w:w="27" w:type="dxa"/>
        </w:trPr>
        <w:tc>
          <w:tcPr>
            <w:tcW w:w="2070" w:type="dxa"/>
          </w:tcPr>
          <w:p w14:paraId="1D84948D" w14:textId="0EDD5D68" w:rsidR="00067EEF" w:rsidRPr="0059240B" w:rsidRDefault="00067EEF" w:rsidP="00DD29B3">
            <w:pPr>
              <w:keepNext/>
              <w:ind w:left="288"/>
              <w:rPr>
                <w:rFonts w:ascii="Times New Roman" w:hAnsi="Times New Roman"/>
                <w:sz w:val="22"/>
              </w:rPr>
            </w:pPr>
            <w:r w:rsidRPr="0059240B">
              <w:rPr>
                <w:rFonts w:ascii="Times New Roman" w:hAnsi="Times New Roman"/>
                <w:sz w:val="22"/>
                <w:szCs w:val="22"/>
              </w:rPr>
              <w:t>General account reinvestment rate</w:t>
            </w:r>
          </w:p>
        </w:tc>
        <w:tc>
          <w:tcPr>
            <w:tcW w:w="5958" w:type="dxa"/>
            <w:gridSpan w:val="2"/>
          </w:tcPr>
          <w:p w14:paraId="0243AE0F" w14:textId="5D5515A1" w:rsidR="00067EEF" w:rsidRPr="0059240B" w:rsidRDefault="00067EEF" w:rsidP="00DD29B3">
            <w:pPr>
              <w:keepNext/>
              <w:ind w:left="720"/>
              <w:rPr>
                <w:rFonts w:ascii="Times New Roman" w:hAnsi="Times New Roman"/>
                <w:sz w:val="22"/>
              </w:rPr>
            </w:pPr>
            <w:r w:rsidRPr="0059240B">
              <w:rPr>
                <w:rFonts w:ascii="Times New Roman" w:hAnsi="Times New Roman"/>
                <w:sz w:val="22"/>
                <w:szCs w:val="22"/>
              </w:rPr>
              <w:t>Consistent with the manner in which general account assets – including starting assets, reinvestment assets, and additional invested assets as defined in Section 4.B.3 – are reflected via the method outlined in Section 4.D.4</w:t>
            </w:r>
            <w:r w:rsidR="00FB1D77" w:rsidRPr="0059240B">
              <w:rPr>
                <w:rFonts w:ascii="Times New Roman" w:hAnsi="Times New Roman"/>
                <w:sz w:val="22"/>
                <w:szCs w:val="22"/>
              </w:rPr>
              <w:t xml:space="preserve"> and Section 4.D.5</w:t>
            </w:r>
            <w:r w:rsidRPr="0059240B">
              <w:rPr>
                <w:rFonts w:ascii="Times New Roman" w:hAnsi="Times New Roman"/>
                <w:sz w:val="22"/>
                <w:szCs w:val="22"/>
              </w:rPr>
              <w:t>, including the requirement in Section 4.D.5.a for fixed income assets</w:t>
            </w:r>
          </w:p>
        </w:tc>
      </w:tr>
      <w:tr w:rsidR="00067EEF" w:rsidRPr="0059240B" w14:paraId="5730FE96" w14:textId="77777777" w:rsidTr="00067EEF">
        <w:tc>
          <w:tcPr>
            <w:tcW w:w="2137" w:type="dxa"/>
            <w:gridSpan w:val="2"/>
          </w:tcPr>
          <w:p w14:paraId="44CB88AE" w14:textId="50A6A02F" w:rsidR="00067EEF" w:rsidRPr="0059240B" w:rsidRDefault="00067EEF" w:rsidP="00063E8C">
            <w:pPr>
              <w:keepNext/>
              <w:tabs>
                <w:tab w:val="left" w:pos="225"/>
              </w:tabs>
              <w:ind w:left="405" w:right="165"/>
              <w:rPr>
                <w:rFonts w:ascii="Times New Roman" w:hAnsi="Times New Roman"/>
                <w:sz w:val="22"/>
              </w:rPr>
            </w:pPr>
            <w:r w:rsidRPr="0059240B">
              <w:rPr>
                <w:rFonts w:ascii="Times New Roman" w:hAnsi="Times New Roman"/>
              </w:rPr>
              <w:t xml:space="preserve">Fixed </w:t>
            </w:r>
            <w:r w:rsidRPr="0059240B">
              <w:rPr>
                <w:rFonts w:ascii="Times New Roman" w:hAnsi="Times New Roman"/>
                <w:sz w:val="22"/>
                <w:szCs w:val="22"/>
              </w:rPr>
              <w:t>account returns</w:t>
            </w:r>
          </w:p>
        </w:tc>
        <w:tc>
          <w:tcPr>
            <w:tcW w:w="5958" w:type="dxa"/>
            <w:gridSpan w:val="2"/>
          </w:tcPr>
          <w:p w14:paraId="4F4744F1" w14:textId="235C16E6" w:rsidR="00067EEF" w:rsidRPr="0059240B" w:rsidRDefault="00067EEF" w:rsidP="00DD29B3">
            <w:pPr>
              <w:keepNext/>
              <w:ind w:left="720"/>
              <w:rPr>
                <w:rFonts w:ascii="Times New Roman" w:hAnsi="Times New Roman"/>
                <w:sz w:val="22"/>
                <w:szCs w:val="22"/>
              </w:rPr>
            </w:pPr>
            <w:r w:rsidRPr="0059240B">
              <w:rPr>
                <w:rFonts w:ascii="Times New Roman" w:hAnsi="Times New Roman"/>
                <w:sz w:val="22"/>
                <w:szCs w:val="22"/>
              </w:rPr>
              <w:t>At the option of the company, either (i) follow the company’s documented crediting practices; or (ii) equal to the larger of the contract’s minimum guaranteed crediting rate and the general account earned rate less 200 bps.</w:t>
            </w:r>
          </w:p>
          <w:p w14:paraId="7C2CA132" w14:textId="4E13132F" w:rsidR="00067EEF" w:rsidRPr="0059240B" w:rsidRDefault="00067EEF" w:rsidP="006F13D8">
            <w:pPr>
              <w:keepNext/>
              <w:ind w:left="720"/>
              <w:rPr>
                <w:rFonts w:ascii="Times New Roman" w:hAnsi="Times New Roman"/>
                <w:sz w:val="22"/>
              </w:rPr>
            </w:pPr>
            <w:r w:rsidRPr="0059240B">
              <w:rPr>
                <w:rFonts w:ascii="Times New Roman" w:hAnsi="Times New Roman"/>
                <w:sz w:val="22"/>
                <w:szCs w:val="22"/>
              </w:rPr>
              <w:t xml:space="preserve">For reinsurers that do not have visibility into the </w:t>
            </w:r>
            <w:r w:rsidR="006F13D8" w:rsidRPr="0059240B">
              <w:rPr>
                <w:rFonts w:ascii="Times New Roman" w:hAnsi="Times New Roman"/>
                <w:sz w:val="22"/>
                <w:szCs w:val="22"/>
              </w:rPr>
              <w:t xml:space="preserve">ceding company’s </w:t>
            </w:r>
            <w:r w:rsidRPr="0059240B">
              <w:rPr>
                <w:rFonts w:ascii="Times New Roman" w:hAnsi="Times New Roman"/>
                <w:sz w:val="22"/>
                <w:szCs w:val="22"/>
              </w:rPr>
              <w:t xml:space="preserve">general account earned rate, the company shall project the </w:t>
            </w:r>
            <w:r w:rsidR="006F13D8" w:rsidRPr="0059240B">
              <w:rPr>
                <w:rFonts w:ascii="Times New Roman" w:hAnsi="Times New Roman"/>
                <w:sz w:val="22"/>
                <w:szCs w:val="22"/>
              </w:rPr>
              <w:t xml:space="preserve">ceding company’s </w:t>
            </w:r>
            <w:r w:rsidRPr="0059240B">
              <w:rPr>
                <w:rFonts w:ascii="Times New Roman" w:hAnsi="Times New Roman"/>
                <w:sz w:val="22"/>
                <w:szCs w:val="22"/>
              </w:rPr>
              <w:t>general account earned rate as the 5-year trailing average of the 5-year U.S. Treasury rate, plus an earned spread of 100 bps per annum</w:t>
            </w:r>
          </w:p>
        </w:tc>
      </w:tr>
      <w:tr w:rsidR="003129FE" w:rsidRPr="0059240B" w14:paraId="2460D69C" w14:textId="77777777" w:rsidTr="00067EEF">
        <w:tc>
          <w:tcPr>
            <w:tcW w:w="2137" w:type="dxa"/>
            <w:gridSpan w:val="2"/>
          </w:tcPr>
          <w:p w14:paraId="3A8A9B80" w14:textId="77777777" w:rsidR="003129FE" w:rsidRPr="0059240B" w:rsidRDefault="003129FE" w:rsidP="00063E8C">
            <w:pPr>
              <w:keepNext/>
              <w:tabs>
                <w:tab w:val="left" w:pos="225"/>
              </w:tabs>
              <w:ind w:left="405" w:right="165" w:firstLine="225"/>
              <w:rPr>
                <w:rFonts w:ascii="Times New Roman" w:hAnsi="Times New Roman"/>
                <w:sz w:val="22"/>
                <w:szCs w:val="22"/>
              </w:rPr>
            </w:pPr>
            <w:r w:rsidRPr="0059240B">
              <w:rPr>
                <w:rFonts w:ascii="Times New Roman" w:hAnsi="Times New Roman"/>
                <w:sz w:val="22"/>
                <w:szCs w:val="22"/>
              </w:rPr>
              <w:t>Implied and realized volatility</w:t>
            </w:r>
          </w:p>
        </w:tc>
        <w:tc>
          <w:tcPr>
            <w:tcW w:w="5958" w:type="dxa"/>
            <w:gridSpan w:val="2"/>
          </w:tcPr>
          <w:p w14:paraId="727C449B" w14:textId="77777777" w:rsidR="003129FE" w:rsidRPr="0059240B" w:rsidRDefault="003129FE" w:rsidP="00DD29B3">
            <w:pPr>
              <w:keepNext/>
              <w:ind w:left="720"/>
              <w:rPr>
                <w:rFonts w:ascii="Times New Roman" w:hAnsi="Times New Roman"/>
                <w:sz w:val="22"/>
                <w:szCs w:val="22"/>
              </w:rPr>
            </w:pPr>
            <w:r w:rsidRPr="0059240B">
              <w:rPr>
                <w:rFonts w:ascii="Times New Roman" w:hAnsi="Times New Roman"/>
                <w:sz w:val="22"/>
                <w:szCs w:val="22"/>
              </w:rPr>
              <w:t>Follow the forward volatilities implied by the implied volatility term structure in effect as of the valuation date</w:t>
            </w:r>
          </w:p>
        </w:tc>
      </w:tr>
      <w:tr w:rsidR="003129FE" w:rsidRPr="0059240B" w14:paraId="64494B79" w14:textId="77777777" w:rsidTr="00067EEF">
        <w:tc>
          <w:tcPr>
            <w:tcW w:w="2137" w:type="dxa"/>
            <w:gridSpan w:val="2"/>
          </w:tcPr>
          <w:p w14:paraId="3215F285" w14:textId="77777777" w:rsidR="003129FE" w:rsidRPr="0059240B" w:rsidRDefault="003129FE" w:rsidP="00063E8C">
            <w:pPr>
              <w:keepNext/>
              <w:tabs>
                <w:tab w:val="left" w:pos="225"/>
              </w:tabs>
              <w:ind w:left="405" w:right="165" w:firstLine="225"/>
              <w:rPr>
                <w:rFonts w:ascii="Times New Roman" w:hAnsi="Times New Roman"/>
                <w:sz w:val="22"/>
                <w:szCs w:val="22"/>
              </w:rPr>
            </w:pPr>
            <w:r w:rsidRPr="0059240B">
              <w:rPr>
                <w:rFonts w:ascii="Times New Roman" w:hAnsi="Times New Roman"/>
                <w:sz w:val="22"/>
                <w:szCs w:val="22"/>
              </w:rPr>
              <w:t>Foreign exchange rates</w:t>
            </w:r>
          </w:p>
        </w:tc>
        <w:tc>
          <w:tcPr>
            <w:tcW w:w="5958" w:type="dxa"/>
            <w:gridSpan w:val="2"/>
          </w:tcPr>
          <w:p w14:paraId="0F05959C" w14:textId="77777777" w:rsidR="003129FE" w:rsidRPr="0059240B" w:rsidRDefault="003129FE" w:rsidP="00DD29B3">
            <w:pPr>
              <w:keepNext/>
              <w:ind w:left="720"/>
              <w:rPr>
                <w:rFonts w:ascii="Times New Roman" w:hAnsi="Times New Roman"/>
                <w:sz w:val="22"/>
                <w:szCs w:val="22"/>
              </w:rPr>
            </w:pPr>
            <w:r w:rsidRPr="0059240B">
              <w:rPr>
                <w:rFonts w:ascii="Times New Roman" w:hAnsi="Times New Roman"/>
                <w:sz w:val="22"/>
                <w:szCs w:val="22"/>
              </w:rPr>
              <w:t>Follow the exchange rates implied by spot exchange rates as of the valuation date and the relevant interest rate term structures</w:t>
            </w:r>
          </w:p>
        </w:tc>
      </w:tr>
    </w:tbl>
    <w:p w14:paraId="6AE15DEF" w14:textId="77777777" w:rsidR="003129FE" w:rsidRPr="0059240B" w:rsidRDefault="003129FE" w:rsidP="00067EEF">
      <w:pPr>
        <w:keepNext/>
        <w:spacing w:after="0" w:line="240" w:lineRule="auto"/>
        <w:ind w:left="1440"/>
        <w:rPr>
          <w:rFonts w:ascii="Times New Roman" w:hAnsi="Times New Roman"/>
        </w:rPr>
      </w:pPr>
    </w:p>
    <w:p w14:paraId="736CFC54" w14:textId="5488ED35" w:rsidR="003129FE" w:rsidRPr="0059240B" w:rsidRDefault="003129FE" w:rsidP="004E4618">
      <w:pPr>
        <w:keepNext/>
        <w:spacing w:after="0" w:line="240" w:lineRule="auto"/>
        <w:ind w:left="1440"/>
        <w:rPr>
          <w:rFonts w:ascii="Times New Roman" w:hAnsi="Times New Roman"/>
        </w:rPr>
      </w:pPr>
      <w:r w:rsidRPr="0059240B">
        <w:rPr>
          <w:rFonts w:ascii="Times New Roman" w:hAnsi="Times New Roman"/>
        </w:rPr>
        <w:t xml:space="preserve"> </w:t>
      </w:r>
    </w:p>
    <w:p w14:paraId="1D99AAB6" w14:textId="5C5B3B4A" w:rsidR="003129FE" w:rsidRPr="0059240B" w:rsidRDefault="003129FE" w:rsidP="004E4618">
      <w:pPr>
        <w:keepNext/>
        <w:spacing w:after="0" w:line="240" w:lineRule="auto"/>
        <w:ind w:left="1440"/>
        <w:rPr>
          <w:rFonts w:ascii="Times New Roman" w:hAnsi="Times New Roman"/>
        </w:rPr>
      </w:pPr>
    </w:p>
    <w:p w14:paraId="2B36BDB1" w14:textId="77777777" w:rsidR="003129FE" w:rsidRPr="0059240B" w:rsidRDefault="003129FE" w:rsidP="004E4618">
      <w:pPr>
        <w:keepNext/>
        <w:spacing w:after="220" w:line="240" w:lineRule="auto"/>
        <w:ind w:left="144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Prescribed Assumptions</w:t>
      </w:r>
    </w:p>
    <w:p w14:paraId="6E180444" w14:textId="2400DA94"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Assignment of Guaranteed Benefit Type</w:t>
      </w:r>
    </w:p>
    <w:p w14:paraId="2A68A428" w14:textId="4FCE2ED0" w:rsidR="003129FE" w:rsidRPr="0059240B" w:rsidRDefault="003129FE" w:rsidP="00E87EFC">
      <w:pPr>
        <w:pStyle w:val="ListParagraph"/>
        <w:numPr>
          <w:ilvl w:val="0"/>
          <w:numId w:val="45"/>
        </w:numPr>
        <w:spacing w:after="220" w:line="240" w:lineRule="auto"/>
        <w:ind w:left="2430"/>
        <w:rPr>
          <w:rFonts w:ascii="Times New Roman" w:eastAsia="Times New Roman" w:hAnsi="Times New Roman"/>
        </w:rPr>
      </w:pPr>
      <w:r w:rsidRPr="0059240B">
        <w:rPr>
          <w:rFonts w:ascii="Times New Roman" w:eastAsia="Times New Roman" w:hAnsi="Times New Roman"/>
        </w:rPr>
        <w:t>Assumptions shall be set for each contract in accordance with the contract’s guaranteed benefit type</w:t>
      </w:r>
      <w:r w:rsidR="00356A09" w:rsidRPr="0059240B">
        <w:rPr>
          <w:rFonts w:ascii="Times New Roman" w:eastAsia="Times New Roman" w:hAnsi="Times New Roman"/>
        </w:rPr>
        <w:t>, where a number of common benefit types are specifically</w:t>
      </w:r>
      <w:r w:rsidRPr="0059240B">
        <w:rPr>
          <w:rFonts w:ascii="Times New Roman" w:eastAsia="Times New Roman" w:hAnsi="Times New Roman"/>
        </w:rPr>
        <w:t xml:space="preserve"> defined in VM-01</w:t>
      </w:r>
      <w:r w:rsidR="00356A09" w:rsidRPr="0059240B">
        <w:rPr>
          <w:rFonts w:ascii="Times New Roman" w:eastAsia="Times New Roman" w:hAnsi="Times New Roman"/>
        </w:rPr>
        <w:t xml:space="preserve"> (e.g., GMDB, GMIB, GMWB, etc.)</w:t>
      </w:r>
      <w:r w:rsidRPr="0059240B">
        <w:rPr>
          <w:rFonts w:ascii="Times New Roman" w:eastAsia="Times New Roman" w:hAnsi="Times New Roman"/>
        </w:rPr>
        <w:t>.</w:t>
      </w:r>
      <w:r w:rsidRPr="0059240B">
        <w:t xml:space="preserve"> </w:t>
      </w:r>
      <w:r w:rsidRPr="0059240B">
        <w:rPr>
          <w:rFonts w:ascii="Times New Roman" w:eastAsia="Times New Roman" w:hAnsi="Times New Roman"/>
        </w:rPr>
        <w:t>In addition, a simple 403(b) VA contract shall be defined as a variable annuity contract that</w:t>
      </w:r>
    </w:p>
    <w:p w14:paraId="0B6E6B53" w14:textId="2B80F823" w:rsidR="003129FE" w:rsidRPr="0059240B" w:rsidRDefault="003129FE" w:rsidP="00E87EFC">
      <w:pPr>
        <w:pStyle w:val="ListParagraph"/>
        <w:numPr>
          <w:ilvl w:val="0"/>
          <w:numId w:val="44"/>
        </w:numPr>
        <w:tabs>
          <w:tab w:val="left" w:pos="3330"/>
        </w:tabs>
        <w:spacing w:after="220" w:line="240" w:lineRule="auto"/>
        <w:ind w:left="3150"/>
        <w:rPr>
          <w:rFonts w:ascii="Times New Roman" w:eastAsia="Times New Roman" w:hAnsi="Times New Roman"/>
        </w:rPr>
      </w:pPr>
      <w:r w:rsidRPr="0059240B">
        <w:rPr>
          <w:rFonts w:ascii="Times New Roman" w:eastAsia="Times New Roman" w:hAnsi="Times New Roman"/>
        </w:rPr>
        <w:t>is issued within a 403(b) retirement savings plan,</w:t>
      </w:r>
      <w:r w:rsidR="00374391" w:rsidRPr="0059240B">
        <w:rPr>
          <w:rFonts w:ascii="Times New Roman" w:eastAsia="Times New Roman" w:hAnsi="Times New Roman"/>
        </w:rPr>
        <w:t xml:space="preserve"> and</w:t>
      </w:r>
    </w:p>
    <w:p w14:paraId="26180BFF" w14:textId="3950A651" w:rsidR="003129FE" w:rsidRPr="0059240B" w:rsidRDefault="003129FE" w:rsidP="00E87EFC">
      <w:pPr>
        <w:pStyle w:val="ListParagraph"/>
        <w:numPr>
          <w:ilvl w:val="0"/>
          <w:numId w:val="44"/>
        </w:numPr>
        <w:tabs>
          <w:tab w:val="left" w:pos="3330"/>
        </w:tabs>
        <w:spacing w:after="220" w:line="240" w:lineRule="auto"/>
        <w:ind w:left="3150"/>
        <w:rPr>
          <w:rFonts w:ascii="Times New Roman" w:eastAsia="Times New Roman" w:hAnsi="Times New Roman"/>
        </w:rPr>
      </w:pPr>
      <w:r w:rsidRPr="0059240B">
        <w:rPr>
          <w:rFonts w:ascii="Times New Roman" w:eastAsia="Times New Roman" w:hAnsi="Times New Roman"/>
        </w:rPr>
        <w:t>does not have a VAGLB</w:t>
      </w:r>
    </w:p>
    <w:p w14:paraId="0390FC00" w14:textId="0F458E1C" w:rsidR="003129FE" w:rsidRPr="0059240B" w:rsidRDefault="003129FE" w:rsidP="00374391">
      <w:pPr>
        <w:pStyle w:val="ListParagraph"/>
        <w:tabs>
          <w:tab w:val="left" w:pos="3330"/>
        </w:tabs>
        <w:spacing w:after="220" w:line="240" w:lineRule="auto"/>
        <w:ind w:left="3150"/>
        <w:rPr>
          <w:rFonts w:ascii="Times New Roman" w:eastAsia="Times New Roman" w:hAnsi="Times New Roman"/>
        </w:rPr>
      </w:pPr>
    </w:p>
    <w:p w14:paraId="33C7C2DB" w14:textId="7E673888" w:rsidR="008022A3" w:rsidRPr="0059240B" w:rsidRDefault="003129FE" w:rsidP="006F13D8">
      <w:pPr>
        <w:pStyle w:val="ListParagraph"/>
        <w:numPr>
          <w:ilvl w:val="0"/>
          <w:numId w:val="45"/>
        </w:numPr>
        <w:spacing w:after="220" w:line="240" w:lineRule="auto"/>
        <w:rPr>
          <w:rFonts w:ascii="Times New Roman" w:eastAsia="Times New Roman" w:hAnsi="Times New Roman"/>
        </w:rPr>
      </w:pPr>
      <w:r w:rsidRPr="0059240B">
        <w:rPr>
          <w:rFonts w:ascii="Times New Roman" w:eastAsia="Times New Roman" w:hAnsi="Times New Roman"/>
        </w:rPr>
        <w:t xml:space="preserve">Certain VAGLB products have features that can be described by multiple types of guaranteed benefits. If the VAGLB can be described by more than one of the definitions in VM-01 for the purpose of determining the additional standard projection amount, the company shall select the guaranteed benefit type that it </w:t>
      </w:r>
      <w:r w:rsidRPr="0059240B">
        <w:rPr>
          <w:rFonts w:ascii="Times New Roman" w:eastAsia="Times New Roman" w:hAnsi="Times New Roman"/>
        </w:rPr>
        <w:lastRenderedPageBreak/>
        <w:t>deems best applicable and shall be consistent in its selection from one valuation to the next. For instance, if a VAGLB has both lifetime GMWB and non-lifetime GMWB features</w:t>
      </w:r>
      <w:r w:rsidR="006F13D8" w:rsidRPr="0059240B">
        <w:rPr>
          <w:rFonts w:ascii="Times New Roman" w:eastAsia="Times New Roman" w:hAnsi="Times New Roman"/>
        </w:rPr>
        <w:t xml:space="preserve"> and the company determines the lifetime GMWB is the most prominent component</w:t>
      </w:r>
      <w:r w:rsidRPr="0059240B">
        <w:rPr>
          <w:rFonts w:ascii="Times New Roman" w:eastAsia="Times New Roman" w:hAnsi="Times New Roman"/>
        </w:rPr>
        <w:t>, assumptions for all contracts with such a VAGLB shall be set as if the VAGLB were only a lifetime GMWB and did not contain any of the non-lifetime GMWB features. If the</w:t>
      </w:r>
      <w:r w:rsidR="006F13D8" w:rsidRPr="0059240B">
        <w:rPr>
          <w:rFonts w:ascii="Times New Roman" w:eastAsia="Times New Roman" w:hAnsi="Times New Roman"/>
        </w:rPr>
        <w:t xml:space="preserve"> company determines the non-lifetime GMWB is the most prominent component</w:t>
      </w:r>
      <w:r w:rsidRPr="0059240B">
        <w:rPr>
          <w:rFonts w:ascii="Times New Roman" w:eastAsia="Times New Roman" w:hAnsi="Times New Roman"/>
        </w:rPr>
        <w:t>, assumptions for all contracts with such a VAGLB shall be set as if the VAGLB were only a non-lifetime GMWBs and did not contain any of the lifetime GMWB features.</w:t>
      </w:r>
      <w:r w:rsidR="008022A3" w:rsidRPr="0059240B">
        <w:rPr>
          <w:rFonts w:ascii="Times New Roman" w:eastAsia="Times New Roman" w:hAnsi="Times New Roman"/>
        </w:rPr>
        <w:t xml:space="preserve"> </w:t>
      </w:r>
    </w:p>
    <w:p w14:paraId="09EE8032" w14:textId="08CF7C27" w:rsidR="008022A3" w:rsidRPr="0059240B" w:rsidRDefault="008022A3" w:rsidP="006F13D8">
      <w:pPr>
        <w:pStyle w:val="ListParagraph"/>
        <w:numPr>
          <w:ilvl w:val="0"/>
          <w:numId w:val="45"/>
        </w:numPr>
        <w:spacing w:after="220" w:line="240" w:lineRule="auto"/>
        <w:rPr>
          <w:rFonts w:ascii="Times New Roman" w:eastAsia="Times New Roman" w:hAnsi="Times New Roman"/>
        </w:rPr>
      </w:pPr>
      <w:r w:rsidRPr="0059240B">
        <w:rPr>
          <w:rFonts w:ascii="Times New Roman" w:eastAsia="Times New Roman" w:hAnsi="Times New Roman"/>
        </w:rPr>
        <w:t>If a contract cannot be classified into any categories within a given assumption the company shall determine the defined benefit type with the most similar benefits and risk profile as the company’s benefit</w:t>
      </w:r>
      <w:r w:rsidR="006F13D8" w:rsidRPr="0059240B">
        <w:rPr>
          <w:rFonts w:ascii="Times New Roman" w:eastAsia="Times New Roman" w:hAnsi="Times New Roman"/>
        </w:rPr>
        <w:t xml:space="preserve"> and utilize the assumption prescribed for this benefit</w:t>
      </w:r>
      <w:r w:rsidRPr="0059240B">
        <w:rPr>
          <w:rFonts w:ascii="Times New Roman" w:eastAsia="Times New Roman" w:hAnsi="Times New Roman"/>
        </w:rPr>
        <w:t>.</w:t>
      </w:r>
    </w:p>
    <w:p w14:paraId="29A93A18" w14:textId="77777777" w:rsidR="003129FE" w:rsidRPr="0059240B" w:rsidRDefault="003129FE" w:rsidP="008022A3">
      <w:pPr>
        <w:spacing w:after="220" w:line="240" w:lineRule="auto"/>
        <w:rPr>
          <w:rFonts w:ascii="Times New Roman" w:eastAsia="Times New Roman" w:hAnsi="Times New Roman"/>
        </w:rPr>
      </w:pPr>
    </w:p>
    <w:p w14:paraId="5C266456" w14:textId="77777777"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Maintenance Expenses</w:t>
      </w:r>
    </w:p>
    <w:p w14:paraId="47E42B3B"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175B572B" w14:textId="77777777" w:rsidR="003129FE" w:rsidRPr="0059240B" w:rsidRDefault="003129FE" w:rsidP="00E87EFC">
      <w:pPr>
        <w:pStyle w:val="ListParagraph"/>
        <w:numPr>
          <w:ilvl w:val="0"/>
          <w:numId w:val="40"/>
        </w:numPr>
        <w:spacing w:after="220" w:line="240" w:lineRule="auto"/>
        <w:ind w:left="2520"/>
        <w:rPr>
          <w:rFonts w:ascii="Times New Roman" w:eastAsia="Times New Roman" w:hAnsi="Times New Roman"/>
        </w:rPr>
      </w:pPr>
      <w:r w:rsidRPr="0059240B">
        <w:rPr>
          <w:rFonts w:ascii="Times New Roman" w:eastAsia="Times New Roman" w:hAnsi="Times New Roman"/>
        </w:rPr>
        <w:t>Each contract for which the company is responsible for administration incurs an annual expense equal to $100 in the first projection year, increased by an assumed annual inflation rate of 2.0% for subsequent projection years;</w:t>
      </w:r>
    </w:p>
    <w:p w14:paraId="262BD335" w14:textId="77777777" w:rsidR="003129FE" w:rsidRPr="0059240B" w:rsidRDefault="003129FE" w:rsidP="00E87EFC">
      <w:pPr>
        <w:pStyle w:val="ListParagraph"/>
        <w:numPr>
          <w:ilvl w:val="0"/>
          <w:numId w:val="40"/>
        </w:numPr>
        <w:tabs>
          <w:tab w:val="left" w:pos="2520"/>
        </w:tabs>
        <w:spacing w:after="220" w:line="240" w:lineRule="auto"/>
        <w:ind w:hanging="720"/>
        <w:rPr>
          <w:rFonts w:ascii="Times New Roman" w:eastAsia="Times New Roman" w:hAnsi="Times New Roman"/>
        </w:rPr>
      </w:pPr>
      <w:r w:rsidRPr="0059240B">
        <w:rPr>
          <w:rFonts w:ascii="Times New Roman" w:eastAsia="Times New Roman" w:hAnsi="Times New Roman"/>
        </w:rPr>
        <w:t>7 basis points of the projected account value for each year in the projection.</w:t>
      </w:r>
    </w:p>
    <w:p w14:paraId="7A524FC6" w14:textId="52DFA917" w:rsidR="003129FE" w:rsidRPr="0059240B" w:rsidRDefault="003129FE" w:rsidP="00E87EFC">
      <w:pPr>
        <w:pStyle w:val="ListParagraph"/>
        <w:numPr>
          <w:ilvl w:val="0"/>
          <w:numId w:val="40"/>
        </w:numPr>
        <w:tabs>
          <w:tab w:val="left" w:pos="2520"/>
        </w:tabs>
        <w:spacing w:after="220" w:line="240" w:lineRule="auto"/>
        <w:ind w:left="2520"/>
        <w:rPr>
          <w:rFonts w:ascii="Times New Roman" w:eastAsia="Times New Roman" w:hAnsi="Times New Roman"/>
        </w:rPr>
      </w:pPr>
      <w:r w:rsidRPr="0059240B">
        <w:rPr>
          <w:rFonts w:ascii="Times New Roman" w:eastAsia="Times New Roman" w:hAnsi="Times New Roman"/>
        </w:rPr>
        <w:t>Each contract for which the company is not responsible for administration (e.g., if the contract were assumed by the company in a reinsurance transaction in which only the risks associated with a guaranteed benefit rider were transferred) incurs an annual expense equal to $35 in the first projection year, increased by an assumed annual inflation rate of 2.0% for subsequent projection years.</w:t>
      </w:r>
    </w:p>
    <w:p w14:paraId="2FBDE718" w14:textId="34948AF5" w:rsidR="00356A09" w:rsidRPr="0059240B" w:rsidRDefault="00356A09" w:rsidP="00356A09">
      <w:pPr>
        <w:pBdr>
          <w:top w:val="single" w:sz="4" w:space="1" w:color="auto"/>
          <w:left w:val="single" w:sz="4" w:space="4" w:color="auto"/>
          <w:bottom w:val="single" w:sz="4" w:space="1" w:color="auto"/>
          <w:right w:val="single" w:sz="4" w:space="4" w:color="auto"/>
        </w:pBdr>
        <w:spacing w:after="220" w:line="240" w:lineRule="auto"/>
        <w:ind w:left="1800" w:hanging="360"/>
        <w:rPr>
          <w:rFonts w:ascii="Times New Roman" w:eastAsia="Times New Roman" w:hAnsi="Times New Roman"/>
        </w:rPr>
      </w:pPr>
      <w:r w:rsidRPr="0059240B">
        <w:rPr>
          <w:rFonts w:ascii="Times New Roman" w:eastAsia="Times New Roman" w:hAnsi="Times New Roman"/>
        </w:rPr>
        <w:t xml:space="preserve">Guidance Note:  The framework adopted by the VAIWG </w:t>
      </w:r>
      <w:r w:rsidR="001706FD" w:rsidRPr="0059240B">
        <w:rPr>
          <w:rFonts w:ascii="Times New Roman" w:eastAsia="Times New Roman" w:hAnsi="Times New Roman"/>
        </w:rPr>
        <w:t>includes review and possible updating</w:t>
      </w:r>
      <w:r w:rsidRPr="0059240B">
        <w:rPr>
          <w:rFonts w:ascii="Times New Roman" w:eastAsia="Times New Roman" w:hAnsi="Times New Roman"/>
        </w:rPr>
        <w:t xml:space="preserve"> </w:t>
      </w:r>
      <w:r w:rsidR="001706FD" w:rsidRPr="0059240B">
        <w:rPr>
          <w:rFonts w:ascii="Times New Roman" w:eastAsia="Times New Roman" w:hAnsi="Times New Roman"/>
        </w:rPr>
        <w:t xml:space="preserve">of </w:t>
      </w:r>
      <w:r w:rsidRPr="0059240B">
        <w:rPr>
          <w:rFonts w:ascii="Times New Roman" w:eastAsia="Times New Roman" w:hAnsi="Times New Roman"/>
        </w:rPr>
        <w:t>these assumptions every 3 to 5 years.</w:t>
      </w:r>
    </w:p>
    <w:p w14:paraId="6966B95C" w14:textId="77777777" w:rsidR="00356A09" w:rsidRPr="0059240B" w:rsidRDefault="00356A09" w:rsidP="00356A09">
      <w:pPr>
        <w:tabs>
          <w:tab w:val="left" w:pos="2520"/>
        </w:tabs>
        <w:spacing w:after="220" w:line="240" w:lineRule="auto"/>
        <w:rPr>
          <w:rFonts w:ascii="Times New Roman" w:eastAsia="Times New Roman" w:hAnsi="Times New Roman"/>
        </w:rPr>
      </w:pPr>
    </w:p>
    <w:p w14:paraId="42CB4F9F" w14:textId="77777777"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Guarantee Actuarial Present Value</w:t>
      </w:r>
    </w:p>
    <w:p w14:paraId="0CBA67CC" w14:textId="5D920723"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The Guarantee Actuarial Present Value (“GAPV”) is used in the determination of the Withdrawal Delay Cohort Method (Section 6.C.5), full surrender rates (Section 6.C.6), annuitization rates (Section 6.C.7), and other voluntary contract terminations (Section 6.C.11).  The GAPV represents the actuarial present value of the lump sum or income payments associated with a guaranteed benefit. For the purpose of calculating the GAPV, such payments shall include the portion that is paid out of the contract holder’s Account Value.</w:t>
      </w:r>
    </w:p>
    <w:p w14:paraId="662CB933" w14:textId="4628BD1B"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The GAPV shall be calculated in the following manner:</w:t>
      </w:r>
    </w:p>
    <w:p w14:paraId="6DDD9297" w14:textId="0C43B92D" w:rsidR="003129FE" w:rsidRPr="0059240B" w:rsidRDefault="003129FE" w:rsidP="00063E8C">
      <w:pPr>
        <w:spacing w:after="220" w:line="240" w:lineRule="auto"/>
        <w:ind w:left="2160"/>
        <w:rPr>
          <w:rFonts w:ascii="Times New Roman" w:eastAsia="Times New Roman" w:hAnsi="Times New Roman"/>
        </w:rPr>
      </w:pPr>
      <w:r w:rsidRPr="0059240B">
        <w:rPr>
          <w:rFonts w:ascii="Times New Roman" w:eastAsia="Times New Roman" w:hAnsi="Times New Roman"/>
        </w:rPr>
        <w:t>a. If a guaranteed benefit is exercisable immediately, then the GAPV shall be determined assuming immediate or continued exercise of that benefit unless otherwise specified in a subsequent subsection of</w:t>
      </w:r>
      <w:r w:rsidR="00FB1D77" w:rsidRPr="0059240B">
        <w:rPr>
          <w:rFonts w:ascii="Times New Roman" w:eastAsia="Times New Roman" w:hAnsi="Times New Roman"/>
        </w:rPr>
        <w:t xml:space="preserve"> Section</w:t>
      </w:r>
      <w:r w:rsidRPr="0059240B">
        <w:rPr>
          <w:rFonts w:ascii="Times New Roman" w:eastAsia="Times New Roman" w:hAnsi="Times New Roman"/>
        </w:rPr>
        <w:t xml:space="preserve"> 6.C.3.</w:t>
      </w:r>
    </w:p>
    <w:p w14:paraId="684DA61C" w14:textId="4105DE6A" w:rsidR="003129FE" w:rsidRPr="0059240B" w:rsidRDefault="003129FE" w:rsidP="00063E8C">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b. If a guaranteed benefit is not exercisable immediately (e.g., because of minimum age or contract year requirements), then the GAPV shall be determined assuming exercise of </w:t>
      </w:r>
      <w:r w:rsidRPr="0059240B">
        <w:rPr>
          <w:rFonts w:ascii="Times New Roman" w:eastAsia="Times New Roman" w:hAnsi="Times New Roman"/>
        </w:rPr>
        <w:lastRenderedPageBreak/>
        <w:t>the guaranteed benefit at the earliest possible time unless otherwise specified in a subsequent subsection of Section 6.C.3.</w:t>
      </w:r>
    </w:p>
    <w:p w14:paraId="05EA78BC" w14:textId="2B087156" w:rsidR="003129FE" w:rsidRPr="0059240B" w:rsidRDefault="003129FE" w:rsidP="00063E8C">
      <w:pPr>
        <w:spacing w:after="220" w:line="240" w:lineRule="auto"/>
        <w:ind w:left="2160"/>
        <w:rPr>
          <w:rFonts w:ascii="Times New Roman" w:eastAsia="Times New Roman" w:hAnsi="Times New Roman"/>
        </w:rPr>
      </w:pPr>
      <w:r w:rsidRPr="0059240B">
        <w:rPr>
          <w:rFonts w:ascii="Times New Roman" w:eastAsia="Times New Roman" w:hAnsi="Times New Roman"/>
        </w:rPr>
        <w:t>c. 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t>
      </w:r>
    </w:p>
    <w:p w14:paraId="0F2681BE" w14:textId="11405320"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d. Once a GMWB is exercised, the contract holder shall be assumed to withdraw in each subsequent contract year an amount equal to 100% of the GMWB’s guaranteed maximum annual withdrawal amount in that contract year. </w:t>
      </w:r>
    </w:p>
    <w:p w14:paraId="534C0766"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e. If account value growth is required to determine projected benefits or product features, then the account value growth shall be assumed to be 0% net of all fees chargeable to the account value.</w:t>
      </w:r>
    </w:p>
    <w:p w14:paraId="26C4C8CB"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f. If a market index is required to determine projected benefits or product features, then the required index shall be assumed to remain constant at its value during the projection interval.</w:t>
      </w:r>
    </w:p>
    <w:p w14:paraId="6657ED6F" w14:textId="1EE6203C"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g. The GAPV for a GMDB that terminates at a certain age or in a certain contract year shall be calculated as if the GMDB does not terminate.</w:t>
      </w:r>
      <w:r w:rsidR="003E3E27" w:rsidRPr="0059240B">
        <w:rPr>
          <w:rFonts w:ascii="Times New Roman" w:eastAsia="Times New Roman" w:hAnsi="Times New Roman"/>
        </w:rPr>
        <w:t xml:space="preserve"> Benefit features such as guaranteed growth in the GMDB benefit basis may be calculated so that no additional benefit basis growth occurs after the GMDB termination age or date defined in the contract.</w:t>
      </w:r>
    </w:p>
    <w:p w14:paraId="563CA56C" w14:textId="16B78E5F" w:rsidR="003129FE" w:rsidRPr="0059240B" w:rsidRDefault="003129FE">
      <w:pPr>
        <w:spacing w:after="220" w:line="240" w:lineRule="auto"/>
        <w:ind w:left="2160"/>
        <w:rPr>
          <w:rFonts w:ascii="Times New Roman" w:eastAsia="Times New Roman" w:hAnsi="Times New Roman"/>
        </w:rPr>
      </w:pPr>
      <w:r w:rsidRPr="0059240B">
        <w:rPr>
          <w:rFonts w:ascii="Times New Roman" w:eastAsia="Times New Roman" w:hAnsi="Times New Roman"/>
        </w:rPr>
        <w:t>h. The mortality assumption used shall follow the 2012 IAM Basic Mortality Table, improved to December 31, 2017 using Projection Scale G2 but not applying any additional mortality improvement in the projection.</w:t>
      </w:r>
    </w:p>
    <w:p w14:paraId="6FA301DD" w14:textId="1ADD9B32" w:rsidR="003129FE" w:rsidRPr="0059240B" w:rsidRDefault="008022A3" w:rsidP="004E4618">
      <w:pPr>
        <w:spacing w:after="220" w:line="240" w:lineRule="auto"/>
        <w:ind w:left="720"/>
        <w:rPr>
          <w:rFonts w:ascii="Times New Roman" w:eastAsia="Times New Roman" w:hAnsi="Times New Roman"/>
        </w:rPr>
      </w:pPr>
      <w:r w:rsidRPr="0059240B">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6B8C0F9" wp14:editId="5B08E578">
                <wp:simplePos x="0" y="0"/>
                <wp:positionH relativeFrom="column">
                  <wp:posOffset>777021</wp:posOffset>
                </wp:positionH>
                <wp:positionV relativeFrom="paragraph">
                  <wp:posOffset>-29780</wp:posOffset>
                </wp:positionV>
                <wp:extent cx="5569585" cy="862330"/>
                <wp:effectExtent l="0" t="0" r="18415" b="13970"/>
                <wp:wrapNone/>
                <wp:docPr id="5" name="Text Box 5"/>
                <wp:cNvGraphicFramePr/>
                <a:graphic xmlns:a="http://schemas.openxmlformats.org/drawingml/2006/main">
                  <a:graphicData uri="http://schemas.microsoft.com/office/word/2010/wordprocessingShape">
                    <wps:wsp>
                      <wps:cNvSpPr txBox="1"/>
                      <wps:spPr>
                        <a:xfrm>
                          <a:off x="0" y="0"/>
                          <a:ext cx="5569585" cy="862330"/>
                        </a:xfrm>
                        <a:prstGeom prst="rect">
                          <a:avLst/>
                        </a:prstGeom>
                        <a:solidFill>
                          <a:schemeClr val="lt1"/>
                        </a:solidFill>
                        <a:ln w="6350">
                          <a:solidFill>
                            <a:prstClr val="black"/>
                          </a:solidFill>
                        </a:ln>
                      </wps:spPr>
                      <wps:txbx>
                        <w:txbxContent>
                          <w:p w14:paraId="2D9920A4" w14:textId="77777777" w:rsidR="00B76878" w:rsidRPr="00E66A05" w:rsidRDefault="00B76878">
                            <w:pPr>
                              <w:rPr>
                                <w:b/>
                              </w:rPr>
                            </w:pPr>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C0F9" id="Text Box 5" o:spid="_x0000_s1029" type="#_x0000_t202" style="position:absolute;left:0;text-align:left;margin-left:61.2pt;margin-top:-2.35pt;width:438.55pt;height:6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" fillcolor="white [3201]" strokeweight=".5pt">
                <v:textbox>
                  <w:txbxContent>
                    <w:p w14:paraId="2D9920A4" w14:textId="77777777" w:rsidR="00B76878" w:rsidRPr="00E66A05" w:rsidRDefault="00B76878">
                      <w:pPr>
                        <w:rPr>
                          <w:b/>
                        </w:rPr>
                      </w:pPr>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p>
                  </w:txbxContent>
                </v:textbox>
              </v:shape>
            </w:pict>
          </mc:Fallback>
        </mc:AlternateContent>
      </w:r>
    </w:p>
    <w:p w14:paraId="5B8B6F1F" w14:textId="77777777" w:rsidR="003129FE" w:rsidRPr="0059240B" w:rsidRDefault="003129FE">
      <w:pPr>
        <w:spacing w:after="220" w:line="240" w:lineRule="auto"/>
        <w:ind w:left="2160"/>
        <w:rPr>
          <w:rFonts w:ascii="Times New Roman" w:eastAsia="Times New Roman" w:hAnsi="Times New Roman"/>
        </w:rPr>
      </w:pPr>
    </w:p>
    <w:p w14:paraId="0F32F193" w14:textId="77777777" w:rsidR="003129FE" w:rsidRPr="0059240B" w:rsidRDefault="003129FE" w:rsidP="004E4618">
      <w:pPr>
        <w:spacing w:after="220" w:line="240" w:lineRule="auto"/>
        <w:rPr>
          <w:rFonts w:ascii="Times New Roman" w:eastAsia="Times New Roman" w:hAnsi="Times New Roman"/>
        </w:rPr>
      </w:pPr>
    </w:p>
    <w:p w14:paraId="306A4ACD"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i. The discount rate used shall be the 10-year U.S. Treasury bond rate on the valuation date unless otherwise specified in a subsequent subsection of Section 6.C.3.</w:t>
      </w:r>
    </w:p>
    <w:p w14:paraId="78C46F5D" w14:textId="02807D6B"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j. For hybrid GMIBs, two types of GAPVs shall be calculated: the Annuitization GAPV and the Withdrawal GAPV. The Annuitization GAPV is determined as if the hybrid GMIB were a traditional GMIB such that the only benefit payments used in the GAPV calculation are from 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t>
      </w:r>
    </w:p>
    <w:p w14:paraId="22F13B46" w14:textId="77777777"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Partial Withdrawals</w:t>
      </w:r>
    </w:p>
    <w:p w14:paraId="1B7BA2E8" w14:textId="416DF5A9"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sidRPr="0059240B">
        <w:rPr>
          <w:rFonts w:ascii="Times New Roman" w:eastAsia="Times New Roman" w:hAnsi="Times New Roman"/>
        </w:rPr>
        <w:lastRenderedPageBreak/>
        <w:t>Section 6.D, and according to the terms of the contract. However, if a GMWB or hybrid GMIB contract’s automatic 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 amount.</w:t>
      </w:r>
    </w:p>
    <w:p w14:paraId="712553C7" w14:textId="6756F30D" w:rsidR="003129FE" w:rsidRPr="0059240B" w:rsidRDefault="00F76908" w:rsidP="004E4618">
      <w:pPr>
        <w:spacing w:after="220" w:line="240" w:lineRule="auto"/>
        <w:ind w:left="2160"/>
        <w:rPr>
          <w:rFonts w:ascii="Times New Roman" w:eastAsia="Times New Roman" w:hAnsi="Times New Roman"/>
        </w:rPr>
      </w:pPr>
      <w:r w:rsidRPr="0059240B">
        <w:rPr>
          <w:rFonts w:ascii="Times New Roman" w:eastAsia="Times New Roman" w:hAnsi="Times New Roman"/>
        </w:rPr>
        <w:t>For any contract not on an automatic withdrawal provision as described in the preceding paragraph, d</w:t>
      </w:r>
      <w:r w:rsidR="003129FE" w:rsidRPr="0059240B">
        <w:rPr>
          <w:rFonts w:ascii="Times New Roman" w:eastAsia="Times New Roman" w:hAnsi="Times New Roman"/>
        </w:rPr>
        <w:t>epending on the guaranteed benefit type, other partial withdrawals shall be projected as follows but shall not exceed the free partial withdrawal amount above which surrender charges are incurred:</w:t>
      </w:r>
    </w:p>
    <w:p w14:paraId="58EC6534" w14:textId="77777777" w:rsidR="00065E37" w:rsidRPr="0059240B" w:rsidRDefault="00065E37" w:rsidP="004E4618">
      <w:pPr>
        <w:spacing w:after="220" w:line="240" w:lineRule="auto"/>
        <w:ind w:left="2160"/>
        <w:rPr>
          <w:rFonts w:ascii="Times New Roman" w:eastAsia="Times New Roman" w:hAnsi="Times New Roman"/>
        </w:rPr>
      </w:pPr>
    </w:p>
    <w:p w14:paraId="4CCFCCD0" w14:textId="25784F8F" w:rsidR="00065E37" w:rsidRPr="0059240B" w:rsidRDefault="00065E37" w:rsidP="00065E37">
      <w:pPr>
        <w:spacing w:after="0" w:line="240" w:lineRule="auto"/>
        <w:ind w:left="2160"/>
        <w:rPr>
          <w:rFonts w:ascii="Times New Roman" w:eastAsia="Times New Roman" w:hAnsi="Times New Roman"/>
          <w:bCs/>
          <w:color w:val="000000"/>
        </w:rPr>
      </w:pPr>
      <w:r w:rsidRPr="0059240B">
        <w:rPr>
          <w:rFonts w:ascii="Times New Roman" w:eastAsia="Times New Roman" w:hAnsi="Times New Roman"/>
        </w:rPr>
        <w:t xml:space="preserve">a. </w:t>
      </w:r>
      <w:r w:rsidRPr="0059240B">
        <w:rPr>
          <w:rFonts w:ascii="Times New Roman" w:eastAsia="Times New Roman" w:hAnsi="Times New Roman"/>
          <w:bCs/>
          <w:color w:val="000000"/>
        </w:rPr>
        <w:t>For simple 403(b) VA contracts, the partial withdrawal amount each year shall equal the following percentages, based on the contract holder’s attained age:</w:t>
      </w:r>
    </w:p>
    <w:p w14:paraId="1390E3B7" w14:textId="4D95C804" w:rsidR="00C310C5" w:rsidRPr="0059240B" w:rsidRDefault="00C310C5" w:rsidP="00065E37">
      <w:pPr>
        <w:spacing w:after="0" w:line="240" w:lineRule="auto"/>
        <w:ind w:left="2160"/>
        <w:rPr>
          <w:rFonts w:ascii="Times New Roman" w:eastAsia="Times New Roman" w:hAnsi="Times New Roman"/>
          <w:bCs/>
          <w:color w:val="000000"/>
        </w:rPr>
      </w:pPr>
    </w:p>
    <w:p w14:paraId="0627305A" w14:textId="4C8FBD8F" w:rsidR="00C310C5" w:rsidRPr="0059240B" w:rsidRDefault="00C310C5" w:rsidP="00065E37">
      <w:pPr>
        <w:spacing w:after="0" w:line="240" w:lineRule="auto"/>
        <w:ind w:left="2160"/>
        <w:rPr>
          <w:rFonts w:ascii="Times New Roman" w:eastAsia="Times New Roman" w:hAnsi="Times New Roman"/>
          <w:bCs/>
          <w:color w:val="000000"/>
        </w:rPr>
      </w:pPr>
      <w:r w:rsidRPr="0059240B">
        <w:rPr>
          <w:rFonts w:ascii="Times New Roman" w:eastAsia="Times New Roman" w:hAnsi="Times New Roman"/>
          <w:bCs/>
          <w:color w:val="000000"/>
        </w:rPr>
        <w:t>Table 6.2: Partial Withdrawals, 403(b)</w:t>
      </w:r>
    </w:p>
    <w:tbl>
      <w:tblPr>
        <w:tblStyle w:val="TableGrid"/>
        <w:tblW w:w="0" w:type="auto"/>
        <w:tblInd w:w="2160" w:type="dxa"/>
        <w:tblLayout w:type="fixed"/>
        <w:tblLook w:val="04A0" w:firstRow="1" w:lastRow="0" w:firstColumn="1" w:lastColumn="0" w:noHBand="0" w:noVBand="1"/>
      </w:tblPr>
      <w:tblGrid>
        <w:gridCol w:w="2065"/>
        <w:gridCol w:w="2727"/>
      </w:tblGrid>
      <w:tr w:rsidR="00065E37" w:rsidRPr="0059240B" w14:paraId="44ECF499" w14:textId="77777777" w:rsidTr="00186F37">
        <w:tc>
          <w:tcPr>
            <w:tcW w:w="2065" w:type="dxa"/>
          </w:tcPr>
          <w:p w14:paraId="5AF132A2" w14:textId="77777777" w:rsidR="00065E37" w:rsidRPr="0059240B" w:rsidRDefault="00065E37" w:rsidP="00065E37">
            <w:pPr>
              <w:spacing w:line="276" w:lineRule="auto"/>
              <w:rPr>
                <w:rFonts w:ascii="Times New Roman" w:hAnsi="Times New Roman"/>
              </w:rPr>
            </w:pPr>
            <w:r w:rsidRPr="0059240B">
              <w:rPr>
                <w:rFonts w:ascii="Times New Roman" w:hAnsi="Times New Roman"/>
              </w:rPr>
              <w:t>Attained Age</w:t>
            </w:r>
          </w:p>
        </w:tc>
        <w:tc>
          <w:tcPr>
            <w:tcW w:w="2727" w:type="dxa"/>
          </w:tcPr>
          <w:p w14:paraId="72306058" w14:textId="77777777" w:rsidR="00065E37" w:rsidRPr="0059240B" w:rsidRDefault="00065E37" w:rsidP="00065E37">
            <w:pPr>
              <w:spacing w:line="276" w:lineRule="auto"/>
              <w:jc w:val="right"/>
              <w:rPr>
                <w:rFonts w:ascii="Times New Roman" w:hAnsi="Times New Roman"/>
              </w:rPr>
            </w:pPr>
            <w:r w:rsidRPr="0059240B">
              <w:rPr>
                <w:rFonts w:ascii="Times New Roman" w:eastAsia="Times New Roman" w:hAnsi="Times New Roman"/>
              </w:rPr>
              <w:t>Percent of account value</w:t>
            </w:r>
          </w:p>
        </w:tc>
      </w:tr>
      <w:tr w:rsidR="00065E37" w:rsidRPr="0059240B" w14:paraId="78480BBB" w14:textId="77777777" w:rsidTr="00186F37">
        <w:tc>
          <w:tcPr>
            <w:tcW w:w="2065" w:type="dxa"/>
          </w:tcPr>
          <w:p w14:paraId="51706953" w14:textId="77777777" w:rsidR="00065E37" w:rsidRPr="0059240B" w:rsidRDefault="00065E37" w:rsidP="00065E37">
            <w:pPr>
              <w:spacing w:line="276" w:lineRule="auto"/>
              <w:rPr>
                <w:rFonts w:ascii="Times New Roman" w:hAnsi="Times New Roman"/>
              </w:rPr>
            </w:pPr>
            <w:r w:rsidRPr="0059240B">
              <w:rPr>
                <w:rFonts w:ascii="Times New Roman" w:eastAsia="Times New Roman" w:hAnsi="Times New Roman"/>
              </w:rPr>
              <w:t>59 and under</w:t>
            </w:r>
          </w:p>
        </w:tc>
        <w:tc>
          <w:tcPr>
            <w:tcW w:w="2727" w:type="dxa"/>
          </w:tcPr>
          <w:p w14:paraId="60856387" w14:textId="77777777" w:rsidR="00065E37" w:rsidRPr="0059240B" w:rsidRDefault="00065E37" w:rsidP="00065E37">
            <w:pPr>
              <w:spacing w:line="276" w:lineRule="auto"/>
              <w:jc w:val="right"/>
              <w:rPr>
                <w:rFonts w:ascii="Times New Roman" w:hAnsi="Times New Roman"/>
              </w:rPr>
            </w:pPr>
            <w:r w:rsidRPr="0059240B">
              <w:rPr>
                <w:rFonts w:ascii="Times New Roman" w:eastAsia="Times New Roman" w:hAnsi="Times New Roman"/>
              </w:rPr>
              <w:t>0.</w:t>
            </w:r>
            <w:r w:rsidRPr="0059240B">
              <w:rPr>
                <w:rFonts w:ascii="Times New Roman" w:hAnsi="Times New Roman"/>
              </w:rPr>
              <w:t>5%</w:t>
            </w:r>
          </w:p>
        </w:tc>
      </w:tr>
      <w:tr w:rsidR="00065E37" w:rsidRPr="0059240B" w14:paraId="558B66AF" w14:textId="77777777" w:rsidTr="00186F37">
        <w:tc>
          <w:tcPr>
            <w:tcW w:w="2065" w:type="dxa"/>
          </w:tcPr>
          <w:p w14:paraId="7EF6EF07" w14:textId="77777777" w:rsidR="00065E37" w:rsidRPr="0059240B" w:rsidRDefault="00065E37" w:rsidP="00065E37">
            <w:pPr>
              <w:spacing w:line="276" w:lineRule="auto"/>
              <w:rPr>
                <w:rFonts w:ascii="Times New Roman" w:hAnsi="Times New Roman"/>
              </w:rPr>
            </w:pPr>
            <w:r w:rsidRPr="0059240B">
              <w:rPr>
                <w:rFonts w:ascii="Times New Roman" w:eastAsia="Times New Roman" w:hAnsi="Times New Roman"/>
              </w:rPr>
              <w:t>60 – 69</w:t>
            </w:r>
          </w:p>
        </w:tc>
        <w:tc>
          <w:tcPr>
            <w:tcW w:w="2727" w:type="dxa"/>
          </w:tcPr>
          <w:p w14:paraId="623CE789" w14:textId="77777777" w:rsidR="00065E37" w:rsidRPr="0059240B" w:rsidRDefault="00065E37" w:rsidP="00065E37">
            <w:pPr>
              <w:spacing w:line="276" w:lineRule="auto"/>
              <w:jc w:val="right"/>
              <w:rPr>
                <w:rFonts w:ascii="Times New Roman" w:hAnsi="Times New Roman"/>
              </w:rPr>
            </w:pPr>
            <w:r w:rsidRPr="0059240B">
              <w:rPr>
                <w:rFonts w:ascii="Times New Roman" w:eastAsia="Times New Roman" w:hAnsi="Times New Roman"/>
              </w:rPr>
              <w:t>2.</w:t>
            </w:r>
            <w:r w:rsidRPr="0059240B">
              <w:rPr>
                <w:rFonts w:ascii="Times New Roman" w:hAnsi="Times New Roman"/>
              </w:rPr>
              <w:t>0%</w:t>
            </w:r>
          </w:p>
        </w:tc>
      </w:tr>
      <w:tr w:rsidR="00065E37" w:rsidRPr="0059240B" w14:paraId="4610A136" w14:textId="77777777" w:rsidTr="00186F37">
        <w:tc>
          <w:tcPr>
            <w:tcW w:w="2065" w:type="dxa"/>
          </w:tcPr>
          <w:p w14:paraId="5FEF2156" w14:textId="77777777" w:rsidR="00065E37" w:rsidRPr="0059240B" w:rsidRDefault="00065E37" w:rsidP="00065E37">
            <w:pPr>
              <w:spacing w:line="276" w:lineRule="auto"/>
              <w:rPr>
                <w:rFonts w:ascii="Times New Roman" w:hAnsi="Times New Roman"/>
              </w:rPr>
            </w:pPr>
            <w:r w:rsidRPr="0059240B">
              <w:rPr>
                <w:rFonts w:ascii="Times New Roman" w:eastAsia="Times New Roman" w:hAnsi="Times New Roman"/>
              </w:rPr>
              <w:t>70 – 74</w:t>
            </w:r>
          </w:p>
        </w:tc>
        <w:tc>
          <w:tcPr>
            <w:tcW w:w="2727" w:type="dxa"/>
          </w:tcPr>
          <w:p w14:paraId="73DED14E" w14:textId="77777777" w:rsidR="00065E37" w:rsidRPr="0059240B" w:rsidRDefault="00065E37" w:rsidP="00065E37">
            <w:pPr>
              <w:spacing w:line="276" w:lineRule="auto"/>
              <w:jc w:val="right"/>
              <w:rPr>
                <w:rFonts w:ascii="Times New Roman" w:hAnsi="Times New Roman"/>
              </w:rPr>
            </w:pPr>
            <w:r w:rsidRPr="0059240B">
              <w:rPr>
                <w:rFonts w:ascii="Times New Roman" w:hAnsi="Times New Roman"/>
              </w:rPr>
              <w:t>3</w:t>
            </w:r>
            <w:r w:rsidRPr="0059240B">
              <w:rPr>
                <w:rFonts w:ascii="Times New Roman" w:eastAsia="Times New Roman" w:hAnsi="Times New Roman"/>
              </w:rPr>
              <w:t>.0</w:t>
            </w:r>
            <w:r w:rsidRPr="0059240B">
              <w:rPr>
                <w:rFonts w:ascii="Times New Roman" w:hAnsi="Times New Roman"/>
              </w:rPr>
              <w:t>%</w:t>
            </w:r>
          </w:p>
        </w:tc>
      </w:tr>
      <w:tr w:rsidR="00065E37" w:rsidRPr="0059240B" w14:paraId="21ED793C" w14:textId="77777777" w:rsidTr="00186F37">
        <w:tc>
          <w:tcPr>
            <w:tcW w:w="2065" w:type="dxa"/>
          </w:tcPr>
          <w:p w14:paraId="07056279" w14:textId="77777777" w:rsidR="00065E37" w:rsidRPr="0059240B" w:rsidRDefault="00065E37" w:rsidP="00065E37">
            <w:pPr>
              <w:spacing w:line="276" w:lineRule="auto"/>
              <w:rPr>
                <w:rFonts w:ascii="Times New Roman" w:eastAsia="Times New Roman" w:hAnsi="Times New Roman"/>
              </w:rPr>
            </w:pPr>
            <w:r w:rsidRPr="0059240B">
              <w:rPr>
                <w:rFonts w:ascii="Times New Roman" w:eastAsia="Times New Roman" w:hAnsi="Times New Roman"/>
              </w:rPr>
              <w:t>75 and over</w:t>
            </w:r>
          </w:p>
        </w:tc>
        <w:tc>
          <w:tcPr>
            <w:tcW w:w="2727" w:type="dxa"/>
          </w:tcPr>
          <w:p w14:paraId="749F64DD" w14:textId="77777777" w:rsidR="00065E37" w:rsidRPr="0059240B" w:rsidRDefault="00065E37" w:rsidP="00065E37">
            <w:pPr>
              <w:spacing w:line="276" w:lineRule="auto"/>
              <w:jc w:val="right"/>
              <w:rPr>
                <w:rFonts w:ascii="Times New Roman" w:eastAsia="Times New Roman" w:hAnsi="Times New Roman"/>
              </w:rPr>
            </w:pPr>
            <w:r w:rsidRPr="0059240B">
              <w:rPr>
                <w:rFonts w:ascii="Times New Roman" w:eastAsia="Times New Roman" w:hAnsi="Times New Roman"/>
              </w:rPr>
              <w:t>4.0%</w:t>
            </w:r>
          </w:p>
        </w:tc>
      </w:tr>
    </w:tbl>
    <w:p w14:paraId="39927C4C" w14:textId="77777777" w:rsidR="00065E37" w:rsidRPr="0059240B" w:rsidRDefault="00065E37" w:rsidP="004E4618">
      <w:pPr>
        <w:spacing w:after="220" w:line="240" w:lineRule="auto"/>
        <w:ind w:left="2160"/>
        <w:rPr>
          <w:rFonts w:ascii="Times New Roman" w:eastAsia="Times New Roman" w:hAnsi="Times New Roman"/>
        </w:rPr>
      </w:pPr>
    </w:p>
    <w:p w14:paraId="400BEDA8" w14:textId="0DB71E48"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b</w:t>
      </w:r>
      <w:r w:rsidR="003129FE" w:rsidRPr="0059240B">
        <w:rPr>
          <w:rFonts w:ascii="Times New Roman" w:eastAsia="Times New Roman" w:hAnsi="Times New Roman"/>
        </w:rPr>
        <w:t>. For contracts that do not have VAGLBs but that have GMDBs that offer guaranteed growth (i.e., benefit growth that does not depend on the performance of the Account Value) in the benefit basis, the partial withdrawal amount each year shall equal 2.0% of the Account Value.</w:t>
      </w:r>
    </w:p>
    <w:p w14:paraId="24A92352" w14:textId="45115A7E"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c</w:t>
      </w:r>
      <w:r w:rsidR="003129FE" w:rsidRPr="0059240B">
        <w:rPr>
          <w:rFonts w:ascii="Times New Roman" w:eastAsia="Times New Roman" w:hAnsi="Times New Roman"/>
        </w:rPr>
        <w:t>. For contracts that do not have VAGLBs but that have GMDBs that do not offer guaranteed growth in the benefit basis, the partial withdrawal amount each year shall equal 3.5% of the Account Value.</w:t>
      </w:r>
    </w:p>
    <w:p w14:paraId="07BCB9BD" w14:textId="45C95F4D"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d</w:t>
      </w:r>
      <w:r w:rsidR="003129FE" w:rsidRPr="0059240B">
        <w:rPr>
          <w:rFonts w:ascii="Times New Roman" w:eastAsia="Times New Roman" w:hAnsi="Times New Roman"/>
        </w:rPr>
        <w:t>. For contracts with (1) traditional GMIBs that do not offer guaranteed growth in the benefit basis or (2) GMABs, the partial withdrawal amount each year shall equal to 2.0% of the Account Value.</w:t>
      </w:r>
    </w:p>
    <w:p w14:paraId="6E2E3CEF" w14:textId="5959EA68"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e</w:t>
      </w:r>
      <w:r w:rsidR="003129FE" w:rsidRPr="0059240B">
        <w:rPr>
          <w:rFonts w:ascii="Times New Roman" w:eastAsia="Times New Roman" w:hAnsi="Times New Roman"/>
        </w:rPr>
        <w:t>. For contracts with traditional GMIBs that offer guaranteed growth in the benefit basis, the partial withdrawal amount each year shall equal 1.5% of the Account Value.</w:t>
      </w:r>
    </w:p>
    <w:p w14:paraId="7EE47C48" w14:textId="69828506"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f</w:t>
      </w:r>
      <w:r w:rsidR="003129FE" w:rsidRPr="0059240B">
        <w:rPr>
          <w:rFonts w:ascii="Times New Roman" w:eastAsia="Times New Roman" w:hAnsi="Times New Roman"/>
        </w:rPr>
        <w:t>. For contracts with GMWBs and Account Values of zero, the partial withdrawal amount shall be the guaranteed maximum annual withdrawal amount.</w:t>
      </w:r>
    </w:p>
    <w:p w14:paraId="1E80BFE2" w14:textId="4F3630F0"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g</w:t>
      </w:r>
      <w:r w:rsidR="003129FE" w:rsidRPr="0059240B">
        <w:rPr>
          <w:rFonts w:ascii="Times New Roman" w:eastAsia="Times New Roman" w:hAnsi="Times New Roman"/>
        </w:rPr>
        <w:t xml:space="preserve">. For contracts with Lifetime GMWBs or hybrid GMIBs that, in the </w:t>
      </w:r>
      <w:r w:rsidR="004D31AE" w:rsidRPr="0059240B">
        <w:rPr>
          <w:rFonts w:ascii="Times New Roman" w:eastAsia="Times New Roman" w:hAnsi="Times New Roman"/>
        </w:rPr>
        <w:t>contract</w:t>
      </w:r>
      <w:r w:rsidR="003129FE" w:rsidRPr="0059240B">
        <w:rPr>
          <w:rFonts w:ascii="Times New Roman" w:eastAsia="Times New Roman" w:hAnsi="Times New Roman"/>
        </w:rPr>
        <w:t xml:space="preserve"> year immediately preceding that during the valuation date, withdrew a non-zero amount not in excess of the GMWB’s guaranteed annual withdrawal amount or the GMIB’s dollar-for-dollar maximum withdrawal amount, the partial withdrawal amount shall be 90% of the guaranteed annual withdrawal amount or the GMIB’s dollar-for-dollar maximum withdrawal amount each year until the contract Account Value reaches zero.</w:t>
      </w:r>
    </w:p>
    <w:p w14:paraId="4C4DFFF7" w14:textId="6D004765"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lastRenderedPageBreak/>
        <w:t>h</w:t>
      </w:r>
      <w:r w:rsidR="003129FE" w:rsidRPr="0059240B">
        <w:rPr>
          <w:rFonts w:ascii="Times New Roman" w:eastAsia="Times New Roman" w:hAnsi="Times New Roman"/>
        </w:rPr>
        <w:t>. For other contracts with Lifetime GMWBs or hybrid GMIBs, no partial withdrawals shall be projected until the projection interval (the “initial withdrawal period”) determined using the “withdrawal delay cohort method” as described in Section 6.C.5. During the initial withdrawal period and thereafter, the partial withdrawal amount shall be 90% of the GMWB’s guaranteed annual withdrawal amount or the GMIB’s dollar-for-dollar maximum withdrawal amount each year until the contract Account Value reaches zero.</w:t>
      </w:r>
    </w:p>
    <w:p w14:paraId="67618FC7" w14:textId="3EBFD039"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i</w:t>
      </w:r>
      <w:r w:rsidR="003129FE" w:rsidRPr="0059240B">
        <w:rPr>
          <w:rFonts w:ascii="Times New Roman" w:eastAsia="Times New Roman" w:hAnsi="Times New Roman"/>
        </w:rPr>
        <w:t xml:space="preserve">. For contracts with Non-lifetime GMWBs that, in the </w:t>
      </w:r>
      <w:r w:rsidR="004D31AE" w:rsidRPr="0059240B">
        <w:rPr>
          <w:rFonts w:ascii="Times New Roman" w:eastAsia="Times New Roman" w:hAnsi="Times New Roman"/>
        </w:rPr>
        <w:t>contract</w:t>
      </w:r>
      <w:r w:rsidR="003129FE" w:rsidRPr="0059240B">
        <w:rPr>
          <w:rFonts w:ascii="Times New Roman" w:eastAsia="Times New Roman" w:hAnsi="Times New Roman"/>
        </w:rPr>
        <w:t xml:space="preserve"> year immediately preceding that during the valuation date, withdrew a non-zero amount not in excess of the GMWB’s guaranteed annual withdrawal amount, the partial withdrawal amount shall be 70% of the GMWB’s guaranteed annual withdrawal amount each year until the contract Account Value reaches zero.</w:t>
      </w:r>
    </w:p>
    <w:p w14:paraId="24D5B876" w14:textId="5FA3EF26" w:rsidR="003129FE" w:rsidRPr="0059240B" w:rsidRDefault="00065E37" w:rsidP="004E4618">
      <w:pPr>
        <w:spacing w:after="220" w:line="240" w:lineRule="auto"/>
        <w:ind w:left="2160"/>
        <w:rPr>
          <w:rFonts w:ascii="Times New Roman" w:eastAsia="Times New Roman" w:hAnsi="Times New Roman"/>
        </w:rPr>
      </w:pPr>
      <w:r w:rsidRPr="0059240B">
        <w:rPr>
          <w:rFonts w:ascii="Times New Roman" w:eastAsia="Times New Roman" w:hAnsi="Times New Roman"/>
        </w:rPr>
        <w:t>j</w:t>
      </w:r>
      <w:r w:rsidR="003129FE" w:rsidRPr="0059240B">
        <w:rPr>
          <w:rFonts w:ascii="Times New Roman" w:eastAsia="Times New Roman" w:hAnsi="Times New Roman"/>
        </w:rPr>
        <w:t>. For other contracts with Non-lifetime GMWBs, no partial withdrawals shall be projected until the projection interval (the “initial withdrawal period”) determined using the “withdrawal delay cohort method” as described in Section 6.C.5. During the initial withdrawal period and thereafter, the partial withdrawal amount shall be 70% of the guaranteed annual withdrawal amount each year until the contract Account Value reaches zero.</w:t>
      </w:r>
    </w:p>
    <w:p w14:paraId="7560679C" w14:textId="7D5BD3BB" w:rsidR="003129FE" w:rsidRPr="0059240B" w:rsidRDefault="00AB512C" w:rsidP="004E4618">
      <w:pPr>
        <w:spacing w:after="0" w:line="240" w:lineRule="auto"/>
        <w:ind w:left="2160"/>
        <w:rPr>
          <w:rFonts w:ascii="Times New Roman" w:eastAsia="Times New Roman" w:hAnsi="Times New Roman"/>
        </w:rPr>
      </w:pPr>
      <w:r w:rsidRPr="0059240B">
        <w:rPr>
          <w:rFonts w:ascii="Times New Roman" w:eastAsia="Times New Roman" w:hAnsi="Times New Roman"/>
          <w:bCs/>
          <w:color w:val="000000"/>
        </w:rPr>
        <w:t>k</w:t>
      </w:r>
      <w:r w:rsidR="003129FE" w:rsidRPr="0059240B">
        <w:rPr>
          <w:rFonts w:ascii="Times New Roman" w:eastAsia="Times New Roman" w:hAnsi="Times New Roman"/>
          <w:bCs/>
          <w:color w:val="000000"/>
        </w:rPr>
        <w:t xml:space="preserve">. There may be instances where the company has certain data limitations, e.g., with respect to policies that are not enrolled in an automatic withdrawal program but have exercised a non-excess withdrawal in the </w:t>
      </w:r>
      <w:r w:rsidR="004D31AE" w:rsidRPr="0059240B">
        <w:rPr>
          <w:rFonts w:ascii="Times New Roman" w:eastAsia="Times New Roman" w:hAnsi="Times New Roman"/>
          <w:bCs/>
          <w:color w:val="000000"/>
        </w:rPr>
        <w:t>contract</w:t>
      </w:r>
      <w:r w:rsidR="003129FE" w:rsidRPr="0059240B">
        <w:rPr>
          <w:rFonts w:ascii="Times New Roman" w:eastAsia="Times New Roman" w:hAnsi="Times New Roman"/>
          <w:bCs/>
          <w:color w:val="000000"/>
        </w:rPr>
        <w:t xml:space="preserve"> year immediately preceding the valuation date (Section 6.C.4.</w:t>
      </w:r>
      <w:r w:rsidRPr="0059240B">
        <w:rPr>
          <w:rFonts w:ascii="Times New Roman" w:eastAsia="Times New Roman" w:hAnsi="Times New Roman"/>
          <w:bCs/>
          <w:color w:val="000000"/>
        </w:rPr>
        <w:t>g</w:t>
      </w:r>
      <w:r w:rsidR="003129FE" w:rsidRPr="0059240B">
        <w:rPr>
          <w:rFonts w:ascii="Times New Roman" w:eastAsia="Times New Roman" w:hAnsi="Times New Roman"/>
          <w:bCs/>
          <w:color w:val="000000"/>
        </w:rPr>
        <w:t xml:space="preserve"> and Section 6.C.4.</w:t>
      </w:r>
      <w:r w:rsidRPr="0059240B">
        <w:rPr>
          <w:rFonts w:ascii="Times New Roman" w:eastAsia="Times New Roman" w:hAnsi="Times New Roman"/>
          <w:bCs/>
          <w:color w:val="000000"/>
        </w:rPr>
        <w:t>i</w:t>
      </w:r>
      <w:r w:rsidR="003129FE" w:rsidRPr="0059240B">
        <w:rPr>
          <w:rFonts w:ascii="Times New Roman" w:eastAsia="Times New Roman" w:hAnsi="Times New Roman"/>
          <w:bCs/>
          <w:color w:val="000000"/>
        </w:rPr>
        <w:t>)</w:t>
      </w:r>
      <w:r w:rsidR="003129FE" w:rsidRPr="0059240B">
        <w:rPr>
          <w:rFonts w:ascii="Times New Roman" w:eastAsia="Times New Roman" w:hAnsi="Times New Roman"/>
          <w:bCs/>
          <w:color w:val="1F497D"/>
        </w:rPr>
        <w:t xml:space="preserve">.  The company may employ an appropriate proxy method if it does not result in a material understatement of the reserve.   </w:t>
      </w:r>
    </w:p>
    <w:p w14:paraId="066E4A80" w14:textId="77777777" w:rsidR="003129FE" w:rsidRPr="0059240B" w:rsidRDefault="003129FE" w:rsidP="00063E8C">
      <w:pPr>
        <w:spacing w:after="220" w:line="240" w:lineRule="auto"/>
        <w:rPr>
          <w:rFonts w:ascii="Times New Roman" w:hAnsi="Times New Roman"/>
        </w:rPr>
      </w:pPr>
    </w:p>
    <w:p w14:paraId="502CCA6B" w14:textId="77777777"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5.</w:t>
      </w:r>
      <w:r w:rsidRPr="0059240B">
        <w:rPr>
          <w:rFonts w:ascii="Times New Roman" w:eastAsia="Times New Roman" w:hAnsi="Times New Roman"/>
        </w:rPr>
        <w:tab/>
        <w:t>Withdrawal Delay Cohort Method</w:t>
      </w:r>
    </w:p>
    <w:p w14:paraId="615E545E" w14:textId="38707EAB"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To model the initial withdrawal for certain GMWBs and hybrid GMIBs as discussed in Section 6.C.4.</w:t>
      </w:r>
      <w:r w:rsidR="00AB512C" w:rsidRPr="0059240B">
        <w:rPr>
          <w:rFonts w:ascii="Times New Roman" w:eastAsia="Times New Roman" w:hAnsi="Times New Roman"/>
        </w:rPr>
        <w:t>f</w:t>
      </w:r>
      <w:r w:rsidRPr="0059240B">
        <w:rPr>
          <w:rFonts w:ascii="Times New Roman" w:eastAsia="Times New Roman" w:hAnsi="Times New Roman"/>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 applicable characteristics shall be allocated across the cohorts based on different weights that are determined using the method discussed below in this section.</w:t>
      </w:r>
    </w:p>
    <w:p w14:paraId="7AD790C2"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For example, assume that the method discussed below results in the creation of two cohorts: the first, weighted 70%, has an initial withdrawal period of two years after the valuation date, and the second, weighted 30%, has an initial withdrawal period of ten years after the valuation date. The contract shall therefore be split into two copies; the first copy shall have Account Value and guaranteed benefit bases equal to 70% of those of the original contract and the second copy shall have Account Value and guaranteed benefit bases equal to 30% of those of the original contract. The first copy shall be projected to begin withdrawing in two years, while the second shall be projected to begin withdrawing in ten years. The cash flows from both copies shall thereafter be aggregated to yield the final cash flows of the overall contract.</w:t>
      </w:r>
    </w:p>
    <w:p w14:paraId="3AD950EC" w14:textId="4EB83851"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The following steps shall be used to construct the cohorts and determine the weights attributed to each cohort. These steps shall be conducted for each issue age for each GMWB and hybrid GMIB product that the company possesses in the modeled </w:t>
      </w:r>
      <w:r w:rsidR="00DD29B3" w:rsidRPr="0059240B">
        <w:rPr>
          <w:rFonts w:ascii="Times New Roman" w:eastAsia="Times New Roman" w:hAnsi="Times New Roman"/>
        </w:rPr>
        <w:t>in force</w:t>
      </w:r>
      <w:r w:rsidRPr="0059240B">
        <w:rPr>
          <w:rFonts w:ascii="Times New Roman" w:eastAsia="Times New Roman" w:hAnsi="Times New Roman"/>
        </w:rPr>
        <w:t>.</w:t>
      </w:r>
    </w:p>
    <w:p w14:paraId="3E023DAF"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a. Calculate the GMWB GAPV or the Withdrawal GAPV (for hybrid GMIBs) for each potential age of initiating withdrawals (“initial withdrawal age”) until the end of the </w:t>
      </w:r>
      <w:r w:rsidRPr="0059240B">
        <w:rPr>
          <w:rFonts w:ascii="Times New Roman" w:eastAsia="Times New Roman" w:hAnsi="Times New Roman"/>
        </w:rPr>
        <w:lastRenderedPageBreak/>
        <w:t>projection period or the contract holder reaches age 120 if sooner. In each of these GAPV calculations:</w:t>
      </w:r>
    </w:p>
    <w:p w14:paraId="77053524" w14:textId="77777777" w:rsidR="003129FE" w:rsidRPr="0059240B" w:rsidRDefault="003129FE" w:rsidP="004E4618">
      <w:pPr>
        <w:spacing w:after="220" w:line="240" w:lineRule="auto"/>
        <w:ind w:left="2880"/>
        <w:rPr>
          <w:rFonts w:ascii="Times New Roman" w:eastAsia="Times New Roman" w:hAnsi="Times New Roman"/>
        </w:rPr>
      </w:pPr>
      <w:r w:rsidRPr="0059240B">
        <w:rPr>
          <w:rFonts w:ascii="Times New Roman" w:eastAsia="Times New Roman" w:hAnsi="Times New Roman"/>
        </w:rPr>
        <w:t>i. The calculation shall ignore the instructions of Section 6.C.3.d and instead assume that the contract holder takes no partial withdrawals until the initial withdrawal age;</w:t>
      </w:r>
    </w:p>
    <w:p w14:paraId="1DD4ACBA" w14:textId="77777777" w:rsidR="003129FE" w:rsidRPr="0059240B" w:rsidRDefault="003129FE" w:rsidP="004E4618">
      <w:pPr>
        <w:spacing w:after="220" w:line="240" w:lineRule="auto"/>
        <w:ind w:left="2880"/>
        <w:rPr>
          <w:rFonts w:ascii="Times New Roman" w:eastAsia="Times New Roman" w:hAnsi="Times New Roman"/>
        </w:rPr>
      </w:pPr>
      <w:r w:rsidRPr="0059240B">
        <w:rPr>
          <w:rFonts w:ascii="Times New Roman" w:eastAsia="Times New Roman" w:hAnsi="Times New Roman"/>
        </w:rPr>
        <w:t>ii. The calculation shall ignore the instructions of Section 6.C.3.i and instead use a discount rate assuming a 10-year U.S. Treasury bond rate of 3.0%;</w:t>
      </w:r>
    </w:p>
    <w:p w14:paraId="02F31EC9" w14:textId="4233322D" w:rsidR="003129FE" w:rsidRPr="0059240B" w:rsidRDefault="003129FE" w:rsidP="004E4618">
      <w:pPr>
        <w:spacing w:after="220" w:line="240" w:lineRule="auto"/>
        <w:ind w:left="2880"/>
        <w:rPr>
          <w:rFonts w:ascii="Times New Roman" w:eastAsia="Times New Roman" w:hAnsi="Times New Roman"/>
        </w:rPr>
      </w:pPr>
      <w:r w:rsidRPr="0059240B">
        <w:rPr>
          <w:rFonts w:ascii="Times New Roman" w:eastAsia="Times New Roman" w:hAnsi="Times New Roman"/>
        </w:rPr>
        <w:t xml:space="preserve">iii. The GAPV for each initial withdrawal age shall be expressed in present value terms taking into account survival from issue to the initial withdrawal age, as well as time value of money during that period.  For instance, if the issue age is 55, then the GAPV for an initial withdrawal age of 60 shall take into account survival of the annuitant or owner to age 60 using the mortality table specified in Section 6.C.3.h as well as the time value of money from age 55 to age 60. </w:t>
      </w:r>
    </w:p>
    <w:p w14:paraId="742BC86A" w14:textId="40D47313" w:rsidR="003129FE" w:rsidRPr="0059240B" w:rsidRDefault="003129FE" w:rsidP="004E4618">
      <w:pPr>
        <w:spacing w:after="220" w:line="240" w:lineRule="auto"/>
        <w:ind w:left="2160"/>
        <w:rPr>
          <w:rFonts w:ascii="Times New Roman" w:eastAsia="Times New Roman" w:hAnsi="Times New Roman"/>
        </w:rPr>
      </w:pPr>
    </w:p>
    <w:p w14:paraId="4EB48F48"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b. Raise each of the GAPV to the second power and multiply all of the resultant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corresponding to initial withdrawal ages below 60 by 50%.</w:t>
      </w:r>
    </w:p>
    <w:p w14:paraId="7FE991E6"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c. For tax-qualified GMWB contracts, scale each of the adjusted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by a single multiplier such that the sum of the scaled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equals 0.95.</w:t>
      </w:r>
    </w:p>
    <w:p w14:paraId="3E8F0F1A"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d. For non-qualified GMWB contracts, scale each of the adjusted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by a single multiplier such that the sum of the scaled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equals 0.80.</w:t>
      </w:r>
    </w:p>
    <w:p w14:paraId="11433DAD"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e. For tax-qualified hybrid GMIB contracts, scale each of the adjusted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by a single multiplier such that the sum of the scaled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equals 0.85.</w:t>
      </w:r>
    </w:p>
    <w:p w14:paraId="5BA1D888"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f. For non-qualified hybrid GMIB contracts, scale each of the adjusted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by a single multiplier such that the sum of the scaled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equals 0.60.</w:t>
      </w:r>
    </w:p>
    <w:p w14:paraId="6AFCCC92"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g. For contracts that offer guaranteed growth in the benefit basis or one-time bonuses to the benefit basis, add the following to the adjusted and scaled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t>
      </w:r>
    </w:p>
    <w:p w14:paraId="7F40DDD8" w14:textId="77777777" w:rsidR="003129FE" w:rsidRPr="0059240B" w:rsidRDefault="003129FE" w:rsidP="00CC2E32">
      <w:pPr>
        <w:spacing w:after="220" w:line="240" w:lineRule="auto"/>
        <w:ind w:left="2160"/>
        <w:rPr>
          <w:rFonts w:ascii="Times New Roman" w:eastAsia="Times New Roman" w:hAnsi="Times New Roman"/>
        </w:rPr>
      </w:pPr>
      <m:oMathPara>
        <m:oMath>
          <m:r>
            <w:rPr>
              <w:rFonts w:ascii="Cambria Math" w:eastAsia="Times New Roman" w:hAnsi="Cambria Math"/>
              <w:sz w:val="18"/>
              <w:szCs w:val="18"/>
            </w:rPr>
            <m:t>0.35 ×</m:t>
          </m:r>
          <m:d>
            <m:dPr>
              <m:begChr m:val="{"/>
              <m:endChr m:val=""/>
              <m:ctrlPr>
                <w:rPr>
                  <w:rFonts w:ascii="Cambria Math" w:eastAsia="Times New Roman" w:hAnsi="Cambria Math"/>
                  <w:i/>
                  <w:sz w:val="18"/>
                  <w:szCs w:val="18"/>
                </w:rPr>
              </m:ctrlPr>
            </m:dPr>
            <m:e>
              <m:m>
                <m:mPr>
                  <m:mcs>
                    <m:mc>
                      <m:mcPr>
                        <m:count m:val="1"/>
                        <m:mcJc m:val="center"/>
                      </m:mcPr>
                    </m:mc>
                  </m:mcs>
                  <m:ctrlPr>
                    <w:rPr>
                      <w:rFonts w:ascii="Cambria Math" w:eastAsia="Times New Roman" w:hAnsi="Cambria Math"/>
                      <w:i/>
                      <w:sz w:val="18"/>
                      <w:szCs w:val="18"/>
                    </w:rPr>
                  </m:ctrlPr>
                </m:mP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0.95-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GMWB</m:t>
                          </m:r>
                        </m:e>
                      </m:mr>
                      <m:mr>
                        <m:e>
                          <m:r>
                            <m:rPr>
                              <m:sty m:val="p"/>
                            </m:rPr>
                            <w:rPr>
                              <w:rFonts w:ascii="Cambria Math" w:hAnsi="Cambria Math"/>
                              <w:color w:val="0000FF"/>
                              <w:sz w:val="18"/>
                              <w:szCs w:val="18"/>
                            </w:rPr>
                            <m:t>0.80-</m:t>
                          </m:r>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sSubSup>
                            <m:sSubSupPr>
                              <m:ctrlPr>
                                <w:rPr>
                                  <w:rFonts w:ascii="Cambria Math" w:hAnsi="Cambria Math"/>
                                  <w:color w:val="0000FF"/>
                                  <w:sz w:val="18"/>
                                  <w:szCs w:val="18"/>
                                </w:rPr>
                              </m:ctrlPr>
                            </m:sSubSupPr>
                            <m:e/>
                            <m:sub/>
                            <m:sup/>
                          </m:sSubSup>
                          <m:r>
                            <m:rPr>
                              <m:sty m:val="p"/>
                            </m:rPr>
                            <w:rPr>
                              <w:rFonts w:ascii="Cambria Math" w:hAnsi="Cambria Math"/>
                              <w:color w:val="0000FF"/>
                              <w:sz w:val="18"/>
                              <w:szCs w:val="18"/>
                            </w:rPr>
                            <m:t>, if contract is a non-qualified GMWB</m:t>
                          </m:r>
                        </m:e>
                      </m:mr>
                    </m:m>
                  </m:e>
                </m:m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0.85-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hybrid GMIB</m:t>
                          </m:r>
                        </m:e>
                      </m:mr>
                      <m:mr>
                        <m:e>
                          <m:r>
                            <m:rPr>
                              <m:sty m:val="p"/>
                            </m:rPr>
                            <w:rPr>
                              <w:rFonts w:ascii="Cambria Math" w:hAnsi="Cambria Math"/>
                              <w:color w:val="0000FF"/>
                              <w:sz w:val="18"/>
                              <w:szCs w:val="18"/>
                            </w:rPr>
                            <m:t>0.60-</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non-qualified hybrid GMIB</m:t>
                          </m:r>
                        </m:e>
                      </m:mr>
                    </m:m>
                  </m:e>
                </m:mr>
              </m:m>
            </m:e>
          </m:d>
        </m:oMath>
      </m:oMathPara>
    </w:p>
    <w:p w14:paraId="768B9B61"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lastRenderedPageBreak/>
        <w:t>h. Scale the adjusted and scaled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at all future initial withdrawal ages (i.e., all ages greater than the initial withdrawal age that occurs immediately after the termination of the guaranteed growth or the one-time bonus with the greatest GAPV, as identified in the preceding step) such that the sum of the revised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equals 0.95 for tax-qualified GMWB contracts, 0.80 for non-qualified GMWB contracts, 0.85 for tax-qualified hybrid GMIB contracts, and 0.60 for non-qualified hybrid GMIB contracts.</w:t>
      </w:r>
    </w:p>
    <w:p w14:paraId="64D4D870" w14:textId="314F85BB"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i. For tax-qualified contracts, add the following to the revised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corresponding to an initial withdrawal age of 71.</w:t>
      </w:r>
    </w:p>
    <w:p w14:paraId="548038CC" w14:textId="77777777" w:rsidR="003129FE" w:rsidRPr="0059240B" w:rsidRDefault="003129FE" w:rsidP="00CC2E32">
      <w:pPr>
        <w:spacing w:after="220" w:line="240" w:lineRule="auto"/>
        <w:ind w:left="2160"/>
        <w:rPr>
          <w:rFonts w:ascii="Times New Roman" w:eastAsia="Times New Roman" w:hAnsi="Times New Roman"/>
          <w:sz w:val="18"/>
          <w:szCs w:val="18"/>
        </w:rPr>
      </w:pPr>
      <m:oMathPara>
        <m:oMath>
          <m:r>
            <w:rPr>
              <w:rFonts w:ascii="Cambria Math" w:eastAsia="Times New Roman" w:hAnsi="Cambria Math"/>
              <w:sz w:val="18"/>
              <w:szCs w:val="18"/>
            </w:rPr>
            <m:t>0.50 ×</m:t>
          </m:r>
          <m:d>
            <m:dPr>
              <m:begChr m:val="{"/>
              <m:endChr m:val=""/>
              <m:ctrlPr>
                <w:rPr>
                  <w:rFonts w:ascii="Cambria Math" w:eastAsia="Times New Roman" w:hAnsi="Cambria Math"/>
                  <w:i/>
                  <w:sz w:val="18"/>
                  <w:szCs w:val="18"/>
                </w:rPr>
              </m:ctrlPr>
            </m:dPr>
            <m:e>
              <m:m>
                <m:mPr>
                  <m:mcs>
                    <m:mc>
                      <m:mcPr>
                        <m:count m:val="1"/>
                        <m:mcJc m:val="center"/>
                      </m:mcPr>
                    </m:mc>
                  </m:mcs>
                  <m:ctrlPr>
                    <w:rPr>
                      <w:rFonts w:ascii="Cambria Math" w:eastAsia="Times New Roman" w:hAnsi="Cambria Math"/>
                      <w:i/>
                      <w:sz w:val="18"/>
                      <w:szCs w:val="18"/>
                    </w:rPr>
                  </m:ctrlPr>
                </m:mP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0.95-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GMWB</m:t>
                          </m:r>
                        </m:e>
                      </m:mr>
                      <m:mr>
                        <m:e/>
                      </m:mr>
                    </m:m>
                  </m:e>
                </m:mr>
                <m:mr>
                  <m:e>
                    <m:m>
                      <m:mPr>
                        <m:mcs>
                          <m:mc>
                            <m:mcPr>
                              <m:count m:val="1"/>
                              <m:mcJc m:val="center"/>
                            </m:mcPr>
                          </m:mc>
                        </m:mcs>
                        <m:ctrlPr>
                          <w:rPr>
                            <w:rFonts w:ascii="Cambria Math" w:eastAsia="Times New Roman" w:hAnsi="Cambria Math"/>
                            <w:i/>
                            <w:sz w:val="18"/>
                            <w:szCs w:val="18"/>
                          </w:rPr>
                        </m:ctrlPr>
                      </m:mPr>
                      <m:mr>
                        <m:e>
                          <m:r>
                            <m:rPr>
                              <m:sty m:val="p"/>
                            </m:rPr>
                            <w:rPr>
                              <w:rFonts w:ascii="Cambria Math" w:hAnsi="Cambria Math"/>
                              <w:color w:val="0000FF"/>
                              <w:sz w:val="18"/>
                              <w:szCs w:val="18"/>
                            </w:rPr>
                            <m:t>0.85-</m:t>
                          </m:r>
                          <m:sSubSup>
                            <m:sSubSupPr>
                              <m:ctrlPr>
                                <w:rPr>
                                  <w:rFonts w:ascii="Cambria Math" w:hAnsi="Cambria Math"/>
                                  <w:color w:val="0000FF"/>
                                  <w:sz w:val="18"/>
                                  <w:szCs w:val="18"/>
                                </w:rPr>
                              </m:ctrlPr>
                            </m:sSubSupPr>
                            <m:e>
                              <m:nary>
                                <m:naryPr>
                                  <m:chr m:val="∑"/>
                                  <m:limLoc m:val="undOvr"/>
                                  <m:ctrlPr>
                                    <w:rPr>
                                      <w:rFonts w:ascii="Cambria Math" w:hAnsi="Cambria Math"/>
                                      <w:color w:val="0000FF"/>
                                      <w:sz w:val="18"/>
                                      <w:szCs w:val="18"/>
                                    </w:rPr>
                                  </m:ctrlPr>
                                </m:naryPr>
                                <m:sub>
                                  <m:r>
                                    <w:rPr>
                                      <w:rFonts w:ascii="Cambria Math" w:hAnsi="Cambria Math"/>
                                      <w:color w:val="0000FF"/>
                                      <w:sz w:val="18"/>
                                      <w:szCs w:val="18"/>
                                    </w:rPr>
                                    <m:t>i=Issue Age</m:t>
                                  </m:r>
                                </m:sub>
                                <m:sup>
                                  <m:r>
                                    <w:rPr>
                                      <w:rFonts w:ascii="Cambria Math" w:hAnsi="Cambria Math"/>
                                      <w:color w:val="0000FF"/>
                                      <w:sz w:val="18"/>
                                      <w:szCs w:val="18"/>
                                    </w:rPr>
                                    <m:t>Initial WD Age</m:t>
                                  </m:r>
                                </m:sup>
                                <m:e>
                                  <m:sSubSup>
                                    <m:sSubSupPr>
                                      <m:ctrlPr>
                                        <w:rPr>
                                          <w:rFonts w:ascii="Cambria Math" w:hAnsi="Cambria Math"/>
                                          <w:color w:val="0000FF"/>
                                          <w:sz w:val="18"/>
                                          <w:szCs w:val="18"/>
                                        </w:rPr>
                                      </m:ctrlPr>
                                    </m:sSubSupPr>
                                    <m:e>
                                      <m:r>
                                        <m:rPr>
                                          <m:sty m:val="p"/>
                                        </m:rPr>
                                        <w:rPr>
                                          <w:rFonts w:ascii="Cambria Math" w:hAnsi="Cambria Math"/>
                                          <w:color w:val="0000FF"/>
                                          <w:sz w:val="18"/>
                                          <w:szCs w:val="18"/>
                                        </w:rPr>
                                        <m:t>GAPV</m:t>
                                      </m:r>
                                    </m:e>
                                    <m:sub>
                                      <m:r>
                                        <m:rPr>
                                          <m:sty m:val="p"/>
                                        </m:rPr>
                                        <w:rPr>
                                          <w:rFonts w:ascii="Cambria Math" w:hAnsi="Cambria Math"/>
                                          <w:color w:val="0000FF"/>
                                          <w:sz w:val="18"/>
                                          <w:szCs w:val="18"/>
                                        </w:rPr>
                                        <m:t>Adjusted,Scaled</m:t>
                                      </m:r>
                                    </m:sub>
                                    <m:sup>
                                      <m:r>
                                        <m:rPr>
                                          <m:sty m:val="p"/>
                                        </m:rPr>
                                        <w:rPr>
                                          <w:rFonts w:ascii="Cambria Math" w:hAnsi="Cambria Math"/>
                                          <w:color w:val="0000FF"/>
                                          <w:sz w:val="18"/>
                                          <w:szCs w:val="18"/>
                                        </w:rPr>
                                        <m:t>2</m:t>
                                      </m:r>
                                    </m:sup>
                                  </m:sSubSup>
                                </m:e>
                              </m:nary>
                            </m:e>
                            <m:sub/>
                            <m:sup/>
                          </m:sSubSup>
                          <m:r>
                            <m:rPr>
                              <m:sty m:val="p"/>
                            </m:rPr>
                            <w:rPr>
                              <w:rFonts w:ascii="Cambria Math" w:hAnsi="Cambria Math"/>
                              <w:color w:val="0000FF"/>
                              <w:sz w:val="18"/>
                              <w:szCs w:val="18"/>
                            </w:rPr>
                            <m:t>, if contract is a tax-qualified hybrid GMIB</m:t>
                          </m:r>
                        </m:e>
                      </m:mr>
                      <m:mr>
                        <m:e/>
                      </m:mr>
                    </m:m>
                  </m:e>
                </m:mr>
              </m:m>
            </m:e>
          </m:d>
        </m:oMath>
      </m:oMathPara>
    </w:p>
    <w:p w14:paraId="560FCA77"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j. Scale the revised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at all future initial withdrawal ages (i.e., all ages greater than 71, as identified in the preceding step) such that the sum of the revised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values equals 0.95 for tax-qualified GMWB contracts and 0.85 for tax-qualified hybrid GMIB contracts again.</w:t>
      </w:r>
    </w:p>
    <w:p w14:paraId="36D727B3"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1A0346CE" wp14:editId="0ABFFBAB">
                <wp:simplePos x="0" y="0"/>
                <wp:positionH relativeFrom="column">
                  <wp:posOffset>1104900</wp:posOffset>
                </wp:positionH>
                <wp:positionV relativeFrom="paragraph">
                  <wp:posOffset>892810</wp:posOffset>
                </wp:positionV>
                <wp:extent cx="5114925" cy="1209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114925"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56A1A" id="Rectangle 6" o:spid="_x0000_s1026" style="position:absolute;margin-left:87pt;margin-top:70.3pt;width:402.75pt;height:9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" filled="f" strokecolor="black [3213]" strokeweight=".25pt"/>
            </w:pict>
          </mc:Fallback>
        </mc:AlternateContent>
      </w:r>
      <w:r w:rsidRPr="0059240B">
        <w:rPr>
          <w:rFonts w:ascii="Times New Roman" w:eastAsia="Times New Roman" w:hAnsi="Times New Roman"/>
        </w:rPr>
        <w:t>k. For ease of calculation, the company may discard certain withdrawal ages and use others as representative.  For example, for odd-numbered issue ages, discard the initial withdrawal ages that are odd-numbered, and for even-numbered issue ages, discard initial withdrawal ages that are even-numbered. One cohort shall subsequently be constructed for each of the remaining initial withdrawal ages.</w:t>
      </w:r>
    </w:p>
    <w:p w14:paraId="771ACA27" w14:textId="4118B6B9"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Guidance Note: The instructions in Section 6.C.5 are meant to improve computational tractability for companies that have large </w:t>
      </w:r>
      <w:r w:rsidR="00DD29B3" w:rsidRPr="0059240B">
        <w:rPr>
          <w:rFonts w:ascii="Times New Roman" w:eastAsia="Times New Roman" w:hAnsi="Times New Roman"/>
        </w:rPr>
        <w:t>in force</w:t>
      </w:r>
      <w:r w:rsidRPr="0059240B">
        <w:rPr>
          <w:rFonts w:ascii="Times New Roman" w:eastAsia="Times New Roman" w:hAnsi="Times New Roman"/>
        </w:rPr>
        <w:t xml:space="preserv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t>
      </w:r>
    </w:p>
    <w:p w14:paraId="59CA28FC"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l. The weight assigned to each of the cohorts constructed in Section 6.C.5 shall equal the revised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 of the corresponding initial withdrawal age less the revised GAPV</w:t>
      </w:r>
      <w:r w:rsidRPr="0059240B">
        <w:rPr>
          <w:rFonts w:ascii="Times New Roman" w:eastAsia="Times New Roman" w:hAnsi="Times New Roman"/>
          <w:vertAlign w:val="superscript"/>
        </w:rPr>
        <w:t>2</w:t>
      </w:r>
      <w:r w:rsidRPr="0059240B">
        <w:rPr>
          <w:rFonts w:ascii="Times New Roman" w:eastAsia="Times New Roman" w:hAnsi="Times New Roman"/>
        </w:rPr>
        <w:t xml:space="preserve"> value of the initial withdrawal age in the preceding cohort (i.e., two years smaller for the example given in Section 6.C.5.k).</w:t>
      </w:r>
    </w:p>
    <w:p w14:paraId="3B933E43" w14:textId="1231A3DB"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m. Construct a final cohort that is modeled not to take a partial withdrawal in the contract lifetime. This final cohort (“never withdraw cohort”) shall be assigned a weight of 0.05 for tax-qualified </w:t>
      </w:r>
      <w:r w:rsidR="00AC0341" w:rsidRPr="0059240B">
        <w:rPr>
          <w:rFonts w:ascii="Times New Roman" w:eastAsia="Times New Roman" w:hAnsi="Times New Roman"/>
        </w:rPr>
        <w:t xml:space="preserve">GMWB </w:t>
      </w:r>
      <w:r w:rsidRPr="0059240B">
        <w:rPr>
          <w:rFonts w:ascii="Times New Roman" w:eastAsia="Times New Roman" w:hAnsi="Times New Roman"/>
        </w:rPr>
        <w:t xml:space="preserve">contracts and 0.20 for non-qualified </w:t>
      </w:r>
      <w:r w:rsidR="00AC0341" w:rsidRPr="0059240B">
        <w:rPr>
          <w:rFonts w:ascii="Times New Roman" w:eastAsia="Times New Roman" w:hAnsi="Times New Roman"/>
        </w:rPr>
        <w:t>GMWB</w:t>
      </w:r>
      <w:r w:rsidR="00B85738" w:rsidRPr="0059240B">
        <w:rPr>
          <w:rFonts w:ascii="Times New Roman" w:eastAsia="Times New Roman" w:hAnsi="Times New Roman"/>
        </w:rPr>
        <w:t xml:space="preserve"> </w:t>
      </w:r>
      <w:r w:rsidRPr="0059240B">
        <w:rPr>
          <w:rFonts w:ascii="Times New Roman" w:eastAsia="Times New Roman" w:hAnsi="Times New Roman"/>
        </w:rPr>
        <w:t>contracts</w:t>
      </w:r>
      <w:r w:rsidRPr="0059240B">
        <w:rPr>
          <w:rFonts w:ascii="Times New Roman" w:eastAsia="Times New Roman" w:hAnsi="Times New Roman"/>
          <w:color w:val="000000"/>
        </w:rPr>
        <w:t xml:space="preserve">, </w:t>
      </w:r>
      <w:r w:rsidR="00AC0341" w:rsidRPr="0059240B">
        <w:rPr>
          <w:rFonts w:ascii="Times New Roman" w:eastAsia="Times New Roman" w:hAnsi="Times New Roman"/>
          <w:color w:val="000000"/>
        </w:rPr>
        <w:t>0</w:t>
      </w:r>
      <w:r w:rsidRPr="0059240B">
        <w:rPr>
          <w:rFonts w:ascii="Times New Roman" w:eastAsia="Times New Roman" w:hAnsi="Times New Roman"/>
          <w:color w:val="000000"/>
        </w:rPr>
        <w:t xml:space="preserve">.15 for tax-qualified hybrid GMIB </w:t>
      </w:r>
      <w:r w:rsidRPr="0059240B">
        <w:rPr>
          <w:rFonts w:ascii="Times New Roman" w:eastAsia="Times New Roman" w:hAnsi="Times New Roman"/>
        </w:rPr>
        <w:t>contracts</w:t>
      </w:r>
      <w:r w:rsidRPr="0059240B">
        <w:rPr>
          <w:rFonts w:ascii="Times New Roman" w:eastAsia="Times New Roman" w:hAnsi="Times New Roman"/>
          <w:color w:val="000000"/>
        </w:rPr>
        <w:t xml:space="preserve">, and </w:t>
      </w:r>
      <w:r w:rsidR="00AC0341" w:rsidRPr="0059240B">
        <w:rPr>
          <w:rFonts w:ascii="Times New Roman" w:eastAsia="Times New Roman" w:hAnsi="Times New Roman"/>
          <w:color w:val="000000"/>
        </w:rPr>
        <w:t>0</w:t>
      </w:r>
      <w:r w:rsidRPr="0059240B">
        <w:rPr>
          <w:rFonts w:ascii="Times New Roman" w:eastAsia="Times New Roman" w:hAnsi="Times New Roman"/>
          <w:color w:val="000000"/>
        </w:rPr>
        <w:t xml:space="preserve">.40 for non-qualified hybrid GMIB </w:t>
      </w:r>
      <w:r w:rsidRPr="0059240B">
        <w:rPr>
          <w:rFonts w:ascii="Times New Roman" w:eastAsia="Times New Roman" w:hAnsi="Times New Roman"/>
        </w:rPr>
        <w:t>contracts.</w:t>
      </w:r>
    </w:p>
    <w:p w14:paraId="1AC86DB4" w14:textId="53328E93"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n. The cohorts and their associated weights as determined in Section 6.C.5.a through Section 6.C.5.k are for a contract with attained age equal to its issue age. Because the discount rate used in this determination is fixed, these calculations only need to be performed once for a given set of contracts with a certain issue age, guaranteed benefit product, and tax status.</w:t>
      </w:r>
    </w:p>
    <w:p w14:paraId="1625524F" w14:textId="55948E2B"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lastRenderedPageBreak/>
        <w:t>o. For a contract with a contract holder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t>
      </w:r>
    </w:p>
    <w:p w14:paraId="04F30A99" w14:textId="77777777" w:rsidR="003129FE" w:rsidRPr="0059240B" w:rsidRDefault="003129FE" w:rsidP="00CC2E32">
      <w:pPr>
        <w:spacing w:after="220" w:line="240" w:lineRule="auto"/>
        <w:ind w:left="2160"/>
        <w:rPr>
          <w:rFonts w:ascii="Times New Roman" w:eastAsia="Times New Roman" w:hAnsi="Times New Roman"/>
        </w:rPr>
      </w:pPr>
    </w:p>
    <w:p w14:paraId="7AEA5231" w14:textId="77777777"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6.</w:t>
      </w:r>
      <w:r w:rsidRPr="0059240B">
        <w:rPr>
          <w:rFonts w:ascii="Times New Roman" w:eastAsia="Times New Roman" w:hAnsi="Times New Roman"/>
        </w:rPr>
        <w:tab/>
        <w:t xml:space="preserve">Full Surrenders. </w:t>
      </w:r>
    </w:p>
    <w:p w14:paraId="0A600E00" w14:textId="6C26B0E5"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The full surrender rate for all contracts shall be calculated based on the Standard Table for Full Surrenders as detailed below in Table </w:t>
      </w:r>
      <w:r w:rsidR="00007E72" w:rsidRPr="0059240B">
        <w:rPr>
          <w:rFonts w:ascii="Times New Roman" w:eastAsia="Times New Roman" w:hAnsi="Times New Roman"/>
        </w:rPr>
        <w:t>6.3</w:t>
      </w:r>
      <w:r w:rsidRPr="0059240B">
        <w:rPr>
          <w:rFonts w:ascii="Times New Roman" w:eastAsia="Times New Roman" w:hAnsi="Times New Roman"/>
        </w:rPr>
        <w:t>, except for simple 403(b) VA contracts. The Standard Table for Full Surrender prescribes different full surrender rates depending on the contract year and the in-the-moneyness (“ITM”) of the contract’s guaranteed benefit.</w:t>
      </w:r>
    </w:p>
    <w:p w14:paraId="2205D491"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The ITM of a contract’s guaranteed benefit shall be calculated based on the ratio of the guaranteed benefit’s GAPV to the contract’s account value. Depending on the guaranteed benefit type, the ratio shall be adjusted via the following calculations:</w:t>
      </w:r>
    </w:p>
    <w:p w14:paraId="54B88BDA"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a. For GMDBs, the ITM shall be calculated as 75% of the ratio between the GMDB GAPV and the contract account value.</w:t>
      </w:r>
    </w:p>
    <w:p w14:paraId="46DA077B"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b. For GMABs, the ITM shall be calculated as 150% of the ratio between the GMAB GAPV and the contract account value.</w:t>
      </w:r>
    </w:p>
    <w:p w14:paraId="355DD8FE"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c. For traditional GMIBs and all GMWBs, the ITM shall be calculated as 100% of the ratio between the GMIB or GMWB GAPV, calculated as described in Section 6.C.3, and the contract account value.</w:t>
      </w:r>
    </w:p>
    <w:p w14:paraId="6C5A63E9" w14:textId="77777777" w:rsidR="003129FE" w:rsidRPr="0059240B" w:rsidRDefault="003129FE" w:rsidP="004E4618">
      <w:pPr>
        <w:spacing w:after="0" w:line="240" w:lineRule="auto"/>
        <w:ind w:left="2160"/>
        <w:rPr>
          <w:rFonts w:ascii="Times New Roman" w:eastAsia="Times New Roman" w:hAnsi="Times New Roman"/>
        </w:rPr>
      </w:pPr>
      <w:r w:rsidRPr="0059240B">
        <w:rPr>
          <w:rFonts w:ascii="Times New Roman" w:eastAsia="Times New Roman" w:hAnsi="Times New Roman"/>
        </w:rPr>
        <w:t xml:space="preserve">d. For hybrid GMIBs, the ITM shall be calculated as 100% of the ratio between </w:t>
      </w:r>
    </w:p>
    <w:p w14:paraId="62B7C11A" w14:textId="77777777" w:rsidR="003129FE" w:rsidRPr="0059240B" w:rsidRDefault="003129FE" w:rsidP="004E4618">
      <w:pPr>
        <w:spacing w:after="220" w:line="240" w:lineRule="auto"/>
        <w:ind w:left="2880"/>
        <w:rPr>
          <w:rFonts w:ascii="Times New Roman" w:eastAsia="Times New Roman" w:hAnsi="Times New Roman"/>
        </w:rPr>
      </w:pPr>
      <w:r w:rsidRPr="0059240B">
        <w:rPr>
          <w:rFonts w:ascii="Times New Roman" w:eastAsia="Times New Roman" w:hAnsi="Times New Roman"/>
        </w:rPr>
        <w:t xml:space="preserve">i. the larger of its Annuitization GAPV and its Withdrawal GAPV, calculated as described in Section 6.C.3 and Section 6.C.5, and </w:t>
      </w:r>
    </w:p>
    <w:p w14:paraId="3E77EC2B" w14:textId="77777777" w:rsidR="003129FE" w:rsidRPr="0059240B" w:rsidRDefault="003129FE" w:rsidP="004E4618">
      <w:pPr>
        <w:spacing w:after="220" w:line="240" w:lineRule="auto"/>
        <w:ind w:left="2880"/>
        <w:jc w:val="both"/>
        <w:rPr>
          <w:rFonts w:ascii="Times New Roman" w:eastAsia="Times New Roman" w:hAnsi="Times New Roman"/>
        </w:rPr>
      </w:pPr>
      <w:r w:rsidRPr="0059240B">
        <w:rPr>
          <w:rFonts w:ascii="Times New Roman" w:eastAsia="Times New Roman" w:hAnsi="Times New Roman"/>
        </w:rPr>
        <w:t>ii. the contract account value.</w:t>
      </w:r>
    </w:p>
    <w:p w14:paraId="19AC12C7" w14:textId="235D2B4B" w:rsidR="003129FE" w:rsidRPr="0059240B" w:rsidRDefault="003129FE" w:rsidP="00CC2E32">
      <w:pPr>
        <w:keepNext/>
        <w:spacing w:after="220" w:line="240" w:lineRule="auto"/>
        <w:ind w:left="3780"/>
        <w:rPr>
          <w:rFonts w:ascii="Times New Roman" w:eastAsia="Times New Roman" w:hAnsi="Times New Roman"/>
          <w:position w:val="-1"/>
        </w:rPr>
      </w:pPr>
      <w:r w:rsidRPr="0059240B">
        <w:rPr>
          <w:rFonts w:ascii="Times New Roman" w:eastAsia="Times New Roman" w:hAnsi="Times New Roman"/>
          <w:position w:val="-1"/>
        </w:rPr>
        <w:lastRenderedPageBreak/>
        <w:t xml:space="preserve">Table </w:t>
      </w:r>
      <w:r w:rsidR="00007E72" w:rsidRPr="0059240B">
        <w:rPr>
          <w:rFonts w:ascii="Times New Roman" w:eastAsia="Times New Roman" w:hAnsi="Times New Roman"/>
          <w:position w:val="-1"/>
        </w:rPr>
        <w:t>6.3</w:t>
      </w:r>
      <w:r w:rsidRPr="0059240B">
        <w:rPr>
          <w:rFonts w:ascii="Times New Roman" w:eastAsia="Times New Roman" w:hAnsi="Times New Roman"/>
          <w:position w:val="-1"/>
        </w:rPr>
        <w:t xml:space="preserve"> – Standard Table for Full Surrender</w:t>
      </w:r>
      <w:r w:rsidR="00380E09" w:rsidRPr="0059240B">
        <w:rPr>
          <w:rFonts w:ascii="Times New Roman" w:eastAsia="Times New Roman" w:hAnsi="Times New Roman"/>
          <w:position w:val="-1"/>
        </w:rPr>
        <w:t>s</w:t>
      </w:r>
    </w:p>
    <w:tbl>
      <w:tblPr>
        <w:tblW w:w="7759" w:type="dxa"/>
        <w:tblInd w:w="732"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461C90" w:rsidRPr="0059240B" w14:paraId="7971C916" w14:textId="77777777" w:rsidTr="00461C90">
        <w:trPr>
          <w:trHeight w:hRule="exact" w:val="1117"/>
        </w:trPr>
        <w:tc>
          <w:tcPr>
            <w:tcW w:w="1170" w:type="dxa"/>
            <w:tcBorders>
              <w:top w:val="single" w:sz="4" w:space="0" w:color="000000"/>
              <w:left w:val="single" w:sz="4" w:space="0" w:color="auto"/>
              <w:bottom w:val="single" w:sz="4" w:space="0" w:color="000000"/>
              <w:right w:val="single" w:sz="4" w:space="0" w:color="000000"/>
            </w:tcBorders>
            <w:vAlign w:val="center"/>
          </w:tcPr>
          <w:p w14:paraId="48D609ED" w14:textId="75F3A875" w:rsidR="00461C90" w:rsidRPr="0059240B" w:rsidRDefault="00461C90" w:rsidP="00461C90">
            <w:pPr>
              <w:keepNext/>
              <w:spacing w:after="0" w:line="240" w:lineRule="auto"/>
              <w:jc w:val="center"/>
              <w:rPr>
                <w:rFonts w:ascii="Times New Roman" w:hAnsi="Times New Roman"/>
                <w:sz w:val="20"/>
                <w:szCs w:val="20"/>
              </w:rPr>
            </w:pPr>
            <w:r w:rsidRPr="0059240B">
              <w:rPr>
                <w:rFonts w:ascii="Times New Roman" w:hAnsi="Times New Roman"/>
                <w:sz w:val="20"/>
                <w:szCs w:val="20"/>
              </w:rPr>
              <w:t>ITM</w:t>
            </w:r>
          </w:p>
        </w:tc>
        <w:tc>
          <w:tcPr>
            <w:tcW w:w="2430" w:type="dxa"/>
            <w:tcBorders>
              <w:top w:val="single" w:sz="4" w:space="0" w:color="000000"/>
              <w:left w:val="single" w:sz="4" w:space="0" w:color="000000"/>
              <w:bottom w:val="single" w:sz="4" w:space="0" w:color="000000"/>
              <w:right w:val="single" w:sz="4" w:space="0" w:color="000000"/>
            </w:tcBorders>
            <w:vAlign w:val="center"/>
          </w:tcPr>
          <w:p w14:paraId="5647A868" w14:textId="1F9296A1"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In surrender charge period, or in policy years 1-3 for contracts without surrender charges</w:t>
            </w:r>
          </w:p>
        </w:tc>
        <w:tc>
          <w:tcPr>
            <w:tcW w:w="2340" w:type="dxa"/>
            <w:tcBorders>
              <w:top w:val="single" w:sz="4" w:space="0" w:color="000000"/>
              <w:left w:val="single" w:sz="4" w:space="0" w:color="000000"/>
              <w:bottom w:val="single" w:sz="4" w:space="0" w:color="000000"/>
              <w:right w:val="single" w:sz="4" w:space="0" w:color="000000"/>
            </w:tcBorders>
            <w:vAlign w:val="center"/>
          </w:tcPr>
          <w:p w14:paraId="1614796C" w14:textId="55A9575C"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First year after the surrender charge period</w:t>
            </w:r>
          </w:p>
        </w:tc>
        <w:tc>
          <w:tcPr>
            <w:tcW w:w="1819" w:type="dxa"/>
            <w:tcBorders>
              <w:top w:val="single" w:sz="4" w:space="0" w:color="000000"/>
              <w:left w:val="single" w:sz="4" w:space="0" w:color="000000"/>
              <w:bottom w:val="single" w:sz="4" w:space="0" w:color="000000"/>
              <w:right w:val="single" w:sz="4" w:space="0" w:color="000000"/>
            </w:tcBorders>
            <w:vAlign w:val="center"/>
          </w:tcPr>
          <w:p w14:paraId="2A82DD55" w14:textId="1275F460"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Subsequent years, or in policy years 4 and onwards for contracts without surrender charges</w:t>
            </w:r>
          </w:p>
        </w:tc>
      </w:tr>
      <w:tr w:rsidR="00461C90" w:rsidRPr="0059240B" w14:paraId="3BD350B9" w14:textId="77777777" w:rsidTr="00461C90">
        <w:trPr>
          <w:trHeight w:hRule="exact" w:val="468"/>
        </w:trPr>
        <w:tc>
          <w:tcPr>
            <w:tcW w:w="1170" w:type="dxa"/>
            <w:tcBorders>
              <w:top w:val="single" w:sz="4" w:space="0" w:color="000000"/>
              <w:left w:val="single" w:sz="4" w:space="0" w:color="000000"/>
              <w:bottom w:val="single" w:sz="4" w:space="0" w:color="000000"/>
              <w:right w:val="single" w:sz="4" w:space="0" w:color="000000"/>
            </w:tcBorders>
            <w:vAlign w:val="center"/>
          </w:tcPr>
          <w:p w14:paraId="4CCFBCF5" w14:textId="6F272CEA"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Under 50%</w:t>
            </w:r>
          </w:p>
        </w:tc>
        <w:tc>
          <w:tcPr>
            <w:tcW w:w="2430" w:type="dxa"/>
            <w:tcBorders>
              <w:top w:val="single" w:sz="4" w:space="0" w:color="000000"/>
              <w:left w:val="single" w:sz="4" w:space="0" w:color="000000"/>
              <w:bottom w:val="single" w:sz="4" w:space="0" w:color="000000"/>
              <w:right w:val="single" w:sz="4" w:space="0" w:color="000000"/>
            </w:tcBorders>
            <w:vAlign w:val="center"/>
          </w:tcPr>
          <w:p w14:paraId="5890EA7B" w14:textId="4CF30BF0"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4.0%</w:t>
            </w:r>
          </w:p>
        </w:tc>
        <w:tc>
          <w:tcPr>
            <w:tcW w:w="2340" w:type="dxa"/>
            <w:tcBorders>
              <w:top w:val="single" w:sz="4" w:space="0" w:color="000000"/>
              <w:left w:val="single" w:sz="4" w:space="0" w:color="000000"/>
              <w:bottom w:val="single" w:sz="4" w:space="0" w:color="000000"/>
              <w:right w:val="single" w:sz="4" w:space="0" w:color="000000"/>
            </w:tcBorders>
            <w:vAlign w:val="center"/>
          </w:tcPr>
          <w:p w14:paraId="4A80449A"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25.0%</w:t>
            </w:r>
          </w:p>
        </w:tc>
        <w:tc>
          <w:tcPr>
            <w:tcW w:w="1819" w:type="dxa"/>
            <w:tcBorders>
              <w:top w:val="single" w:sz="4" w:space="0" w:color="000000"/>
              <w:left w:val="single" w:sz="4" w:space="0" w:color="000000"/>
              <w:bottom w:val="single" w:sz="4" w:space="0" w:color="000000"/>
              <w:right w:val="single" w:sz="4" w:space="0" w:color="000000"/>
            </w:tcBorders>
            <w:vAlign w:val="center"/>
          </w:tcPr>
          <w:p w14:paraId="35D4B292"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15.0%</w:t>
            </w:r>
          </w:p>
        </w:tc>
      </w:tr>
      <w:tr w:rsidR="00461C90" w:rsidRPr="0059240B" w14:paraId="2585C8AC" w14:textId="77777777" w:rsidTr="00461C90">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292A99F3"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50-75%</w:t>
            </w:r>
          </w:p>
        </w:tc>
        <w:tc>
          <w:tcPr>
            <w:tcW w:w="2430" w:type="dxa"/>
            <w:tcBorders>
              <w:top w:val="single" w:sz="4" w:space="0" w:color="000000"/>
              <w:left w:val="single" w:sz="4" w:space="0" w:color="000000"/>
              <w:bottom w:val="single" w:sz="4" w:space="0" w:color="000000"/>
              <w:right w:val="single" w:sz="4" w:space="0" w:color="000000"/>
            </w:tcBorders>
            <w:vAlign w:val="center"/>
          </w:tcPr>
          <w:p w14:paraId="6260B573"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3.0%</w:t>
            </w:r>
          </w:p>
        </w:tc>
        <w:tc>
          <w:tcPr>
            <w:tcW w:w="2340" w:type="dxa"/>
            <w:tcBorders>
              <w:top w:val="single" w:sz="4" w:space="0" w:color="000000"/>
              <w:left w:val="single" w:sz="4" w:space="0" w:color="000000"/>
              <w:bottom w:val="single" w:sz="4" w:space="0" w:color="000000"/>
              <w:right w:val="single" w:sz="4" w:space="0" w:color="000000"/>
            </w:tcBorders>
            <w:vAlign w:val="center"/>
          </w:tcPr>
          <w:p w14:paraId="331DE321"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18.0%</w:t>
            </w:r>
          </w:p>
        </w:tc>
        <w:tc>
          <w:tcPr>
            <w:tcW w:w="1819" w:type="dxa"/>
            <w:tcBorders>
              <w:top w:val="single" w:sz="4" w:space="0" w:color="000000"/>
              <w:left w:val="single" w:sz="4" w:space="0" w:color="000000"/>
              <w:bottom w:val="single" w:sz="4" w:space="0" w:color="000000"/>
              <w:right w:val="single" w:sz="4" w:space="0" w:color="000000"/>
            </w:tcBorders>
            <w:vAlign w:val="center"/>
          </w:tcPr>
          <w:p w14:paraId="1C9F477A"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w:t>
            </w:r>
          </w:p>
        </w:tc>
      </w:tr>
      <w:tr w:rsidR="00461C90" w:rsidRPr="0059240B" w14:paraId="646BF607" w14:textId="77777777" w:rsidTr="00461C90">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22B69650"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75-100%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51B152A7"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1ABCB779"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12.0%</w:t>
            </w:r>
          </w:p>
        </w:tc>
        <w:tc>
          <w:tcPr>
            <w:tcW w:w="1819" w:type="dxa"/>
            <w:tcBorders>
              <w:top w:val="single" w:sz="4" w:space="0" w:color="000000"/>
              <w:left w:val="single" w:sz="4" w:space="0" w:color="000000"/>
              <w:bottom w:val="single" w:sz="4" w:space="0" w:color="000000"/>
              <w:right w:val="single" w:sz="4" w:space="0" w:color="000000"/>
            </w:tcBorders>
            <w:vAlign w:val="center"/>
          </w:tcPr>
          <w:p w14:paraId="54D75886"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7.0%</w:t>
            </w:r>
          </w:p>
        </w:tc>
      </w:tr>
      <w:tr w:rsidR="00461C90" w:rsidRPr="0059240B" w14:paraId="6A8EBB05" w14:textId="77777777" w:rsidTr="00461C90">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18E75BAB"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100-125%</w:t>
            </w:r>
          </w:p>
        </w:tc>
        <w:tc>
          <w:tcPr>
            <w:tcW w:w="2430" w:type="dxa"/>
            <w:tcBorders>
              <w:top w:val="single" w:sz="4" w:space="0" w:color="000000"/>
              <w:left w:val="single" w:sz="4" w:space="0" w:color="000000"/>
              <w:bottom w:val="single" w:sz="4" w:space="0" w:color="000000"/>
              <w:right w:val="single" w:sz="4" w:space="0" w:color="000000"/>
            </w:tcBorders>
            <w:vAlign w:val="center"/>
          </w:tcPr>
          <w:p w14:paraId="7EB47E2B"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6D5929A9"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8.0%</w:t>
            </w:r>
          </w:p>
        </w:tc>
        <w:tc>
          <w:tcPr>
            <w:tcW w:w="1819" w:type="dxa"/>
            <w:tcBorders>
              <w:top w:val="single" w:sz="4" w:space="0" w:color="000000"/>
              <w:left w:val="single" w:sz="4" w:space="0" w:color="000000"/>
              <w:bottom w:val="single" w:sz="4" w:space="0" w:color="000000"/>
              <w:right w:val="single" w:sz="4" w:space="0" w:color="000000"/>
            </w:tcBorders>
            <w:vAlign w:val="center"/>
          </w:tcPr>
          <w:p w14:paraId="10A023EB"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4.5%</w:t>
            </w:r>
          </w:p>
        </w:tc>
      </w:tr>
      <w:tr w:rsidR="00461C90" w:rsidRPr="0059240B" w14:paraId="2374487D" w14:textId="77777777" w:rsidTr="00461C90">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07A0D085"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125-150%</w:t>
            </w:r>
          </w:p>
        </w:tc>
        <w:tc>
          <w:tcPr>
            <w:tcW w:w="2430" w:type="dxa"/>
            <w:tcBorders>
              <w:top w:val="single" w:sz="4" w:space="0" w:color="000000"/>
              <w:left w:val="single" w:sz="4" w:space="0" w:color="000000"/>
              <w:bottom w:val="single" w:sz="4" w:space="0" w:color="000000"/>
              <w:right w:val="single" w:sz="4" w:space="0" w:color="000000"/>
            </w:tcBorders>
            <w:vAlign w:val="center"/>
          </w:tcPr>
          <w:p w14:paraId="3F6C30F8"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349F7758"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6.0%</w:t>
            </w:r>
          </w:p>
        </w:tc>
        <w:tc>
          <w:tcPr>
            <w:tcW w:w="1819" w:type="dxa"/>
            <w:tcBorders>
              <w:top w:val="single" w:sz="4" w:space="0" w:color="000000"/>
              <w:left w:val="single" w:sz="4" w:space="0" w:color="000000"/>
              <w:bottom w:val="single" w:sz="4" w:space="0" w:color="000000"/>
              <w:right w:val="single" w:sz="4" w:space="0" w:color="000000"/>
            </w:tcBorders>
            <w:vAlign w:val="center"/>
          </w:tcPr>
          <w:p w14:paraId="64B233A6"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3.0%</w:t>
            </w:r>
          </w:p>
        </w:tc>
      </w:tr>
      <w:tr w:rsidR="00461C90" w:rsidRPr="0059240B" w14:paraId="5E1422FB" w14:textId="77777777" w:rsidTr="00461C90">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0B0D1D33" w14:textId="493C2DFD"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150-175%</w:t>
            </w:r>
          </w:p>
        </w:tc>
        <w:tc>
          <w:tcPr>
            <w:tcW w:w="2430" w:type="dxa"/>
            <w:tcBorders>
              <w:top w:val="single" w:sz="4" w:space="0" w:color="000000"/>
              <w:left w:val="single" w:sz="4" w:space="0" w:color="000000"/>
              <w:bottom w:val="single" w:sz="4" w:space="0" w:color="000000"/>
              <w:right w:val="single" w:sz="4" w:space="0" w:color="000000"/>
            </w:tcBorders>
            <w:vAlign w:val="center"/>
          </w:tcPr>
          <w:p w14:paraId="1125D312" w14:textId="24BD24EB"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731F0D16"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5.0%</w:t>
            </w:r>
          </w:p>
        </w:tc>
        <w:tc>
          <w:tcPr>
            <w:tcW w:w="1819" w:type="dxa"/>
            <w:tcBorders>
              <w:top w:val="single" w:sz="4" w:space="0" w:color="000000"/>
              <w:left w:val="single" w:sz="4" w:space="0" w:color="000000"/>
              <w:bottom w:val="single" w:sz="4" w:space="0" w:color="000000"/>
              <w:right w:val="single" w:sz="4" w:space="0" w:color="000000"/>
            </w:tcBorders>
            <w:vAlign w:val="center"/>
          </w:tcPr>
          <w:p w14:paraId="09460400"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2.5%</w:t>
            </w:r>
          </w:p>
        </w:tc>
      </w:tr>
      <w:tr w:rsidR="00461C90" w:rsidRPr="0059240B" w14:paraId="1D62F9E5" w14:textId="77777777" w:rsidTr="00461C90">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1251CC3A"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175-200%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71484D1"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1938252A"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4.5%</w:t>
            </w:r>
          </w:p>
        </w:tc>
        <w:tc>
          <w:tcPr>
            <w:tcW w:w="1819" w:type="dxa"/>
            <w:tcBorders>
              <w:top w:val="single" w:sz="4" w:space="0" w:color="000000"/>
              <w:left w:val="single" w:sz="4" w:space="0" w:color="000000"/>
              <w:bottom w:val="single" w:sz="4" w:space="0" w:color="000000"/>
              <w:right w:val="single" w:sz="4" w:space="0" w:color="000000"/>
            </w:tcBorders>
            <w:vAlign w:val="center"/>
          </w:tcPr>
          <w:p w14:paraId="19F66A91"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2.0%</w:t>
            </w:r>
          </w:p>
        </w:tc>
      </w:tr>
      <w:tr w:rsidR="00461C90" w:rsidRPr="0059240B" w14:paraId="49B51056" w14:textId="77777777" w:rsidTr="00461C90">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63AAAC47"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Over 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25A01ECC"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0ACA4D62"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hAnsi="Times New Roman"/>
                <w:sz w:val="20"/>
                <w:szCs w:val="20"/>
              </w:rPr>
              <w:t>4.0%</w:t>
            </w:r>
          </w:p>
        </w:tc>
        <w:tc>
          <w:tcPr>
            <w:tcW w:w="1819" w:type="dxa"/>
            <w:tcBorders>
              <w:top w:val="single" w:sz="4" w:space="0" w:color="000000"/>
              <w:left w:val="single" w:sz="4" w:space="0" w:color="000000"/>
              <w:bottom w:val="single" w:sz="4" w:space="0" w:color="000000"/>
              <w:right w:val="single" w:sz="4" w:space="0" w:color="000000"/>
            </w:tcBorders>
            <w:vAlign w:val="center"/>
          </w:tcPr>
          <w:p w14:paraId="0E0750D7" w14:textId="77777777" w:rsidR="00461C90" w:rsidRPr="0059240B" w:rsidRDefault="00461C90" w:rsidP="00461C90">
            <w:pPr>
              <w:keepNext/>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2.0%</w:t>
            </w:r>
          </w:p>
        </w:tc>
      </w:tr>
    </w:tbl>
    <w:p w14:paraId="424090FA" w14:textId="77777777" w:rsidR="003129FE" w:rsidRPr="0059240B" w:rsidRDefault="003129FE" w:rsidP="00CC2E32">
      <w:pPr>
        <w:spacing w:after="0" w:line="240" w:lineRule="auto"/>
        <w:rPr>
          <w:rFonts w:ascii="Times New Roman" w:hAnsi="Times New Roman"/>
          <w:sz w:val="20"/>
          <w:szCs w:val="20"/>
        </w:rPr>
      </w:pPr>
    </w:p>
    <w:p w14:paraId="4206A993" w14:textId="073E1554" w:rsidR="003129FE" w:rsidRPr="0059240B" w:rsidRDefault="003129FE" w:rsidP="00CC2E32">
      <w:pPr>
        <w:spacing w:after="0" w:line="240" w:lineRule="auto"/>
        <w:rPr>
          <w:rFonts w:ascii="Times New Roman" w:hAnsi="Times New Roman"/>
          <w:sz w:val="20"/>
          <w:szCs w:val="20"/>
        </w:rPr>
      </w:pPr>
    </w:p>
    <w:p w14:paraId="14A455AE" w14:textId="77777777" w:rsidR="003129FE" w:rsidRPr="0059240B" w:rsidRDefault="003129FE" w:rsidP="004E4618">
      <w:pPr>
        <w:spacing w:after="0" w:line="240" w:lineRule="auto"/>
        <w:ind w:left="2160"/>
        <w:rPr>
          <w:rFonts w:ascii="Times New Roman" w:hAnsi="Times New Roman"/>
        </w:rPr>
      </w:pPr>
      <w:r w:rsidRPr="0059240B">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p>
    <w:p w14:paraId="7F77AF8D" w14:textId="77777777" w:rsidR="003129FE" w:rsidRPr="0059240B" w:rsidRDefault="003129FE" w:rsidP="004E4618">
      <w:pPr>
        <w:spacing w:after="0" w:line="240" w:lineRule="auto"/>
        <w:ind w:left="2160"/>
        <w:rPr>
          <w:rFonts w:ascii="Times New Roman" w:hAnsi="Times New Roman"/>
        </w:rPr>
      </w:pPr>
    </w:p>
    <w:p w14:paraId="2D96AF08" w14:textId="77777777" w:rsidR="003129FE" w:rsidRPr="0059240B" w:rsidRDefault="003129FE" w:rsidP="004E4618">
      <w:pPr>
        <w:spacing w:after="0" w:line="240" w:lineRule="auto"/>
        <w:ind w:left="2160"/>
        <w:rPr>
          <w:rFonts w:ascii="Times New Roman" w:hAnsi="Times New Roman"/>
        </w:rPr>
      </w:pPr>
      <w:r w:rsidRPr="0059240B">
        <w:rPr>
          <w:rFonts w:ascii="Times New Roman" w:hAnsi="Times New Roman"/>
        </w:rPr>
        <w:t xml:space="preserve">For GMAB contracts, the full surrender rate of the remaining contract shall be modeled in accordance with that prescribed for any remaining benefits in the contract, except that for a contract with no other living benefits, the projected full surrender rate shall be 50% in the contract year immediately following the maturity of the guaranteed benefit. </w:t>
      </w:r>
    </w:p>
    <w:p w14:paraId="08C594A9" w14:textId="77777777" w:rsidR="003129FE" w:rsidRPr="0059240B" w:rsidRDefault="003129FE" w:rsidP="004E4618">
      <w:pPr>
        <w:spacing w:after="0" w:line="240" w:lineRule="auto"/>
        <w:ind w:left="2160"/>
        <w:rPr>
          <w:rFonts w:ascii="Times New Roman" w:hAnsi="Times New Roman"/>
        </w:rPr>
      </w:pPr>
    </w:p>
    <w:p w14:paraId="1EE4C733" w14:textId="238B706E" w:rsidR="003129FE" w:rsidRPr="0059240B" w:rsidRDefault="006C08C5" w:rsidP="004E4618">
      <w:pPr>
        <w:spacing w:after="0" w:line="240" w:lineRule="auto"/>
        <w:ind w:left="2160"/>
        <w:rPr>
          <w:rFonts w:ascii="Times New Roman" w:hAnsi="Times New Roman"/>
        </w:rPr>
      </w:pPr>
      <w:r w:rsidRPr="0059240B">
        <w:rPr>
          <w:rFonts w:ascii="Times New Roman" w:hAnsi="Times New Roman"/>
        </w:rPr>
        <w:t>F</w:t>
      </w:r>
      <w:r w:rsidR="003129FE" w:rsidRPr="0059240B">
        <w:rPr>
          <w:rFonts w:ascii="Times New Roman" w:hAnsi="Times New Roman"/>
        </w:rPr>
        <w:t>or GMWB or hybrid GMIB contracts</w:t>
      </w:r>
      <w:r w:rsidRPr="0059240B">
        <w:rPr>
          <w:rFonts w:ascii="Times New Roman" w:hAnsi="Times New Roman"/>
        </w:rPr>
        <w:t>, for all contract years in which a withdrawal is projected</w:t>
      </w:r>
      <w:r w:rsidR="003129FE" w:rsidRPr="0059240B">
        <w:rPr>
          <w:rFonts w:ascii="Times New Roman" w:hAnsi="Times New Roman"/>
        </w:rPr>
        <w:t>, the full surrender rate obtained from the Standard Table for Full Surrender shall be multiplied by 60%.</w:t>
      </w:r>
    </w:p>
    <w:p w14:paraId="49BAC505" w14:textId="77777777" w:rsidR="003129FE" w:rsidRPr="0059240B" w:rsidRDefault="003129FE" w:rsidP="004E4618">
      <w:pPr>
        <w:spacing w:after="0" w:line="240" w:lineRule="auto"/>
        <w:ind w:left="2160"/>
        <w:rPr>
          <w:rFonts w:ascii="Times New Roman" w:hAnsi="Times New Roman"/>
        </w:rPr>
      </w:pPr>
    </w:p>
    <w:p w14:paraId="1D253453" w14:textId="77777777" w:rsidR="003129FE" w:rsidRPr="0059240B" w:rsidRDefault="003129FE" w:rsidP="004E4618">
      <w:pPr>
        <w:spacing w:after="0" w:line="240" w:lineRule="auto"/>
        <w:ind w:left="2160"/>
        <w:rPr>
          <w:rFonts w:ascii="Times New Roman" w:hAnsi="Times New Roman"/>
        </w:rPr>
      </w:pPr>
      <w:r w:rsidRPr="0059240B">
        <w:rPr>
          <w:rFonts w:ascii="Times New Roman" w:hAnsi="Times New Roman"/>
        </w:rPr>
        <w:t xml:space="preserve">For contracts with no minimum guaranteed benefits, ITM is 0% and the row in the table for ITM &lt; 50% would apply. </w:t>
      </w:r>
    </w:p>
    <w:p w14:paraId="37551005" w14:textId="77777777" w:rsidR="003129FE" w:rsidRPr="0059240B" w:rsidRDefault="003129FE" w:rsidP="004E4618">
      <w:pPr>
        <w:spacing w:after="0" w:line="240" w:lineRule="auto"/>
        <w:ind w:left="2160"/>
        <w:rPr>
          <w:rFonts w:ascii="Times New Roman" w:hAnsi="Times New Roman"/>
        </w:rPr>
      </w:pPr>
    </w:p>
    <w:p w14:paraId="55546EAD" w14:textId="77777777" w:rsidR="003129FE" w:rsidRPr="0059240B" w:rsidRDefault="003129FE" w:rsidP="004E4618">
      <w:pPr>
        <w:spacing w:after="0" w:line="240" w:lineRule="auto"/>
        <w:ind w:left="2160"/>
        <w:rPr>
          <w:rFonts w:ascii="Times New Roman" w:hAnsi="Times New Roman"/>
        </w:rPr>
      </w:pPr>
      <w:r w:rsidRPr="0059240B">
        <w:rPr>
          <w:rFonts w:ascii="Times New Roman" w:hAnsi="Times New Roman"/>
        </w:rPr>
        <w:t>Notwithstanding all of the instructions above, the full surrender rate for a GMWB contract shall be 0% if the account value is zero.</w:t>
      </w:r>
    </w:p>
    <w:p w14:paraId="2326BB0A" w14:textId="77777777" w:rsidR="003129FE" w:rsidRPr="0059240B" w:rsidRDefault="003129FE" w:rsidP="004E4618">
      <w:pPr>
        <w:spacing w:after="0" w:line="240" w:lineRule="auto"/>
        <w:ind w:left="2160"/>
        <w:rPr>
          <w:rFonts w:ascii="Times New Roman" w:hAnsi="Times New Roman"/>
        </w:rPr>
      </w:pPr>
    </w:p>
    <w:p w14:paraId="58AB5EAE" w14:textId="2A74338A" w:rsidR="001E587A" w:rsidRPr="0059240B" w:rsidRDefault="003129FE" w:rsidP="004E4618">
      <w:pPr>
        <w:spacing w:after="0" w:line="240" w:lineRule="auto"/>
        <w:ind w:left="2160"/>
        <w:rPr>
          <w:rFonts w:ascii="Times New Roman" w:eastAsia="Times New Roman" w:hAnsi="Times New Roman"/>
          <w:bCs/>
          <w:color w:val="000000"/>
        </w:rPr>
      </w:pPr>
      <w:r w:rsidRPr="0059240B">
        <w:rPr>
          <w:rFonts w:ascii="Times New Roman" w:eastAsia="Times New Roman" w:hAnsi="Times New Roman"/>
          <w:bCs/>
          <w:color w:val="000000"/>
        </w:rPr>
        <w:t xml:space="preserve">e. For simple 403(b) VA contracts, the </w:t>
      </w:r>
      <w:r w:rsidR="001E587A" w:rsidRPr="0059240B">
        <w:rPr>
          <w:rFonts w:ascii="Times New Roman" w:eastAsia="Times New Roman" w:hAnsi="Times New Roman"/>
          <w:bCs/>
          <w:color w:val="000000"/>
        </w:rPr>
        <w:t>full surrender rate projected shall be the lower of</w:t>
      </w:r>
      <w:r w:rsidR="001E587A" w:rsidRPr="0059240B" w:rsidDel="001E587A">
        <w:rPr>
          <w:rFonts w:ascii="Times New Roman" w:eastAsia="Times New Roman" w:hAnsi="Times New Roman"/>
          <w:bCs/>
          <w:color w:val="000000"/>
        </w:rPr>
        <w:t xml:space="preserve"> </w:t>
      </w:r>
      <w:r w:rsidR="001E587A" w:rsidRPr="0059240B">
        <w:rPr>
          <w:rFonts w:ascii="Times New Roman" w:eastAsia="Times New Roman" w:hAnsi="Times New Roman"/>
          <w:bCs/>
          <w:color w:val="000000"/>
        </w:rPr>
        <w:t>:</w:t>
      </w:r>
    </w:p>
    <w:p w14:paraId="46EA0502" w14:textId="31A31E2F" w:rsidR="001E587A" w:rsidRPr="0059240B" w:rsidRDefault="001E587A" w:rsidP="001E587A">
      <w:pPr>
        <w:spacing w:after="0" w:line="240" w:lineRule="auto"/>
        <w:ind w:left="2880"/>
        <w:rPr>
          <w:rFonts w:ascii="Times New Roman" w:eastAsia="Times New Roman" w:hAnsi="Times New Roman"/>
          <w:bCs/>
          <w:color w:val="000000"/>
        </w:rPr>
      </w:pPr>
      <w:r w:rsidRPr="0059240B">
        <w:rPr>
          <w:rFonts w:ascii="Times New Roman" w:eastAsia="Times New Roman" w:hAnsi="Times New Roman"/>
          <w:bCs/>
          <w:color w:val="000000"/>
        </w:rPr>
        <w:t>i. the full surrender rate obtained from the Standard Table for Full Surrender based on the ITM of the contract’s GMDB, and</w:t>
      </w:r>
    </w:p>
    <w:p w14:paraId="4C1B876B" w14:textId="1299DA7E" w:rsidR="001E587A" w:rsidRPr="0059240B" w:rsidRDefault="001E587A" w:rsidP="004E4618">
      <w:pPr>
        <w:spacing w:after="0" w:line="240" w:lineRule="auto"/>
        <w:ind w:left="2160"/>
        <w:rPr>
          <w:rFonts w:ascii="Times New Roman" w:eastAsia="Times New Roman" w:hAnsi="Times New Roman"/>
          <w:bCs/>
          <w:color w:val="000000"/>
        </w:rPr>
      </w:pPr>
      <w:r w:rsidRPr="0059240B">
        <w:rPr>
          <w:rFonts w:ascii="Times New Roman" w:eastAsia="Times New Roman" w:hAnsi="Times New Roman"/>
          <w:bCs/>
          <w:color w:val="000000"/>
        </w:rPr>
        <w:tab/>
        <w:t xml:space="preserve">ii. the applicable full surrender rate from the following table: </w:t>
      </w:r>
    </w:p>
    <w:p w14:paraId="1FE24075" w14:textId="3764FEC2" w:rsidR="003129FE" w:rsidRPr="0059240B" w:rsidRDefault="003129FE" w:rsidP="004E4618">
      <w:pPr>
        <w:spacing w:after="0" w:line="240" w:lineRule="auto"/>
        <w:ind w:left="2160"/>
        <w:rPr>
          <w:rFonts w:ascii="Times New Roman" w:eastAsia="Times New Roman" w:hAnsi="Times New Roman"/>
          <w:bCs/>
          <w:color w:val="000000"/>
        </w:rPr>
      </w:pPr>
    </w:p>
    <w:p w14:paraId="6420A255" w14:textId="627314E7" w:rsidR="00C310C5" w:rsidRPr="0059240B" w:rsidRDefault="00C310C5" w:rsidP="004E4618">
      <w:pPr>
        <w:spacing w:after="0" w:line="240" w:lineRule="auto"/>
        <w:ind w:left="2160"/>
        <w:rPr>
          <w:rFonts w:ascii="Times New Roman" w:eastAsia="Times New Roman" w:hAnsi="Times New Roman"/>
          <w:bCs/>
          <w:color w:val="000000"/>
        </w:rPr>
      </w:pPr>
    </w:p>
    <w:p w14:paraId="73F5DB60" w14:textId="388E274D" w:rsidR="00C310C5" w:rsidRPr="0059240B" w:rsidRDefault="00C310C5" w:rsidP="00C310C5">
      <w:pPr>
        <w:spacing w:after="0" w:line="240" w:lineRule="auto"/>
        <w:ind w:left="2160"/>
        <w:jc w:val="center"/>
        <w:rPr>
          <w:rFonts w:ascii="Times New Roman" w:eastAsia="Times New Roman" w:hAnsi="Times New Roman"/>
          <w:bCs/>
          <w:color w:val="000000"/>
        </w:rPr>
      </w:pPr>
      <w:r w:rsidRPr="0059240B">
        <w:rPr>
          <w:rFonts w:ascii="Times New Roman" w:eastAsia="Times New Roman" w:hAnsi="Times New Roman"/>
          <w:bCs/>
          <w:color w:val="000000"/>
        </w:rPr>
        <w:t>Table 6.</w:t>
      </w:r>
      <w:r w:rsidR="00977693" w:rsidRPr="0059240B">
        <w:rPr>
          <w:rFonts w:ascii="Times New Roman" w:eastAsia="Times New Roman" w:hAnsi="Times New Roman"/>
          <w:bCs/>
          <w:color w:val="000000"/>
        </w:rPr>
        <w:t>4</w:t>
      </w:r>
      <w:r w:rsidRPr="0059240B">
        <w:rPr>
          <w:rFonts w:ascii="Times New Roman" w:eastAsia="Times New Roman" w:hAnsi="Times New Roman"/>
          <w:bCs/>
          <w:color w:val="000000"/>
        </w:rPr>
        <w:t>: Full Surrender Incidence Rates, 403(b)</w:t>
      </w:r>
    </w:p>
    <w:tbl>
      <w:tblPr>
        <w:tblStyle w:val="TableGrid"/>
        <w:tblW w:w="0" w:type="auto"/>
        <w:tblInd w:w="2160" w:type="dxa"/>
        <w:tblLook w:val="04A0" w:firstRow="1" w:lastRow="0" w:firstColumn="1" w:lastColumn="0" w:noHBand="0" w:noVBand="1"/>
      </w:tblPr>
      <w:tblGrid>
        <w:gridCol w:w="1954"/>
        <w:gridCol w:w="1866"/>
        <w:gridCol w:w="1772"/>
        <w:gridCol w:w="1598"/>
      </w:tblGrid>
      <w:tr w:rsidR="003129FE" w:rsidRPr="0059240B" w14:paraId="450CA844" w14:textId="77777777" w:rsidTr="004E4618">
        <w:tc>
          <w:tcPr>
            <w:tcW w:w="1954" w:type="dxa"/>
          </w:tcPr>
          <w:p w14:paraId="45CF8977" w14:textId="77777777" w:rsidR="003129FE" w:rsidRPr="0059240B" w:rsidRDefault="003129FE" w:rsidP="004E4618">
            <w:pPr>
              <w:rPr>
                <w:rFonts w:ascii="Times New Roman" w:eastAsia="Times New Roman" w:hAnsi="Times New Roman"/>
                <w:sz w:val="22"/>
                <w:szCs w:val="24"/>
              </w:rPr>
            </w:pPr>
          </w:p>
        </w:tc>
        <w:tc>
          <w:tcPr>
            <w:tcW w:w="5236" w:type="dxa"/>
            <w:gridSpan w:val="3"/>
          </w:tcPr>
          <w:p w14:paraId="45D98694" w14:textId="77777777" w:rsidR="003129FE" w:rsidRPr="0059240B" w:rsidRDefault="003129FE" w:rsidP="004E4618">
            <w:pPr>
              <w:rPr>
                <w:rFonts w:ascii="Times New Roman" w:eastAsia="Times New Roman" w:hAnsi="Times New Roman"/>
                <w:sz w:val="22"/>
                <w:szCs w:val="24"/>
              </w:rPr>
            </w:pPr>
            <w:r w:rsidRPr="0059240B">
              <w:rPr>
                <w:rFonts w:ascii="Times New Roman" w:eastAsia="Times New Roman" w:hAnsi="Times New Roman"/>
                <w:sz w:val="22"/>
                <w:szCs w:val="24"/>
              </w:rPr>
              <w:t>Full Surrender for simple 403(b) VA contracts</w:t>
            </w:r>
          </w:p>
        </w:tc>
      </w:tr>
      <w:tr w:rsidR="003129FE" w:rsidRPr="0059240B" w14:paraId="12BD6428" w14:textId="77777777" w:rsidTr="004E4618">
        <w:tc>
          <w:tcPr>
            <w:tcW w:w="1954" w:type="dxa"/>
            <w:vAlign w:val="bottom"/>
          </w:tcPr>
          <w:p w14:paraId="11A02401"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Attained Age</w:t>
            </w:r>
          </w:p>
        </w:tc>
        <w:tc>
          <w:tcPr>
            <w:tcW w:w="1866" w:type="dxa"/>
            <w:vAlign w:val="bottom"/>
          </w:tcPr>
          <w:p w14:paraId="4791F209"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In surrender charge period</w:t>
            </w:r>
          </w:p>
        </w:tc>
        <w:tc>
          <w:tcPr>
            <w:tcW w:w="1772" w:type="dxa"/>
            <w:vAlign w:val="bottom"/>
          </w:tcPr>
          <w:p w14:paraId="44FF1B89"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Cs w:val="24"/>
              </w:rPr>
              <w:t>First policy year after the surrender charge period</w:t>
            </w:r>
          </w:p>
        </w:tc>
        <w:tc>
          <w:tcPr>
            <w:tcW w:w="1598" w:type="dxa"/>
            <w:vAlign w:val="bottom"/>
          </w:tcPr>
          <w:p w14:paraId="09D02F90"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Cs w:val="24"/>
              </w:rPr>
              <w:t>Subsequent policy years</w:t>
            </w:r>
            <w:r w:rsidRPr="0059240B">
              <w:rPr>
                <w:rFonts w:ascii="Times New Roman" w:eastAsia="Times New Roman" w:hAnsi="Times New Roman"/>
                <w:sz w:val="22"/>
                <w:szCs w:val="24"/>
              </w:rPr>
              <w:t xml:space="preserve">, or contracts without a </w:t>
            </w:r>
            <w:r w:rsidRPr="0059240B">
              <w:rPr>
                <w:rFonts w:ascii="Times New Roman" w:eastAsia="Times New Roman" w:hAnsi="Times New Roman"/>
                <w:sz w:val="22"/>
                <w:szCs w:val="24"/>
              </w:rPr>
              <w:lastRenderedPageBreak/>
              <w:t>surrender charge period</w:t>
            </w:r>
          </w:p>
        </w:tc>
      </w:tr>
      <w:tr w:rsidR="003129FE" w:rsidRPr="0059240B" w14:paraId="1E900552" w14:textId="77777777" w:rsidTr="004E4618">
        <w:tc>
          <w:tcPr>
            <w:tcW w:w="1954" w:type="dxa"/>
            <w:vAlign w:val="bottom"/>
          </w:tcPr>
          <w:p w14:paraId="06B818E5"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lastRenderedPageBreak/>
              <w:t>59 and under</w:t>
            </w:r>
          </w:p>
        </w:tc>
        <w:tc>
          <w:tcPr>
            <w:tcW w:w="1866" w:type="dxa"/>
            <w:vAlign w:val="bottom"/>
          </w:tcPr>
          <w:p w14:paraId="5F9FABCF"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2.0%</w:t>
            </w:r>
          </w:p>
        </w:tc>
        <w:tc>
          <w:tcPr>
            <w:tcW w:w="1772" w:type="dxa"/>
            <w:vAlign w:val="bottom"/>
          </w:tcPr>
          <w:p w14:paraId="0B8EFAE5"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4.0%</w:t>
            </w:r>
          </w:p>
        </w:tc>
        <w:tc>
          <w:tcPr>
            <w:tcW w:w="1598" w:type="dxa"/>
            <w:vAlign w:val="bottom"/>
          </w:tcPr>
          <w:p w14:paraId="073BDCBD"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4.0%</w:t>
            </w:r>
          </w:p>
        </w:tc>
      </w:tr>
      <w:tr w:rsidR="003129FE" w:rsidRPr="0059240B" w14:paraId="3B7DBB75" w14:textId="77777777" w:rsidTr="004E4618">
        <w:tc>
          <w:tcPr>
            <w:tcW w:w="1954" w:type="dxa"/>
            <w:vAlign w:val="bottom"/>
          </w:tcPr>
          <w:p w14:paraId="1628D948"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60 – 69</w:t>
            </w:r>
          </w:p>
        </w:tc>
        <w:tc>
          <w:tcPr>
            <w:tcW w:w="1866" w:type="dxa"/>
            <w:vAlign w:val="bottom"/>
          </w:tcPr>
          <w:p w14:paraId="3824655D"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4.0%</w:t>
            </w:r>
          </w:p>
        </w:tc>
        <w:tc>
          <w:tcPr>
            <w:tcW w:w="1772" w:type="dxa"/>
            <w:vAlign w:val="bottom"/>
          </w:tcPr>
          <w:p w14:paraId="67518231"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11.0%</w:t>
            </w:r>
          </w:p>
        </w:tc>
        <w:tc>
          <w:tcPr>
            <w:tcW w:w="1598" w:type="dxa"/>
            <w:vAlign w:val="bottom"/>
          </w:tcPr>
          <w:p w14:paraId="3CFC70BC"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8.0%</w:t>
            </w:r>
          </w:p>
        </w:tc>
      </w:tr>
      <w:tr w:rsidR="003129FE" w:rsidRPr="0059240B" w14:paraId="05A5D5C5" w14:textId="77777777" w:rsidTr="004E4618">
        <w:tc>
          <w:tcPr>
            <w:tcW w:w="1954" w:type="dxa"/>
            <w:vAlign w:val="bottom"/>
          </w:tcPr>
          <w:p w14:paraId="618D4534"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70 – 74</w:t>
            </w:r>
          </w:p>
        </w:tc>
        <w:tc>
          <w:tcPr>
            <w:tcW w:w="1866" w:type="dxa"/>
            <w:vAlign w:val="bottom"/>
          </w:tcPr>
          <w:p w14:paraId="03A4C398"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4.0%</w:t>
            </w:r>
          </w:p>
        </w:tc>
        <w:tc>
          <w:tcPr>
            <w:tcW w:w="1772" w:type="dxa"/>
            <w:vAlign w:val="bottom"/>
          </w:tcPr>
          <w:p w14:paraId="62F060AE"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11.0%</w:t>
            </w:r>
          </w:p>
        </w:tc>
        <w:tc>
          <w:tcPr>
            <w:tcW w:w="1598" w:type="dxa"/>
            <w:vAlign w:val="bottom"/>
          </w:tcPr>
          <w:p w14:paraId="3AB9D179"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8.0%</w:t>
            </w:r>
          </w:p>
        </w:tc>
      </w:tr>
      <w:tr w:rsidR="003129FE" w:rsidRPr="0059240B" w14:paraId="201BE7A1" w14:textId="77777777" w:rsidTr="004E4618">
        <w:tc>
          <w:tcPr>
            <w:tcW w:w="1954" w:type="dxa"/>
            <w:vAlign w:val="bottom"/>
          </w:tcPr>
          <w:p w14:paraId="46068CA1"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75 and over</w:t>
            </w:r>
          </w:p>
        </w:tc>
        <w:tc>
          <w:tcPr>
            <w:tcW w:w="1866" w:type="dxa"/>
            <w:vAlign w:val="bottom"/>
          </w:tcPr>
          <w:p w14:paraId="044DE0D2"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2.0%</w:t>
            </w:r>
          </w:p>
        </w:tc>
        <w:tc>
          <w:tcPr>
            <w:tcW w:w="1772" w:type="dxa"/>
            <w:vAlign w:val="bottom"/>
          </w:tcPr>
          <w:p w14:paraId="3AB69415"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5.0%</w:t>
            </w:r>
          </w:p>
        </w:tc>
        <w:tc>
          <w:tcPr>
            <w:tcW w:w="1598" w:type="dxa"/>
            <w:vAlign w:val="bottom"/>
          </w:tcPr>
          <w:p w14:paraId="095BC186" w14:textId="77777777" w:rsidR="003129FE" w:rsidRPr="0059240B" w:rsidRDefault="003129FE" w:rsidP="004E4618">
            <w:pPr>
              <w:jc w:val="center"/>
              <w:rPr>
                <w:rFonts w:ascii="Times New Roman" w:eastAsia="Times New Roman" w:hAnsi="Times New Roman"/>
                <w:sz w:val="22"/>
                <w:szCs w:val="24"/>
              </w:rPr>
            </w:pPr>
            <w:r w:rsidRPr="0059240B">
              <w:rPr>
                <w:rFonts w:ascii="Times New Roman" w:eastAsia="Times New Roman" w:hAnsi="Times New Roman"/>
                <w:sz w:val="22"/>
                <w:szCs w:val="24"/>
              </w:rPr>
              <w:t>5.0%</w:t>
            </w:r>
          </w:p>
        </w:tc>
      </w:tr>
    </w:tbl>
    <w:p w14:paraId="6991DCEF" w14:textId="77777777" w:rsidR="003129FE" w:rsidRPr="0059240B" w:rsidRDefault="003129FE" w:rsidP="004E4618">
      <w:pPr>
        <w:spacing w:after="0" w:line="240" w:lineRule="auto"/>
        <w:ind w:left="2160"/>
        <w:rPr>
          <w:rFonts w:ascii="Times New Roman" w:hAnsi="Times New Roman"/>
        </w:rPr>
      </w:pPr>
    </w:p>
    <w:p w14:paraId="1BD5A7AD" w14:textId="77777777" w:rsidR="003129FE" w:rsidRPr="0059240B" w:rsidRDefault="003129FE" w:rsidP="004E4618">
      <w:pPr>
        <w:spacing w:after="0" w:line="240" w:lineRule="auto"/>
        <w:ind w:left="2160"/>
        <w:rPr>
          <w:rFonts w:ascii="Times New Roman" w:hAnsi="Times New Roman"/>
        </w:rPr>
      </w:pPr>
    </w:p>
    <w:p w14:paraId="6E8E4C12" w14:textId="77777777" w:rsidR="003129FE" w:rsidRPr="0059240B" w:rsidRDefault="003129FE" w:rsidP="004E4618">
      <w:pPr>
        <w:spacing w:after="0" w:line="240" w:lineRule="auto"/>
        <w:ind w:left="2160" w:hanging="720"/>
        <w:rPr>
          <w:rFonts w:ascii="Times New Roman" w:hAnsi="Times New Roman"/>
        </w:rPr>
      </w:pPr>
      <w:r w:rsidRPr="0059240B">
        <w:rPr>
          <w:rFonts w:ascii="Times New Roman" w:eastAsia="Times New Roman" w:hAnsi="Times New Roman"/>
        </w:rPr>
        <w:t>7.</w:t>
      </w:r>
      <w:r w:rsidRPr="0059240B">
        <w:rPr>
          <w:rFonts w:ascii="Times New Roman" w:eastAsia="Times New Roman" w:hAnsi="Times New Roman"/>
        </w:rPr>
        <w:tab/>
      </w:r>
      <w:r w:rsidRPr="0059240B">
        <w:rPr>
          <w:rFonts w:ascii="Times New Roman" w:hAnsi="Times New Roman"/>
        </w:rPr>
        <w:t xml:space="preserve">Annuitizations </w:t>
      </w:r>
    </w:p>
    <w:p w14:paraId="64093F87" w14:textId="77777777" w:rsidR="003129FE" w:rsidRPr="0059240B" w:rsidRDefault="003129FE" w:rsidP="004E4618">
      <w:pPr>
        <w:spacing w:after="0" w:line="240" w:lineRule="auto"/>
        <w:ind w:left="2160" w:hanging="720"/>
        <w:rPr>
          <w:rFonts w:ascii="Times New Roman" w:hAnsi="Times New Roman"/>
        </w:rPr>
      </w:pPr>
    </w:p>
    <w:p w14:paraId="51D71AF3" w14:textId="77777777" w:rsidR="003129FE" w:rsidRPr="0059240B" w:rsidRDefault="003129FE" w:rsidP="00E87EFC">
      <w:pPr>
        <w:pStyle w:val="ListParagraph"/>
        <w:numPr>
          <w:ilvl w:val="0"/>
          <w:numId w:val="41"/>
        </w:numPr>
        <w:spacing w:after="0" w:line="240" w:lineRule="auto"/>
        <w:rPr>
          <w:rFonts w:ascii="Times New Roman" w:hAnsi="Times New Roman"/>
        </w:rPr>
      </w:pPr>
      <w:r w:rsidRPr="0059240B">
        <w:rPr>
          <w:rFonts w:ascii="Times New Roman" w:hAnsi="Times New Roman"/>
        </w:rPr>
        <w:t>The annuitization rate for contracts that do not have a GMIB shall be 0% at all projection intervals. For GMIB contracts, the annuitization rate shall be synonymous with the benefit exercise rate. As such, the annuitization rate is 0% in projection intervals during which the GMIB is not exercisable.</w:t>
      </w:r>
    </w:p>
    <w:p w14:paraId="4431AE40" w14:textId="77777777" w:rsidR="003129FE" w:rsidRPr="0059240B" w:rsidRDefault="003129FE" w:rsidP="004E4618">
      <w:pPr>
        <w:spacing w:after="0" w:line="240" w:lineRule="auto"/>
        <w:ind w:left="2160" w:hanging="720"/>
        <w:rPr>
          <w:rFonts w:ascii="Times New Roman" w:hAnsi="Times New Roman"/>
        </w:rPr>
      </w:pPr>
    </w:p>
    <w:p w14:paraId="40F69C26" w14:textId="4086921C" w:rsidR="003129FE" w:rsidRPr="0059240B" w:rsidRDefault="003129FE" w:rsidP="00E87EFC">
      <w:pPr>
        <w:pStyle w:val="ListParagraph"/>
        <w:numPr>
          <w:ilvl w:val="0"/>
          <w:numId w:val="41"/>
        </w:numPr>
        <w:spacing w:after="0" w:line="240" w:lineRule="auto"/>
        <w:rPr>
          <w:rFonts w:ascii="Times New Roman" w:hAnsi="Times New Roman"/>
        </w:rPr>
      </w:pPr>
      <w:r w:rsidRPr="0059240B">
        <w:rPr>
          <w:rFonts w:ascii="Times New Roman" w:hAnsi="Times New Roman"/>
        </w:rPr>
        <w: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t>
      </w:r>
      <w:r w:rsidR="00BD1523" w:rsidRPr="0059240B">
        <w:rPr>
          <w:rFonts w:ascii="Times New Roman" w:hAnsi="Times New Roman"/>
        </w:rPr>
        <w:t>6.5</w:t>
      </w:r>
      <w:r w:rsidRPr="0059240B">
        <w:rPr>
          <w:rFonts w:ascii="Times New Roman" w:hAnsi="Times New Roman"/>
        </w:rPr>
        <w:t>. The Standard Table for Annuitization prescribes different annuitization rates depending on whether the contract is in the first contract year in which the GMIB is exercisable or in a subsequent contract year.</w:t>
      </w:r>
    </w:p>
    <w:p w14:paraId="4FD141E9" w14:textId="77777777" w:rsidR="003129FE" w:rsidRPr="0059240B" w:rsidRDefault="003129FE" w:rsidP="004E4618">
      <w:pPr>
        <w:spacing w:after="0" w:line="240" w:lineRule="auto"/>
        <w:ind w:left="2160"/>
        <w:rPr>
          <w:rFonts w:ascii="Times New Roman" w:hAnsi="Times New Roman"/>
        </w:rPr>
      </w:pPr>
    </w:p>
    <w:p w14:paraId="29DA54E6" w14:textId="77777777" w:rsidR="003129FE" w:rsidRPr="0059240B" w:rsidRDefault="003129FE" w:rsidP="004E4618">
      <w:pPr>
        <w:spacing w:after="0" w:line="240" w:lineRule="auto"/>
        <w:ind w:left="2160"/>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83"/>
        <w:gridCol w:w="3183"/>
        <w:gridCol w:w="3183"/>
      </w:tblGrid>
      <w:tr w:rsidR="003129FE" w:rsidRPr="0059240B" w14:paraId="3592259A" w14:textId="77777777" w:rsidTr="009B2657">
        <w:trPr>
          <w:trHeight w:val="164"/>
        </w:trPr>
        <w:tc>
          <w:tcPr>
            <w:tcW w:w="9549" w:type="dxa"/>
            <w:gridSpan w:val="3"/>
            <w:tcBorders>
              <w:bottom w:val="single" w:sz="4" w:space="0" w:color="auto"/>
            </w:tcBorders>
          </w:tcPr>
          <w:p w14:paraId="37F7B972" w14:textId="68347160" w:rsidR="003129FE" w:rsidRPr="0059240B" w:rsidRDefault="003129FE" w:rsidP="004E4618">
            <w:pPr>
              <w:autoSpaceDE w:val="0"/>
              <w:autoSpaceDN w:val="0"/>
              <w:adjustRightInd w:val="0"/>
              <w:spacing w:after="0" w:line="240" w:lineRule="auto"/>
              <w:rPr>
                <w:rFonts w:ascii="Times New Roman" w:eastAsiaTheme="minorHAnsi" w:hAnsi="Times New Roman"/>
                <w:color w:val="0000FF"/>
              </w:rPr>
            </w:pPr>
            <w:r w:rsidRPr="0059240B">
              <w:rPr>
                <w:rFonts w:ascii="Times New Roman" w:eastAsiaTheme="minorHAnsi" w:hAnsi="Times New Roman"/>
                <w:color w:val="0000FF"/>
              </w:rPr>
              <w:t xml:space="preserve">Table </w:t>
            </w:r>
            <w:r w:rsidR="00BD1523" w:rsidRPr="0059240B">
              <w:rPr>
                <w:rFonts w:ascii="Times New Roman" w:eastAsiaTheme="minorHAnsi" w:hAnsi="Times New Roman"/>
                <w:color w:val="0000FF"/>
              </w:rPr>
              <w:t>6.5:</w:t>
            </w:r>
            <w:r w:rsidRPr="0059240B">
              <w:rPr>
                <w:rFonts w:ascii="Times New Roman" w:eastAsiaTheme="minorHAnsi" w:hAnsi="Times New Roman"/>
                <w:color w:val="0000FF"/>
              </w:rPr>
              <w:t xml:space="preserve"> Standard Table for Traditional GMIB Annuitization</w:t>
            </w:r>
          </w:p>
        </w:tc>
      </w:tr>
      <w:tr w:rsidR="003129FE" w:rsidRPr="0059240B" w14:paraId="61293368"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42B960F5"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Annuitization GAPV </w:t>
            </w:r>
          </w:p>
        </w:tc>
        <w:tc>
          <w:tcPr>
            <w:tcW w:w="3183" w:type="dxa"/>
            <w:tcBorders>
              <w:top w:val="single" w:sz="4" w:space="0" w:color="auto"/>
              <w:left w:val="single" w:sz="4" w:space="0" w:color="auto"/>
              <w:bottom w:val="single" w:sz="4" w:space="0" w:color="auto"/>
              <w:right w:val="single" w:sz="4" w:space="0" w:color="auto"/>
            </w:tcBorders>
          </w:tcPr>
          <w:p w14:paraId="5CC972F1"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First year of exercisability</w:t>
            </w:r>
          </w:p>
        </w:tc>
        <w:tc>
          <w:tcPr>
            <w:tcW w:w="3183" w:type="dxa"/>
            <w:tcBorders>
              <w:top w:val="single" w:sz="4" w:space="0" w:color="auto"/>
              <w:left w:val="single" w:sz="4" w:space="0" w:color="auto"/>
              <w:bottom w:val="single" w:sz="4" w:space="0" w:color="auto"/>
              <w:right w:val="single" w:sz="4" w:space="0" w:color="auto"/>
            </w:tcBorders>
          </w:tcPr>
          <w:p w14:paraId="374B5C85"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Subsequent years</w:t>
            </w:r>
          </w:p>
        </w:tc>
      </w:tr>
      <w:tr w:rsidR="003129FE" w:rsidRPr="0059240B" w14:paraId="1DAB91D1"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04A5F580"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0-100% of Account Value </w:t>
            </w:r>
          </w:p>
        </w:tc>
        <w:tc>
          <w:tcPr>
            <w:tcW w:w="3183" w:type="dxa"/>
            <w:tcBorders>
              <w:top w:val="single" w:sz="4" w:space="0" w:color="auto"/>
              <w:left w:val="single" w:sz="4" w:space="0" w:color="auto"/>
              <w:bottom w:val="single" w:sz="4" w:space="0" w:color="auto"/>
              <w:right w:val="single" w:sz="4" w:space="0" w:color="auto"/>
            </w:tcBorders>
          </w:tcPr>
          <w:p w14:paraId="6DC7E55F"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0.0%</w:t>
            </w:r>
          </w:p>
        </w:tc>
        <w:tc>
          <w:tcPr>
            <w:tcW w:w="3183" w:type="dxa"/>
            <w:tcBorders>
              <w:top w:val="single" w:sz="4" w:space="0" w:color="auto"/>
              <w:left w:val="single" w:sz="4" w:space="0" w:color="auto"/>
              <w:bottom w:val="single" w:sz="4" w:space="0" w:color="auto"/>
              <w:right w:val="single" w:sz="4" w:space="0" w:color="auto"/>
            </w:tcBorders>
          </w:tcPr>
          <w:p w14:paraId="28B75E5B"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0.0%</w:t>
            </w:r>
          </w:p>
        </w:tc>
      </w:tr>
      <w:tr w:rsidR="003129FE" w:rsidRPr="0059240B" w14:paraId="607F0657"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5A05C0B6"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100-125% of Account Value </w:t>
            </w:r>
          </w:p>
        </w:tc>
        <w:tc>
          <w:tcPr>
            <w:tcW w:w="3183" w:type="dxa"/>
            <w:tcBorders>
              <w:top w:val="single" w:sz="4" w:space="0" w:color="auto"/>
              <w:left w:val="single" w:sz="4" w:space="0" w:color="auto"/>
              <w:bottom w:val="single" w:sz="4" w:space="0" w:color="auto"/>
              <w:right w:val="single" w:sz="4" w:space="0" w:color="auto"/>
            </w:tcBorders>
          </w:tcPr>
          <w:p w14:paraId="29BEF264"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5.0%</w:t>
            </w:r>
          </w:p>
        </w:tc>
        <w:tc>
          <w:tcPr>
            <w:tcW w:w="3183" w:type="dxa"/>
            <w:tcBorders>
              <w:top w:val="single" w:sz="4" w:space="0" w:color="auto"/>
              <w:left w:val="single" w:sz="4" w:space="0" w:color="auto"/>
              <w:bottom w:val="single" w:sz="4" w:space="0" w:color="auto"/>
              <w:right w:val="single" w:sz="4" w:space="0" w:color="auto"/>
            </w:tcBorders>
          </w:tcPr>
          <w:p w14:paraId="1D65ABDD"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2.5%</w:t>
            </w:r>
          </w:p>
        </w:tc>
      </w:tr>
      <w:tr w:rsidR="003129FE" w:rsidRPr="0059240B" w14:paraId="31A79D2B" w14:textId="77777777" w:rsidTr="009B2657">
        <w:trPr>
          <w:trHeight w:val="165"/>
        </w:trPr>
        <w:tc>
          <w:tcPr>
            <w:tcW w:w="3183" w:type="dxa"/>
            <w:tcBorders>
              <w:top w:val="single" w:sz="4" w:space="0" w:color="auto"/>
              <w:left w:val="single" w:sz="4" w:space="0" w:color="auto"/>
              <w:bottom w:val="single" w:sz="4" w:space="0" w:color="auto"/>
              <w:right w:val="single" w:sz="4" w:space="0" w:color="auto"/>
            </w:tcBorders>
          </w:tcPr>
          <w:p w14:paraId="04231545"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125-150% of Account Value </w:t>
            </w:r>
          </w:p>
        </w:tc>
        <w:tc>
          <w:tcPr>
            <w:tcW w:w="3183" w:type="dxa"/>
            <w:tcBorders>
              <w:top w:val="single" w:sz="4" w:space="0" w:color="auto"/>
              <w:left w:val="single" w:sz="4" w:space="0" w:color="auto"/>
              <w:bottom w:val="single" w:sz="4" w:space="0" w:color="auto"/>
              <w:right w:val="single" w:sz="4" w:space="0" w:color="auto"/>
            </w:tcBorders>
          </w:tcPr>
          <w:p w14:paraId="50F3AD7D"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10.0%</w:t>
            </w:r>
          </w:p>
        </w:tc>
        <w:tc>
          <w:tcPr>
            <w:tcW w:w="3183" w:type="dxa"/>
            <w:tcBorders>
              <w:top w:val="single" w:sz="4" w:space="0" w:color="auto"/>
              <w:left w:val="single" w:sz="4" w:space="0" w:color="auto"/>
              <w:bottom w:val="single" w:sz="4" w:space="0" w:color="auto"/>
              <w:right w:val="single" w:sz="4" w:space="0" w:color="auto"/>
            </w:tcBorders>
          </w:tcPr>
          <w:p w14:paraId="2F5381CF"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5.0%</w:t>
            </w:r>
          </w:p>
        </w:tc>
      </w:tr>
      <w:tr w:rsidR="003129FE" w:rsidRPr="0059240B" w14:paraId="72523CD5"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06455297"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150-175% of Account Value </w:t>
            </w:r>
          </w:p>
        </w:tc>
        <w:tc>
          <w:tcPr>
            <w:tcW w:w="3183" w:type="dxa"/>
            <w:tcBorders>
              <w:top w:val="single" w:sz="4" w:space="0" w:color="auto"/>
              <w:left w:val="single" w:sz="4" w:space="0" w:color="auto"/>
              <w:bottom w:val="single" w:sz="4" w:space="0" w:color="auto"/>
              <w:right w:val="single" w:sz="4" w:space="0" w:color="auto"/>
            </w:tcBorders>
          </w:tcPr>
          <w:p w14:paraId="2C7E27C6"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15.0%</w:t>
            </w:r>
          </w:p>
        </w:tc>
        <w:tc>
          <w:tcPr>
            <w:tcW w:w="3183" w:type="dxa"/>
            <w:tcBorders>
              <w:top w:val="single" w:sz="4" w:space="0" w:color="auto"/>
              <w:left w:val="single" w:sz="4" w:space="0" w:color="auto"/>
              <w:bottom w:val="single" w:sz="4" w:space="0" w:color="auto"/>
              <w:right w:val="single" w:sz="4" w:space="0" w:color="auto"/>
            </w:tcBorders>
          </w:tcPr>
          <w:p w14:paraId="7EC8A441"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7.5%</w:t>
            </w:r>
          </w:p>
        </w:tc>
      </w:tr>
      <w:tr w:rsidR="003129FE" w:rsidRPr="0059240B" w14:paraId="00BB5C1B"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57F4B4E2"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175-200% of Account Value </w:t>
            </w:r>
          </w:p>
        </w:tc>
        <w:tc>
          <w:tcPr>
            <w:tcW w:w="3183" w:type="dxa"/>
            <w:tcBorders>
              <w:top w:val="single" w:sz="4" w:space="0" w:color="auto"/>
              <w:left w:val="single" w:sz="4" w:space="0" w:color="auto"/>
              <w:bottom w:val="single" w:sz="4" w:space="0" w:color="auto"/>
              <w:right w:val="single" w:sz="4" w:space="0" w:color="auto"/>
            </w:tcBorders>
          </w:tcPr>
          <w:p w14:paraId="61CC2588"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20.0%</w:t>
            </w:r>
          </w:p>
        </w:tc>
        <w:tc>
          <w:tcPr>
            <w:tcW w:w="3183" w:type="dxa"/>
            <w:tcBorders>
              <w:top w:val="single" w:sz="4" w:space="0" w:color="auto"/>
              <w:left w:val="single" w:sz="4" w:space="0" w:color="auto"/>
              <w:bottom w:val="single" w:sz="4" w:space="0" w:color="auto"/>
              <w:right w:val="single" w:sz="4" w:space="0" w:color="auto"/>
            </w:tcBorders>
          </w:tcPr>
          <w:p w14:paraId="6FC8ADAB"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10.0%</w:t>
            </w:r>
          </w:p>
        </w:tc>
      </w:tr>
      <w:tr w:rsidR="003129FE" w:rsidRPr="0059240B" w14:paraId="2F103304" w14:textId="77777777" w:rsidTr="009B2657">
        <w:trPr>
          <w:trHeight w:val="164"/>
        </w:trPr>
        <w:tc>
          <w:tcPr>
            <w:tcW w:w="3183" w:type="dxa"/>
            <w:tcBorders>
              <w:top w:val="single" w:sz="4" w:space="0" w:color="auto"/>
              <w:left w:val="single" w:sz="4" w:space="0" w:color="auto"/>
              <w:bottom w:val="single" w:sz="4" w:space="0" w:color="auto"/>
              <w:right w:val="single" w:sz="4" w:space="0" w:color="auto"/>
            </w:tcBorders>
          </w:tcPr>
          <w:p w14:paraId="2EC92956"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200%+ of Account Value </w:t>
            </w:r>
          </w:p>
        </w:tc>
        <w:tc>
          <w:tcPr>
            <w:tcW w:w="3183" w:type="dxa"/>
            <w:tcBorders>
              <w:top w:val="single" w:sz="4" w:space="0" w:color="auto"/>
              <w:left w:val="single" w:sz="4" w:space="0" w:color="auto"/>
              <w:bottom w:val="single" w:sz="4" w:space="0" w:color="auto"/>
              <w:right w:val="single" w:sz="4" w:space="0" w:color="auto"/>
            </w:tcBorders>
          </w:tcPr>
          <w:p w14:paraId="7643A48D"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25.0%</w:t>
            </w:r>
          </w:p>
        </w:tc>
        <w:tc>
          <w:tcPr>
            <w:tcW w:w="3183" w:type="dxa"/>
            <w:tcBorders>
              <w:top w:val="single" w:sz="4" w:space="0" w:color="auto"/>
              <w:left w:val="single" w:sz="4" w:space="0" w:color="auto"/>
              <w:bottom w:val="single" w:sz="4" w:space="0" w:color="auto"/>
              <w:right w:val="single" w:sz="4" w:space="0" w:color="auto"/>
            </w:tcBorders>
          </w:tcPr>
          <w:p w14:paraId="1C0CB889" w14:textId="77777777" w:rsidR="003129FE" w:rsidRPr="0059240B" w:rsidRDefault="003129FE" w:rsidP="004E4618">
            <w:pPr>
              <w:autoSpaceDE w:val="0"/>
              <w:autoSpaceDN w:val="0"/>
              <w:adjustRightInd w:val="0"/>
              <w:spacing w:after="0" w:line="240" w:lineRule="auto"/>
              <w:jc w:val="center"/>
              <w:rPr>
                <w:rFonts w:ascii="Times New Roman" w:eastAsiaTheme="minorHAnsi" w:hAnsi="Times New Roman"/>
                <w:color w:val="000000"/>
              </w:rPr>
            </w:pPr>
            <w:r w:rsidRPr="0059240B">
              <w:rPr>
                <w:rFonts w:ascii="Times New Roman" w:eastAsiaTheme="minorHAnsi" w:hAnsi="Times New Roman"/>
                <w:color w:val="0000FF"/>
              </w:rPr>
              <w:t>12.5%</w:t>
            </w:r>
          </w:p>
        </w:tc>
      </w:tr>
    </w:tbl>
    <w:p w14:paraId="1B81F2BA" w14:textId="77777777" w:rsidR="003129FE" w:rsidRPr="0059240B" w:rsidRDefault="003129FE" w:rsidP="004E4618">
      <w:pPr>
        <w:spacing w:after="0" w:line="240" w:lineRule="auto"/>
        <w:ind w:left="2160"/>
        <w:rPr>
          <w:rFonts w:ascii="Times New Roman" w:hAnsi="Times New Roman"/>
        </w:rPr>
      </w:pPr>
    </w:p>
    <w:p w14:paraId="63498DFA" w14:textId="77777777" w:rsidR="003129FE" w:rsidRPr="0059240B" w:rsidRDefault="003129FE" w:rsidP="00E87EFC">
      <w:pPr>
        <w:pStyle w:val="ListParagraph"/>
        <w:numPr>
          <w:ilvl w:val="0"/>
          <w:numId w:val="41"/>
        </w:numPr>
        <w:spacing w:after="0" w:line="240" w:lineRule="auto"/>
        <w:rPr>
          <w:rFonts w:ascii="Times New Roman" w:hAnsi="Times New Roman"/>
        </w:rPr>
      </w:pPr>
      <w:r w:rsidRPr="0059240B">
        <w:rPr>
          <w:rFonts w:ascii="Times New Roman" w:hAnsi="Times New Roman"/>
        </w:rPr>
        <w:t>The annual annuitization rate for a hybrid GMIB contract that is immediately exercisable in the projection interval and that has an Account Value greater than zero shall be determined via the following steps:</w:t>
      </w:r>
    </w:p>
    <w:p w14:paraId="17D8A9CE" w14:textId="77777777" w:rsidR="003129FE" w:rsidRPr="0059240B" w:rsidRDefault="003129FE" w:rsidP="004E4618">
      <w:pPr>
        <w:spacing w:after="0" w:line="240" w:lineRule="auto"/>
        <w:ind w:left="2160"/>
        <w:rPr>
          <w:rFonts w:ascii="Times New Roman" w:hAnsi="Times New Roman"/>
        </w:rPr>
      </w:pPr>
    </w:p>
    <w:p w14:paraId="6DF71295" w14:textId="77777777" w:rsidR="003129FE" w:rsidRPr="0059240B" w:rsidRDefault="003129FE" w:rsidP="00E87EFC">
      <w:pPr>
        <w:pStyle w:val="ListParagraph"/>
        <w:numPr>
          <w:ilvl w:val="0"/>
          <w:numId w:val="41"/>
        </w:numPr>
        <w:spacing w:after="0" w:line="240" w:lineRule="auto"/>
        <w:rPr>
          <w:rFonts w:ascii="Times New Roman" w:hAnsi="Times New Roman"/>
        </w:rPr>
      </w:pPr>
      <w:r w:rsidRPr="0059240B">
        <w:rPr>
          <w:rFonts w:ascii="Times New Roman" w:hAnsi="Times New Roman"/>
        </w:rPr>
        <w:t>If the GMIB’s Withdrawal GAPV exceeds its Annuitization GAPV, the GMIB’s Annuitization GAPV exceeds the contract’s account value, and the contract is not in the last three years in which the GMIB is exercisable, then the annual annuitization rate shall be 0.25%.</w:t>
      </w:r>
    </w:p>
    <w:p w14:paraId="3A90DAA9" w14:textId="77777777" w:rsidR="003129FE" w:rsidRPr="0059240B" w:rsidRDefault="003129FE" w:rsidP="004E4618">
      <w:pPr>
        <w:spacing w:after="0" w:line="240" w:lineRule="auto"/>
        <w:ind w:left="2160"/>
        <w:rPr>
          <w:rFonts w:ascii="Times New Roman" w:hAnsi="Times New Roman"/>
        </w:rPr>
      </w:pPr>
    </w:p>
    <w:p w14:paraId="62215B09" w14:textId="3EEE4E96" w:rsidR="003129FE" w:rsidRPr="0059240B" w:rsidRDefault="003129FE" w:rsidP="00E87EFC">
      <w:pPr>
        <w:pStyle w:val="ListParagraph"/>
        <w:numPr>
          <w:ilvl w:val="0"/>
          <w:numId w:val="41"/>
        </w:numPr>
        <w:spacing w:after="0" w:line="240" w:lineRule="auto"/>
        <w:rPr>
          <w:rFonts w:ascii="Times New Roman" w:hAnsi="Times New Roman"/>
        </w:rPr>
      </w:pPr>
      <w:r w:rsidRPr="0059240B">
        <w:rPr>
          <w:rFonts w:ascii="Times New Roman" w:hAnsi="Times New Roman"/>
        </w:rPr>
        <w:t xml:space="preserve">If the GMIB’s Annuitization GAPV exceeds or equals its Withdrawal GAPV, and the contract is not in the last three years in which the GMIB is exercisable, then the annual annuitization rate shall follow the Standard Table A for Hybrid GMIB Annuitization as detailed below in Table </w:t>
      </w:r>
      <w:r w:rsidR="00BD1523" w:rsidRPr="0059240B">
        <w:rPr>
          <w:rFonts w:ascii="Times New Roman" w:hAnsi="Times New Roman"/>
        </w:rPr>
        <w:t>6.6</w:t>
      </w:r>
      <w:r w:rsidRPr="0059240B">
        <w:rPr>
          <w:rFonts w:ascii="Times New Roman" w:hAnsi="Times New Roman"/>
        </w:rPr>
        <w:t>.</w:t>
      </w:r>
    </w:p>
    <w:p w14:paraId="34AE59B6" w14:textId="77777777" w:rsidR="003129FE" w:rsidRPr="0059240B" w:rsidRDefault="003129FE" w:rsidP="004E4618">
      <w:pPr>
        <w:spacing w:after="0" w:line="240" w:lineRule="auto"/>
        <w:ind w:left="2160"/>
        <w:rPr>
          <w:rFonts w:ascii="Times New Roman" w:hAnsi="Times New Roman"/>
        </w:rPr>
      </w:pPr>
    </w:p>
    <w:p w14:paraId="1FB4751C" w14:textId="57499ABF" w:rsidR="003129FE" w:rsidRPr="0059240B" w:rsidRDefault="003129FE" w:rsidP="00E87EFC">
      <w:pPr>
        <w:pStyle w:val="ListParagraph"/>
        <w:numPr>
          <w:ilvl w:val="0"/>
          <w:numId w:val="41"/>
        </w:numPr>
        <w:spacing w:after="0" w:line="240" w:lineRule="auto"/>
        <w:rPr>
          <w:rFonts w:ascii="Times New Roman" w:hAnsi="Times New Roman"/>
        </w:rPr>
      </w:pPr>
      <w:r w:rsidRPr="0059240B">
        <w:rPr>
          <w:rFonts w:ascii="Times New Roman" w:hAnsi="Times New Roman"/>
        </w:rPr>
        <w:t xml:space="preserve">If the contract is in the last three years in which the GMIB is exercisable, then the annual annuitization rate shall follow the Standard Table B for Hybrid GMIB Annuitization as detailed below in Table </w:t>
      </w:r>
      <w:r w:rsidR="00BD1523" w:rsidRPr="0059240B">
        <w:rPr>
          <w:rFonts w:ascii="Times New Roman" w:hAnsi="Times New Roman"/>
        </w:rPr>
        <w:t>6..7</w:t>
      </w:r>
      <w:r w:rsidRPr="0059240B">
        <w:rPr>
          <w:rFonts w:ascii="Times New Roman" w:hAnsi="Times New Roman"/>
        </w:rPr>
        <w:t>.</w:t>
      </w:r>
    </w:p>
    <w:p w14:paraId="68FD6C6A" w14:textId="77777777" w:rsidR="003129FE" w:rsidRPr="0059240B" w:rsidRDefault="003129FE" w:rsidP="004E4618">
      <w:pPr>
        <w:spacing w:after="0" w:line="240" w:lineRule="auto"/>
        <w:ind w:left="2160"/>
        <w:rPr>
          <w:rFonts w:ascii="Times New Roman" w:hAnsi="Times New Roman"/>
        </w:rPr>
      </w:pPr>
    </w:p>
    <w:p w14:paraId="5D351604" w14:textId="77777777" w:rsidR="003129FE" w:rsidRPr="0059240B" w:rsidRDefault="003129FE" w:rsidP="00E87EFC">
      <w:pPr>
        <w:pStyle w:val="ListParagraph"/>
        <w:numPr>
          <w:ilvl w:val="0"/>
          <w:numId w:val="41"/>
        </w:numPr>
        <w:spacing w:after="0" w:line="240" w:lineRule="auto"/>
        <w:rPr>
          <w:rFonts w:ascii="Times New Roman" w:hAnsi="Times New Roman"/>
        </w:rPr>
      </w:pPr>
      <w:r w:rsidRPr="0059240B">
        <w:rPr>
          <w:rFonts w:ascii="Times New Roman" w:hAnsi="Times New Roman"/>
        </w:rPr>
        <w:t>Otherwise, the annual annuitization rate shall be zero.</w:t>
      </w:r>
    </w:p>
    <w:p w14:paraId="589A8CCA" w14:textId="77777777" w:rsidR="003129FE" w:rsidRPr="0059240B" w:rsidRDefault="003129FE" w:rsidP="004E4618">
      <w:pPr>
        <w:spacing w:after="0" w:line="240" w:lineRule="auto"/>
        <w:ind w:left="2160"/>
        <w:rPr>
          <w:rFonts w:ascii="Times New Roman" w:hAnsi="Times New Roman"/>
        </w:rPr>
      </w:pPr>
    </w:p>
    <w:p w14:paraId="3C180C75" w14:textId="77777777" w:rsidR="003129FE" w:rsidRPr="0059240B" w:rsidRDefault="003129FE" w:rsidP="004E4618">
      <w:pPr>
        <w:spacing w:after="0" w:line="240" w:lineRule="auto"/>
        <w:ind w:left="2160"/>
        <w:rPr>
          <w:rFonts w:ascii="Times New Roman" w:hAnsi="Times New Roman"/>
        </w:rPr>
      </w:pPr>
    </w:p>
    <w:p w14:paraId="01A2ADA3" w14:textId="77777777" w:rsidR="003129FE" w:rsidRPr="0059240B" w:rsidRDefault="003129FE" w:rsidP="004E4618">
      <w:pPr>
        <w:spacing w:after="0" w:line="240" w:lineRule="auto"/>
        <w:ind w:left="2160"/>
        <w:rPr>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59240B" w14:paraId="7174BA59" w14:textId="77777777" w:rsidTr="009B2657">
        <w:trPr>
          <w:trHeight w:val="164"/>
        </w:trPr>
        <w:tc>
          <w:tcPr>
            <w:tcW w:w="5838" w:type="dxa"/>
            <w:gridSpan w:val="2"/>
            <w:tcBorders>
              <w:bottom w:val="single" w:sz="4" w:space="0" w:color="auto"/>
            </w:tcBorders>
          </w:tcPr>
          <w:p w14:paraId="58EC047B" w14:textId="66A1015A" w:rsidR="003129FE" w:rsidRPr="0059240B" w:rsidRDefault="003129FE" w:rsidP="004E4618">
            <w:pPr>
              <w:autoSpaceDE w:val="0"/>
              <w:autoSpaceDN w:val="0"/>
              <w:adjustRightInd w:val="0"/>
              <w:spacing w:after="0" w:line="240" w:lineRule="auto"/>
              <w:rPr>
                <w:rFonts w:ascii="Times New Roman" w:eastAsiaTheme="minorHAnsi" w:hAnsi="Times New Roman"/>
                <w:color w:val="0000FF"/>
              </w:rPr>
            </w:pPr>
            <w:r w:rsidRPr="0059240B">
              <w:rPr>
                <w:rFonts w:ascii="Times New Roman" w:eastAsiaTheme="minorHAnsi" w:hAnsi="Times New Roman"/>
                <w:color w:val="0000FF"/>
              </w:rPr>
              <w:t xml:space="preserve">Table </w:t>
            </w:r>
            <w:r w:rsidR="00BD1523" w:rsidRPr="0059240B">
              <w:rPr>
                <w:rFonts w:ascii="Times New Roman" w:eastAsiaTheme="minorHAnsi" w:hAnsi="Times New Roman"/>
                <w:color w:val="0000FF"/>
              </w:rPr>
              <w:t>6.6:</w:t>
            </w:r>
            <w:r w:rsidRPr="0059240B">
              <w:rPr>
                <w:rFonts w:ascii="Times New Roman" w:eastAsiaTheme="minorHAnsi" w:hAnsi="Times New Roman"/>
                <w:color w:val="0000FF"/>
              </w:rPr>
              <w:t xml:space="preserve"> Standard Table A for Hybrid GMIB Annuitization</w:t>
            </w:r>
          </w:p>
        </w:tc>
      </w:tr>
      <w:tr w:rsidR="003129FE" w:rsidRPr="0059240B" w14:paraId="73A58D59" w14:textId="77777777" w:rsidTr="009B2657">
        <w:trPr>
          <w:trHeight w:val="164"/>
        </w:trPr>
        <w:tc>
          <w:tcPr>
            <w:tcW w:w="3240" w:type="dxa"/>
            <w:tcBorders>
              <w:top w:val="single" w:sz="4" w:space="0" w:color="auto"/>
              <w:left w:val="single" w:sz="4" w:space="0" w:color="auto"/>
              <w:bottom w:val="single" w:sz="4" w:space="0" w:color="auto"/>
              <w:right w:val="single" w:sz="4" w:space="0" w:color="auto"/>
            </w:tcBorders>
          </w:tcPr>
          <w:p w14:paraId="261DE191"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Annuitization GAPV </w:t>
            </w:r>
          </w:p>
        </w:tc>
        <w:tc>
          <w:tcPr>
            <w:tcW w:w="2598" w:type="dxa"/>
            <w:tcBorders>
              <w:top w:val="single" w:sz="4" w:space="0" w:color="auto"/>
              <w:left w:val="single" w:sz="4" w:space="0" w:color="auto"/>
              <w:bottom w:val="single" w:sz="4" w:space="0" w:color="auto"/>
              <w:right w:val="single" w:sz="4" w:space="0" w:color="auto"/>
            </w:tcBorders>
          </w:tcPr>
          <w:p w14:paraId="63634D9E"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Annual annuitization rate </w:t>
            </w:r>
          </w:p>
        </w:tc>
      </w:tr>
      <w:tr w:rsidR="003129FE" w:rsidRPr="0059240B" w14:paraId="340D1826"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312C7F34"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0-100% of Account Value </w:t>
            </w:r>
          </w:p>
        </w:tc>
        <w:tc>
          <w:tcPr>
            <w:tcW w:w="2598" w:type="dxa"/>
            <w:tcBorders>
              <w:top w:val="single" w:sz="4" w:space="0" w:color="auto"/>
              <w:left w:val="single" w:sz="4" w:space="0" w:color="auto"/>
              <w:bottom w:val="single" w:sz="4" w:space="0" w:color="auto"/>
              <w:right w:val="single" w:sz="4" w:space="0" w:color="auto"/>
            </w:tcBorders>
          </w:tcPr>
          <w:p w14:paraId="1318A8B6"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0.0% </w:t>
            </w:r>
          </w:p>
        </w:tc>
      </w:tr>
      <w:tr w:rsidR="003129FE" w:rsidRPr="0059240B" w14:paraId="54AF50C0"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75642EF6"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100-125% of Account Value </w:t>
            </w:r>
          </w:p>
        </w:tc>
        <w:tc>
          <w:tcPr>
            <w:tcW w:w="2598" w:type="dxa"/>
            <w:tcBorders>
              <w:top w:val="single" w:sz="4" w:space="0" w:color="auto"/>
              <w:left w:val="single" w:sz="4" w:space="0" w:color="auto"/>
              <w:bottom w:val="single" w:sz="4" w:space="0" w:color="auto"/>
              <w:right w:val="single" w:sz="4" w:space="0" w:color="auto"/>
            </w:tcBorders>
          </w:tcPr>
          <w:p w14:paraId="1F6A864F"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0.5% </w:t>
            </w:r>
          </w:p>
        </w:tc>
      </w:tr>
      <w:tr w:rsidR="003129FE" w:rsidRPr="0059240B" w14:paraId="045A3EFE"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64B9BD99"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125-150% of Account Value </w:t>
            </w:r>
          </w:p>
        </w:tc>
        <w:tc>
          <w:tcPr>
            <w:tcW w:w="2598" w:type="dxa"/>
            <w:tcBorders>
              <w:top w:val="single" w:sz="4" w:space="0" w:color="auto"/>
              <w:left w:val="single" w:sz="4" w:space="0" w:color="auto"/>
              <w:bottom w:val="single" w:sz="4" w:space="0" w:color="auto"/>
              <w:right w:val="single" w:sz="4" w:space="0" w:color="auto"/>
            </w:tcBorders>
          </w:tcPr>
          <w:p w14:paraId="44AB8D58"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1.0% </w:t>
            </w:r>
          </w:p>
        </w:tc>
      </w:tr>
      <w:tr w:rsidR="003129FE" w:rsidRPr="0059240B" w14:paraId="0C8B474E"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152F3778"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150-175% of Account Value </w:t>
            </w:r>
          </w:p>
        </w:tc>
        <w:tc>
          <w:tcPr>
            <w:tcW w:w="2598" w:type="dxa"/>
            <w:tcBorders>
              <w:top w:val="single" w:sz="4" w:space="0" w:color="auto"/>
              <w:left w:val="single" w:sz="4" w:space="0" w:color="auto"/>
              <w:bottom w:val="single" w:sz="4" w:space="0" w:color="auto"/>
              <w:right w:val="single" w:sz="4" w:space="0" w:color="auto"/>
            </w:tcBorders>
          </w:tcPr>
          <w:p w14:paraId="4F6FBBFA"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1.5% </w:t>
            </w:r>
          </w:p>
        </w:tc>
      </w:tr>
      <w:tr w:rsidR="003129FE" w:rsidRPr="0059240B" w14:paraId="13547696"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563B3AE0"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175-200% of Account Value </w:t>
            </w:r>
          </w:p>
        </w:tc>
        <w:tc>
          <w:tcPr>
            <w:tcW w:w="2598" w:type="dxa"/>
            <w:tcBorders>
              <w:top w:val="single" w:sz="4" w:space="0" w:color="auto"/>
              <w:left w:val="single" w:sz="4" w:space="0" w:color="auto"/>
              <w:bottom w:val="single" w:sz="4" w:space="0" w:color="auto"/>
              <w:right w:val="single" w:sz="4" w:space="0" w:color="auto"/>
            </w:tcBorders>
          </w:tcPr>
          <w:p w14:paraId="394E7E6A"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2.0% </w:t>
            </w:r>
          </w:p>
        </w:tc>
      </w:tr>
      <w:tr w:rsidR="003129FE" w:rsidRPr="0059240B" w14:paraId="52371F81" w14:textId="77777777" w:rsidTr="009B2657">
        <w:trPr>
          <w:trHeight w:val="169"/>
        </w:trPr>
        <w:tc>
          <w:tcPr>
            <w:tcW w:w="3240" w:type="dxa"/>
            <w:tcBorders>
              <w:top w:val="single" w:sz="4" w:space="0" w:color="auto"/>
              <w:left w:val="single" w:sz="4" w:space="0" w:color="auto"/>
              <w:bottom w:val="single" w:sz="4" w:space="0" w:color="auto"/>
              <w:right w:val="single" w:sz="4" w:space="0" w:color="auto"/>
            </w:tcBorders>
          </w:tcPr>
          <w:p w14:paraId="2A56164F"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200%+ of Account Value </w:t>
            </w:r>
          </w:p>
        </w:tc>
        <w:tc>
          <w:tcPr>
            <w:tcW w:w="2598" w:type="dxa"/>
            <w:tcBorders>
              <w:top w:val="single" w:sz="4" w:space="0" w:color="auto"/>
              <w:left w:val="single" w:sz="4" w:space="0" w:color="auto"/>
              <w:bottom w:val="single" w:sz="4" w:space="0" w:color="auto"/>
              <w:right w:val="single" w:sz="4" w:space="0" w:color="auto"/>
            </w:tcBorders>
          </w:tcPr>
          <w:p w14:paraId="43A2A8EB"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2.5% </w:t>
            </w:r>
          </w:p>
        </w:tc>
      </w:tr>
    </w:tbl>
    <w:p w14:paraId="27C0736D" w14:textId="77777777" w:rsidR="003129FE" w:rsidRPr="0059240B" w:rsidRDefault="003129FE" w:rsidP="004E4618">
      <w:pPr>
        <w:spacing w:after="0" w:line="240" w:lineRule="auto"/>
        <w:ind w:left="2160"/>
        <w:rPr>
          <w:rFonts w:ascii="Times New Roman" w:hAnsi="Times New Roman"/>
        </w:rPr>
      </w:pPr>
    </w:p>
    <w:p w14:paraId="1D18F517" w14:textId="77777777" w:rsidR="003129FE" w:rsidRPr="0059240B" w:rsidRDefault="003129FE" w:rsidP="00CC2E32">
      <w:pPr>
        <w:spacing w:after="0" w:line="240" w:lineRule="auto"/>
        <w:rPr>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59240B" w14:paraId="68FB48C7" w14:textId="77777777" w:rsidTr="00316A0E">
        <w:trPr>
          <w:trHeight w:val="164"/>
        </w:trPr>
        <w:tc>
          <w:tcPr>
            <w:tcW w:w="5838" w:type="dxa"/>
            <w:gridSpan w:val="2"/>
            <w:tcBorders>
              <w:bottom w:val="single" w:sz="4" w:space="0" w:color="auto"/>
            </w:tcBorders>
          </w:tcPr>
          <w:p w14:paraId="617F3AAF" w14:textId="11719458" w:rsidR="003129FE" w:rsidRPr="0059240B" w:rsidRDefault="003129FE" w:rsidP="004E4618">
            <w:pPr>
              <w:autoSpaceDE w:val="0"/>
              <w:autoSpaceDN w:val="0"/>
              <w:adjustRightInd w:val="0"/>
              <w:spacing w:after="0" w:line="240" w:lineRule="auto"/>
              <w:rPr>
                <w:rFonts w:ascii="Times New Roman" w:eastAsiaTheme="minorHAnsi" w:hAnsi="Times New Roman"/>
                <w:color w:val="0000FF"/>
              </w:rPr>
            </w:pPr>
            <w:r w:rsidRPr="0059240B">
              <w:rPr>
                <w:rFonts w:ascii="Times New Roman" w:eastAsiaTheme="minorHAnsi" w:hAnsi="Times New Roman"/>
                <w:color w:val="0000FF"/>
              </w:rPr>
              <w:t xml:space="preserve">Table </w:t>
            </w:r>
            <w:r w:rsidR="00BD1523" w:rsidRPr="0059240B">
              <w:rPr>
                <w:rFonts w:ascii="Times New Roman" w:eastAsiaTheme="minorHAnsi" w:hAnsi="Times New Roman"/>
                <w:color w:val="0000FF"/>
              </w:rPr>
              <w:t>6.7:</w:t>
            </w:r>
            <w:r w:rsidRPr="0059240B">
              <w:rPr>
                <w:rFonts w:ascii="Times New Roman" w:eastAsiaTheme="minorHAnsi" w:hAnsi="Times New Roman"/>
                <w:color w:val="0000FF"/>
              </w:rPr>
              <w:t xml:space="preserve"> Standard Table B for Hybrid GMIB Annuitization</w:t>
            </w:r>
          </w:p>
        </w:tc>
      </w:tr>
      <w:tr w:rsidR="003129FE" w:rsidRPr="0059240B" w14:paraId="7B61A65F" w14:textId="77777777" w:rsidTr="00316A0E">
        <w:trPr>
          <w:trHeight w:val="164"/>
        </w:trPr>
        <w:tc>
          <w:tcPr>
            <w:tcW w:w="3240" w:type="dxa"/>
            <w:tcBorders>
              <w:top w:val="single" w:sz="4" w:space="0" w:color="auto"/>
              <w:left w:val="single" w:sz="4" w:space="0" w:color="auto"/>
              <w:bottom w:val="single" w:sz="4" w:space="0" w:color="auto"/>
              <w:right w:val="single" w:sz="4" w:space="0" w:color="auto"/>
            </w:tcBorders>
          </w:tcPr>
          <w:p w14:paraId="0B23E824"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Annuitization GAPV </w:t>
            </w:r>
          </w:p>
        </w:tc>
        <w:tc>
          <w:tcPr>
            <w:tcW w:w="2598" w:type="dxa"/>
            <w:tcBorders>
              <w:top w:val="single" w:sz="4" w:space="0" w:color="auto"/>
              <w:left w:val="single" w:sz="4" w:space="0" w:color="auto"/>
              <w:bottom w:val="single" w:sz="4" w:space="0" w:color="auto"/>
              <w:right w:val="single" w:sz="4" w:space="0" w:color="auto"/>
            </w:tcBorders>
          </w:tcPr>
          <w:p w14:paraId="7B8D6B7D"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Annual annuitization rate </w:t>
            </w:r>
          </w:p>
        </w:tc>
      </w:tr>
      <w:tr w:rsidR="003129FE" w:rsidRPr="0059240B" w14:paraId="5116F872"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6C389667"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0-100% of Account Value </w:t>
            </w:r>
          </w:p>
        </w:tc>
        <w:tc>
          <w:tcPr>
            <w:tcW w:w="2598" w:type="dxa"/>
            <w:tcBorders>
              <w:top w:val="single" w:sz="4" w:space="0" w:color="auto"/>
              <w:left w:val="single" w:sz="4" w:space="0" w:color="auto"/>
              <w:bottom w:val="single" w:sz="4" w:space="0" w:color="auto"/>
              <w:right w:val="single" w:sz="4" w:space="0" w:color="auto"/>
            </w:tcBorders>
          </w:tcPr>
          <w:p w14:paraId="51EECC0D"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0.0% </w:t>
            </w:r>
          </w:p>
        </w:tc>
      </w:tr>
      <w:tr w:rsidR="003129FE" w:rsidRPr="0059240B" w14:paraId="7B32B179"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79461290"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100-125% of Account Value </w:t>
            </w:r>
          </w:p>
        </w:tc>
        <w:tc>
          <w:tcPr>
            <w:tcW w:w="2598" w:type="dxa"/>
            <w:tcBorders>
              <w:top w:val="single" w:sz="4" w:space="0" w:color="auto"/>
              <w:left w:val="single" w:sz="4" w:space="0" w:color="auto"/>
              <w:bottom w:val="single" w:sz="4" w:space="0" w:color="auto"/>
              <w:right w:val="single" w:sz="4" w:space="0" w:color="auto"/>
            </w:tcBorders>
          </w:tcPr>
          <w:p w14:paraId="104326C3"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5.0% </w:t>
            </w:r>
          </w:p>
        </w:tc>
      </w:tr>
      <w:tr w:rsidR="003129FE" w:rsidRPr="0059240B" w14:paraId="37502F42"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62CF565B"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125-150% of Account Value </w:t>
            </w:r>
          </w:p>
        </w:tc>
        <w:tc>
          <w:tcPr>
            <w:tcW w:w="2598" w:type="dxa"/>
            <w:tcBorders>
              <w:top w:val="single" w:sz="4" w:space="0" w:color="auto"/>
              <w:left w:val="single" w:sz="4" w:space="0" w:color="auto"/>
              <w:bottom w:val="single" w:sz="4" w:space="0" w:color="auto"/>
              <w:right w:val="single" w:sz="4" w:space="0" w:color="auto"/>
            </w:tcBorders>
          </w:tcPr>
          <w:p w14:paraId="4730D460"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10.0% </w:t>
            </w:r>
          </w:p>
        </w:tc>
      </w:tr>
      <w:tr w:rsidR="003129FE" w:rsidRPr="0059240B" w14:paraId="07AD77EF"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1A31BC4A"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150-175% of Account Value </w:t>
            </w:r>
          </w:p>
        </w:tc>
        <w:tc>
          <w:tcPr>
            <w:tcW w:w="2598" w:type="dxa"/>
            <w:tcBorders>
              <w:top w:val="single" w:sz="4" w:space="0" w:color="auto"/>
              <w:left w:val="single" w:sz="4" w:space="0" w:color="auto"/>
              <w:bottom w:val="single" w:sz="4" w:space="0" w:color="auto"/>
              <w:right w:val="single" w:sz="4" w:space="0" w:color="auto"/>
            </w:tcBorders>
          </w:tcPr>
          <w:p w14:paraId="01111709"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15.0% </w:t>
            </w:r>
          </w:p>
        </w:tc>
      </w:tr>
      <w:tr w:rsidR="003129FE" w:rsidRPr="0059240B" w14:paraId="36276247"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24DEC021"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175-200% of Account Value </w:t>
            </w:r>
          </w:p>
        </w:tc>
        <w:tc>
          <w:tcPr>
            <w:tcW w:w="2598" w:type="dxa"/>
            <w:tcBorders>
              <w:top w:val="single" w:sz="4" w:space="0" w:color="auto"/>
              <w:left w:val="single" w:sz="4" w:space="0" w:color="auto"/>
              <w:bottom w:val="single" w:sz="4" w:space="0" w:color="auto"/>
              <w:right w:val="single" w:sz="4" w:space="0" w:color="auto"/>
            </w:tcBorders>
          </w:tcPr>
          <w:p w14:paraId="107D68BA"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20.0% </w:t>
            </w:r>
          </w:p>
        </w:tc>
      </w:tr>
      <w:tr w:rsidR="003129FE" w:rsidRPr="0059240B" w14:paraId="3D3D0E56"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1FF2108E"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200-225% of Account Value </w:t>
            </w:r>
          </w:p>
        </w:tc>
        <w:tc>
          <w:tcPr>
            <w:tcW w:w="2598" w:type="dxa"/>
            <w:tcBorders>
              <w:top w:val="single" w:sz="4" w:space="0" w:color="auto"/>
              <w:left w:val="single" w:sz="4" w:space="0" w:color="auto"/>
              <w:bottom w:val="single" w:sz="4" w:space="0" w:color="auto"/>
              <w:right w:val="single" w:sz="4" w:space="0" w:color="auto"/>
            </w:tcBorders>
          </w:tcPr>
          <w:p w14:paraId="2471CFC9"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00"/>
              </w:rPr>
            </w:pPr>
            <w:r w:rsidRPr="0059240B">
              <w:rPr>
                <w:rFonts w:ascii="Times New Roman" w:eastAsiaTheme="minorHAnsi" w:hAnsi="Times New Roman"/>
                <w:color w:val="0000FF"/>
              </w:rPr>
              <w:t xml:space="preserve">25.0% </w:t>
            </w:r>
          </w:p>
        </w:tc>
      </w:tr>
      <w:tr w:rsidR="003129FE" w:rsidRPr="0059240B" w14:paraId="35838702"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6A5BDB8C"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FF"/>
              </w:rPr>
            </w:pPr>
            <w:r w:rsidRPr="0059240B">
              <w:rPr>
                <w:rFonts w:ascii="Times New Roman" w:eastAsiaTheme="minorHAnsi" w:hAnsi="Times New Roman"/>
                <w:color w:val="0000FF"/>
              </w:rPr>
              <w:t xml:space="preserve">225-250% of Account Value </w:t>
            </w:r>
          </w:p>
        </w:tc>
        <w:tc>
          <w:tcPr>
            <w:tcW w:w="2598" w:type="dxa"/>
            <w:tcBorders>
              <w:top w:val="single" w:sz="4" w:space="0" w:color="auto"/>
              <w:left w:val="single" w:sz="4" w:space="0" w:color="auto"/>
              <w:bottom w:val="single" w:sz="4" w:space="0" w:color="auto"/>
              <w:right w:val="single" w:sz="4" w:space="0" w:color="auto"/>
            </w:tcBorders>
          </w:tcPr>
          <w:p w14:paraId="61026FAF"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FF"/>
              </w:rPr>
            </w:pPr>
            <w:r w:rsidRPr="0059240B">
              <w:rPr>
                <w:rFonts w:ascii="Times New Roman" w:eastAsiaTheme="minorHAnsi" w:hAnsi="Times New Roman"/>
                <w:color w:val="0000FF"/>
              </w:rPr>
              <w:t>30.0%</w:t>
            </w:r>
          </w:p>
        </w:tc>
      </w:tr>
      <w:tr w:rsidR="003129FE" w:rsidRPr="0059240B" w14:paraId="05CB53E1" w14:textId="77777777" w:rsidTr="00316A0E">
        <w:trPr>
          <w:trHeight w:val="169"/>
        </w:trPr>
        <w:tc>
          <w:tcPr>
            <w:tcW w:w="3240" w:type="dxa"/>
            <w:tcBorders>
              <w:top w:val="single" w:sz="4" w:space="0" w:color="auto"/>
              <w:left w:val="single" w:sz="4" w:space="0" w:color="auto"/>
              <w:bottom w:val="single" w:sz="4" w:space="0" w:color="auto"/>
              <w:right w:val="single" w:sz="4" w:space="0" w:color="auto"/>
            </w:tcBorders>
          </w:tcPr>
          <w:p w14:paraId="11DF29ED" w14:textId="77777777" w:rsidR="003129FE" w:rsidRPr="0059240B" w:rsidRDefault="003129FE" w:rsidP="00CC2E32">
            <w:pPr>
              <w:autoSpaceDE w:val="0"/>
              <w:autoSpaceDN w:val="0"/>
              <w:adjustRightInd w:val="0"/>
              <w:spacing w:after="0" w:line="240" w:lineRule="auto"/>
              <w:rPr>
                <w:rFonts w:ascii="Times New Roman" w:eastAsiaTheme="minorHAnsi" w:hAnsi="Times New Roman"/>
                <w:color w:val="0000FF"/>
              </w:rPr>
            </w:pPr>
            <w:r w:rsidRPr="0059240B">
              <w:rPr>
                <w:rFonts w:ascii="Times New Roman" w:eastAsiaTheme="minorHAnsi" w:hAnsi="Times New Roman"/>
                <w:color w:val="0000FF"/>
              </w:rPr>
              <w:t xml:space="preserve">250%+ of Account Value </w:t>
            </w:r>
          </w:p>
        </w:tc>
        <w:tc>
          <w:tcPr>
            <w:tcW w:w="2598" w:type="dxa"/>
            <w:tcBorders>
              <w:top w:val="single" w:sz="4" w:space="0" w:color="auto"/>
              <w:left w:val="single" w:sz="4" w:space="0" w:color="auto"/>
              <w:bottom w:val="single" w:sz="4" w:space="0" w:color="auto"/>
              <w:right w:val="single" w:sz="4" w:space="0" w:color="auto"/>
            </w:tcBorders>
          </w:tcPr>
          <w:p w14:paraId="3958268A" w14:textId="77777777" w:rsidR="003129FE" w:rsidRPr="0059240B" w:rsidRDefault="003129FE" w:rsidP="004E4618">
            <w:pPr>
              <w:autoSpaceDE w:val="0"/>
              <w:autoSpaceDN w:val="0"/>
              <w:adjustRightInd w:val="0"/>
              <w:spacing w:after="0" w:line="240" w:lineRule="auto"/>
              <w:rPr>
                <w:rFonts w:ascii="Times New Roman" w:eastAsiaTheme="minorHAnsi" w:hAnsi="Times New Roman"/>
                <w:color w:val="0000FF"/>
              </w:rPr>
            </w:pPr>
            <w:r w:rsidRPr="0059240B">
              <w:rPr>
                <w:rFonts w:ascii="Times New Roman" w:eastAsiaTheme="minorHAnsi" w:hAnsi="Times New Roman"/>
                <w:color w:val="0000FF"/>
              </w:rPr>
              <w:t>35.0%</w:t>
            </w:r>
          </w:p>
        </w:tc>
      </w:tr>
    </w:tbl>
    <w:p w14:paraId="645D86C0" w14:textId="77777777" w:rsidR="003129FE" w:rsidRPr="0059240B" w:rsidRDefault="003129FE" w:rsidP="00CC2E32">
      <w:pPr>
        <w:spacing w:after="0" w:line="240" w:lineRule="auto"/>
        <w:rPr>
          <w:rFonts w:ascii="Times New Roman" w:hAnsi="Times New Roman"/>
          <w:sz w:val="20"/>
          <w:szCs w:val="20"/>
        </w:rPr>
      </w:pPr>
    </w:p>
    <w:p w14:paraId="73074D70" w14:textId="77777777" w:rsidR="003129FE" w:rsidRPr="0059240B" w:rsidRDefault="003129FE" w:rsidP="00E87EFC">
      <w:pPr>
        <w:pStyle w:val="ListParagraph"/>
        <w:numPr>
          <w:ilvl w:val="0"/>
          <w:numId w:val="41"/>
        </w:numPr>
        <w:spacing w:after="220" w:line="240" w:lineRule="auto"/>
        <w:rPr>
          <w:rFonts w:ascii="Times New Roman" w:eastAsia="Times New Roman" w:hAnsi="Times New Roman"/>
        </w:rPr>
      </w:pPr>
      <w:r w:rsidRPr="0059240B">
        <w:rPr>
          <w:rFonts w:ascii="Times New Roman" w:eastAsia="Times New Roman" w:hAnsi="Times New Roman"/>
        </w:rPr>
        <w:t>If during any projection interval, the GAPV of another guarantee on the contract – e.g., a GMDB –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t>
      </w:r>
    </w:p>
    <w:p w14:paraId="7A32ABC8" w14:textId="77777777" w:rsidR="003129FE" w:rsidRPr="0059240B" w:rsidRDefault="003129FE" w:rsidP="00E87EFC">
      <w:pPr>
        <w:pStyle w:val="ListParagraph"/>
        <w:numPr>
          <w:ilvl w:val="0"/>
          <w:numId w:val="42"/>
        </w:numPr>
        <w:spacing w:after="220" w:line="240" w:lineRule="auto"/>
        <w:ind w:left="2520"/>
        <w:rPr>
          <w:rFonts w:ascii="Times New Roman" w:eastAsia="Times New Roman" w:hAnsi="Times New Roman"/>
        </w:rPr>
      </w:pPr>
      <w:r w:rsidRPr="0059240B">
        <w:rPr>
          <w:rFonts w:ascii="Times New Roman" w:eastAsia="Times New Roman" w:hAnsi="Times New Roman"/>
        </w:rPr>
        <w: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t>
      </w:r>
    </w:p>
    <w:p w14:paraId="04F51FA8" w14:textId="77777777" w:rsidR="003129FE" w:rsidRPr="0059240B" w:rsidRDefault="003129FE" w:rsidP="00063E8C">
      <w:pPr>
        <w:spacing w:after="220" w:line="240" w:lineRule="auto"/>
        <w:ind w:left="2160" w:hanging="720"/>
        <w:rPr>
          <w:rFonts w:ascii="Times New Roman" w:eastAsia="Times New Roman" w:hAnsi="Times New Roman"/>
        </w:rPr>
      </w:pPr>
      <w:r w:rsidRPr="0059240B">
        <w:rPr>
          <w:rFonts w:ascii="Times New Roman" w:eastAsia="Times New Roman" w:hAnsi="Times New Roman"/>
        </w:rPr>
        <w:t>8.</w:t>
      </w:r>
      <w:r w:rsidRPr="0059240B">
        <w:rPr>
          <w:rFonts w:ascii="Times New Roman" w:eastAsia="Times New Roman" w:hAnsi="Times New Roman"/>
        </w:rPr>
        <w:tab/>
        <w:t>Account transfers and future deposits</w:t>
      </w:r>
    </w:p>
    <w:p w14:paraId="4ACC1738" w14:textId="094EE160" w:rsidR="003129FE" w:rsidRPr="0059240B" w:rsidRDefault="003129FE" w:rsidP="00063E8C">
      <w:pPr>
        <w:pStyle w:val="ListParagraph"/>
        <w:numPr>
          <w:ilvl w:val="0"/>
          <w:numId w:val="43"/>
        </w:numPr>
        <w:spacing w:after="220" w:line="240" w:lineRule="auto"/>
        <w:ind w:left="2520"/>
        <w:rPr>
          <w:rFonts w:ascii="Times New Roman" w:eastAsia="Times New Roman" w:hAnsi="Times New Roman"/>
        </w:rPr>
      </w:pPr>
      <w:r w:rsidRPr="0059240B">
        <w:rPr>
          <w:rFonts w:ascii="Times New Roman" w:eastAsia="Times New Roman" w:hAnsi="Times New Roman"/>
        </w:rPr>
        <w:t>No transfers between funds shall be assumed in the projection unless required by the contract (e.g., transfers from a dollar cost averaging fund or contractual rights given to the insurer to implement a contractually 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t>
      </w:r>
    </w:p>
    <w:p w14:paraId="293591E1" w14:textId="00C03F95" w:rsidR="003129FE" w:rsidRPr="0059240B" w:rsidRDefault="003129FE" w:rsidP="00063E8C">
      <w:pPr>
        <w:pStyle w:val="ListParagraph"/>
        <w:numPr>
          <w:ilvl w:val="0"/>
          <w:numId w:val="43"/>
        </w:numPr>
        <w:spacing w:after="220" w:line="240" w:lineRule="auto"/>
        <w:ind w:left="2520"/>
        <w:rPr>
          <w:rFonts w:ascii="Times New Roman" w:eastAsia="Times New Roman" w:hAnsi="Times New Roman"/>
        </w:rPr>
      </w:pPr>
      <w:r w:rsidRPr="0059240B">
        <w:rPr>
          <w:rFonts w:ascii="Times New Roman" w:eastAsia="Times New Roman" w:hAnsi="Times New Roman"/>
        </w:rPr>
        <w:t>Except for simple 403(b) VA contracts, no future deposits to account value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such funds.</w:t>
      </w:r>
    </w:p>
    <w:p w14:paraId="072A1BE4" w14:textId="13980C8C" w:rsidR="003129FE" w:rsidRPr="0059240B" w:rsidRDefault="003129FE" w:rsidP="00E87EFC">
      <w:pPr>
        <w:pStyle w:val="ListParagraph"/>
        <w:numPr>
          <w:ilvl w:val="0"/>
          <w:numId w:val="43"/>
        </w:numPr>
        <w:spacing w:after="220" w:line="240" w:lineRule="auto"/>
        <w:ind w:left="2520"/>
        <w:rPr>
          <w:rFonts w:ascii="Times New Roman" w:eastAsia="Times New Roman" w:hAnsi="Times New Roman"/>
          <w:bCs/>
          <w:color w:val="000000"/>
        </w:rPr>
      </w:pPr>
      <w:r w:rsidRPr="0059240B">
        <w:rPr>
          <w:rFonts w:ascii="Times New Roman" w:eastAsia="Times New Roman" w:hAnsi="Times New Roman"/>
          <w:bCs/>
          <w:color w:val="000000"/>
        </w:rPr>
        <w:t>For simple 403(b) VA contracts, total deposits to account value in any projected future policy year shall be modeled as a percentage of the total deposits from the immediately preceding policy year. The percentage shall be determined based on the following table:</w:t>
      </w:r>
    </w:p>
    <w:p w14:paraId="4B260923" w14:textId="252CA9D1" w:rsidR="00C310C5" w:rsidRPr="0059240B" w:rsidRDefault="00C310C5" w:rsidP="00C310C5">
      <w:pPr>
        <w:pStyle w:val="ListParagraph"/>
        <w:spacing w:after="220" w:line="240" w:lineRule="auto"/>
        <w:ind w:left="2520"/>
        <w:rPr>
          <w:rFonts w:ascii="Times New Roman" w:eastAsia="Times New Roman" w:hAnsi="Times New Roman"/>
          <w:bCs/>
          <w:color w:val="000000"/>
        </w:rPr>
      </w:pPr>
    </w:p>
    <w:p w14:paraId="3D7B72B8" w14:textId="350F1B59" w:rsidR="00C310C5" w:rsidRPr="0059240B" w:rsidRDefault="00C310C5" w:rsidP="00C310C5">
      <w:pPr>
        <w:pStyle w:val="ListParagraph"/>
        <w:spacing w:after="0" w:line="240" w:lineRule="auto"/>
        <w:ind w:left="2520"/>
        <w:rPr>
          <w:rFonts w:ascii="Times New Roman" w:eastAsia="Times New Roman" w:hAnsi="Times New Roman"/>
          <w:bCs/>
          <w:color w:val="000000"/>
        </w:rPr>
      </w:pPr>
      <w:r w:rsidRPr="0059240B">
        <w:rPr>
          <w:rFonts w:ascii="Times New Roman" w:eastAsia="Times New Roman" w:hAnsi="Times New Roman"/>
          <w:bCs/>
          <w:color w:val="000000"/>
        </w:rPr>
        <w:lastRenderedPageBreak/>
        <w:t>Table 6.</w:t>
      </w:r>
      <w:r w:rsidR="00BD1523" w:rsidRPr="0059240B">
        <w:rPr>
          <w:rFonts w:ascii="Times New Roman" w:eastAsia="Times New Roman" w:hAnsi="Times New Roman"/>
          <w:bCs/>
          <w:color w:val="000000"/>
        </w:rPr>
        <w:t>8</w:t>
      </w:r>
      <w:r w:rsidRPr="0059240B">
        <w:rPr>
          <w:rFonts w:ascii="Times New Roman" w:eastAsia="Times New Roman" w:hAnsi="Times New Roman"/>
          <w:bCs/>
          <w:color w:val="000000"/>
        </w:rPr>
        <w:t>: Deposit Rates, 403(b)</w:t>
      </w:r>
    </w:p>
    <w:tbl>
      <w:tblPr>
        <w:tblStyle w:val="TableGrid"/>
        <w:tblW w:w="0" w:type="auto"/>
        <w:tblInd w:w="2160" w:type="dxa"/>
        <w:tblLayout w:type="fixed"/>
        <w:tblLook w:val="04A0" w:firstRow="1" w:lastRow="0" w:firstColumn="1" w:lastColumn="0" w:noHBand="0" w:noVBand="1"/>
      </w:tblPr>
      <w:tblGrid>
        <w:gridCol w:w="4675"/>
        <w:gridCol w:w="4675"/>
      </w:tblGrid>
      <w:tr w:rsidR="00063E8C" w:rsidRPr="0059240B" w14:paraId="5543D5A1" w14:textId="77777777" w:rsidTr="00063E8C">
        <w:tc>
          <w:tcPr>
            <w:tcW w:w="4675" w:type="dxa"/>
            <w:vAlign w:val="center"/>
          </w:tcPr>
          <w:p w14:paraId="12C5855E" w14:textId="74E377F5" w:rsidR="00063E8C" w:rsidRPr="0059240B" w:rsidRDefault="00063E8C" w:rsidP="00063E8C">
            <w:pPr>
              <w:spacing w:after="220"/>
              <w:jc w:val="center"/>
              <w:rPr>
                <w:rFonts w:ascii="Times New Roman" w:hAnsi="Times New Roman"/>
              </w:rPr>
            </w:pPr>
            <w:r w:rsidRPr="0059240B">
              <w:rPr>
                <w:rFonts w:ascii="Times New Roman" w:hAnsi="Times New Roman"/>
              </w:rPr>
              <w:t>Attained Age</w:t>
            </w:r>
          </w:p>
        </w:tc>
        <w:tc>
          <w:tcPr>
            <w:tcW w:w="4675" w:type="dxa"/>
            <w:vAlign w:val="center"/>
          </w:tcPr>
          <w:p w14:paraId="3A832C36" w14:textId="40893A31" w:rsidR="00063E8C" w:rsidRPr="0059240B" w:rsidRDefault="00063E8C" w:rsidP="00063E8C">
            <w:pPr>
              <w:spacing w:after="220"/>
              <w:jc w:val="center"/>
              <w:rPr>
                <w:rFonts w:ascii="Times New Roman" w:hAnsi="Times New Roman"/>
              </w:rPr>
            </w:pPr>
            <w:r w:rsidRPr="0059240B">
              <w:rPr>
                <w:rFonts w:ascii="Times New Roman" w:eastAsia="Times New Roman" w:hAnsi="Times New Roman"/>
              </w:rPr>
              <w:t>Percent of prior year’s deposits</w:t>
            </w:r>
          </w:p>
        </w:tc>
      </w:tr>
      <w:tr w:rsidR="00063E8C" w:rsidRPr="0059240B" w14:paraId="353E4DCC" w14:textId="77777777" w:rsidTr="00063E8C">
        <w:tc>
          <w:tcPr>
            <w:tcW w:w="4675" w:type="dxa"/>
            <w:vAlign w:val="center"/>
          </w:tcPr>
          <w:p w14:paraId="745D9B0A" w14:textId="5312884D" w:rsidR="00063E8C" w:rsidRPr="0059240B" w:rsidRDefault="00063E8C" w:rsidP="00063E8C">
            <w:pPr>
              <w:spacing w:after="220"/>
              <w:jc w:val="center"/>
              <w:rPr>
                <w:rFonts w:ascii="Times New Roman" w:hAnsi="Times New Roman"/>
              </w:rPr>
            </w:pPr>
            <w:r w:rsidRPr="0059240B">
              <w:rPr>
                <w:rFonts w:ascii="Times New Roman" w:eastAsia="Times New Roman" w:hAnsi="Times New Roman"/>
              </w:rPr>
              <w:t>54 and under</w:t>
            </w:r>
          </w:p>
        </w:tc>
        <w:tc>
          <w:tcPr>
            <w:tcW w:w="4675" w:type="dxa"/>
            <w:vAlign w:val="center"/>
          </w:tcPr>
          <w:p w14:paraId="4611D5A7" w14:textId="0903C73F" w:rsidR="00063E8C" w:rsidRPr="0059240B" w:rsidRDefault="00063E8C" w:rsidP="00063E8C">
            <w:pPr>
              <w:spacing w:after="220"/>
              <w:jc w:val="center"/>
              <w:rPr>
                <w:rFonts w:ascii="Times New Roman" w:hAnsi="Times New Roman"/>
              </w:rPr>
            </w:pPr>
            <w:r w:rsidRPr="0059240B">
              <w:rPr>
                <w:rFonts w:ascii="Times New Roman" w:eastAsia="Times New Roman" w:hAnsi="Times New Roman"/>
              </w:rPr>
              <w:t>90</w:t>
            </w:r>
            <w:r w:rsidRPr="0059240B">
              <w:rPr>
                <w:rFonts w:ascii="Times New Roman" w:hAnsi="Times New Roman"/>
              </w:rPr>
              <w:t>%</w:t>
            </w:r>
          </w:p>
        </w:tc>
      </w:tr>
      <w:tr w:rsidR="00063E8C" w:rsidRPr="0059240B" w14:paraId="6828EA8F" w14:textId="77777777" w:rsidTr="00063E8C">
        <w:tc>
          <w:tcPr>
            <w:tcW w:w="4675" w:type="dxa"/>
            <w:vAlign w:val="center"/>
          </w:tcPr>
          <w:p w14:paraId="3F652117" w14:textId="511B1200" w:rsidR="00063E8C" w:rsidRPr="0059240B" w:rsidRDefault="00063E8C" w:rsidP="00063E8C">
            <w:pPr>
              <w:spacing w:after="220"/>
              <w:jc w:val="center"/>
              <w:rPr>
                <w:rFonts w:ascii="Times New Roman" w:hAnsi="Times New Roman"/>
              </w:rPr>
            </w:pPr>
            <w:r w:rsidRPr="0059240B">
              <w:rPr>
                <w:rFonts w:ascii="Times New Roman" w:eastAsia="Times New Roman" w:hAnsi="Times New Roman"/>
              </w:rPr>
              <w:t>55 through 69</w:t>
            </w:r>
          </w:p>
        </w:tc>
        <w:tc>
          <w:tcPr>
            <w:tcW w:w="4675" w:type="dxa"/>
            <w:vAlign w:val="center"/>
          </w:tcPr>
          <w:p w14:paraId="25B33C9C" w14:textId="168E736D" w:rsidR="00063E8C" w:rsidRPr="0059240B" w:rsidRDefault="00063E8C" w:rsidP="00063E8C">
            <w:pPr>
              <w:spacing w:after="220"/>
              <w:jc w:val="center"/>
              <w:rPr>
                <w:rFonts w:ascii="Times New Roman" w:hAnsi="Times New Roman"/>
              </w:rPr>
            </w:pPr>
            <w:r w:rsidRPr="0059240B">
              <w:rPr>
                <w:rFonts w:ascii="Times New Roman" w:eastAsia="Times New Roman" w:hAnsi="Times New Roman"/>
              </w:rPr>
              <w:t>80</w:t>
            </w:r>
            <w:r w:rsidRPr="0059240B">
              <w:rPr>
                <w:rFonts w:ascii="Times New Roman" w:hAnsi="Times New Roman"/>
              </w:rPr>
              <w:t>%</w:t>
            </w:r>
          </w:p>
        </w:tc>
      </w:tr>
      <w:tr w:rsidR="003129FE" w:rsidRPr="0059240B" w14:paraId="3D182FD6" w14:textId="77777777" w:rsidTr="004E4618">
        <w:tc>
          <w:tcPr>
            <w:tcW w:w="4675" w:type="dxa"/>
            <w:vAlign w:val="center"/>
          </w:tcPr>
          <w:p w14:paraId="111FA8EA" w14:textId="77777777" w:rsidR="003129FE" w:rsidRPr="0059240B" w:rsidRDefault="003129FE" w:rsidP="004E4618">
            <w:pPr>
              <w:spacing w:after="220"/>
              <w:jc w:val="center"/>
              <w:rPr>
                <w:rFonts w:ascii="Times New Roman" w:eastAsia="Times New Roman" w:hAnsi="Times New Roman"/>
              </w:rPr>
            </w:pPr>
            <w:r w:rsidRPr="0059240B">
              <w:rPr>
                <w:rFonts w:ascii="Times New Roman" w:eastAsia="Times New Roman" w:hAnsi="Times New Roman"/>
              </w:rPr>
              <w:t>70 and over</w:t>
            </w:r>
          </w:p>
        </w:tc>
        <w:tc>
          <w:tcPr>
            <w:tcW w:w="4675" w:type="dxa"/>
            <w:vAlign w:val="center"/>
          </w:tcPr>
          <w:p w14:paraId="069FD76D" w14:textId="77777777" w:rsidR="003129FE" w:rsidRPr="0059240B" w:rsidRDefault="003129FE" w:rsidP="004E4618">
            <w:pPr>
              <w:spacing w:after="220"/>
              <w:jc w:val="center"/>
              <w:rPr>
                <w:rFonts w:ascii="Times New Roman" w:eastAsia="Times New Roman" w:hAnsi="Times New Roman"/>
              </w:rPr>
            </w:pPr>
            <w:r w:rsidRPr="0059240B">
              <w:rPr>
                <w:rFonts w:ascii="Times New Roman" w:eastAsia="Times New Roman" w:hAnsi="Times New Roman"/>
              </w:rPr>
              <w:t>0%</w:t>
            </w:r>
          </w:p>
        </w:tc>
      </w:tr>
    </w:tbl>
    <w:p w14:paraId="63F00A45" w14:textId="77777777" w:rsidR="003129FE" w:rsidRPr="0059240B" w:rsidRDefault="003129FE" w:rsidP="00063E8C">
      <w:pPr>
        <w:pStyle w:val="ListParagraph"/>
        <w:numPr>
          <w:ilvl w:val="0"/>
          <w:numId w:val="43"/>
        </w:numPr>
        <w:spacing w:after="220" w:line="240" w:lineRule="auto"/>
        <w:ind w:left="2520"/>
        <w:rPr>
          <w:rFonts w:ascii="Times New Roman" w:eastAsia="Times New Roman" w:hAnsi="Times New Roman"/>
        </w:rPr>
      </w:pPr>
    </w:p>
    <w:p w14:paraId="0AC6D7A1" w14:textId="694D4376"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9.</w:t>
      </w:r>
      <w:r w:rsidRPr="0059240B">
        <w:rPr>
          <w:rFonts w:ascii="Times New Roman" w:eastAsia="Times New Roman" w:hAnsi="Times New Roman"/>
        </w:rPr>
        <w:tab/>
        <w:t>Mortality</w:t>
      </w:r>
    </w:p>
    <w:p w14:paraId="1C117C25" w14:textId="5421F07D"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The mortality rate for a contract holder with age x in year (2012 + n) shall be calculated using the following formula, where q</w:t>
      </w:r>
      <w:r w:rsidRPr="0059240B">
        <w:rPr>
          <w:rFonts w:ascii="Times New Roman" w:eastAsia="Times New Roman" w:hAnsi="Times New Roman"/>
          <w:vertAlign w:val="subscript"/>
        </w:rPr>
        <w:t>x</w:t>
      </w:r>
      <w:r w:rsidRPr="0059240B">
        <w:rPr>
          <w:rFonts w:ascii="Times New Roman" w:eastAsia="Times New Roman" w:hAnsi="Times New Roman"/>
        </w:rPr>
        <w:t xml:space="preserve"> denotes mortality from the 2012 IAM Basic Mortality Table </w:t>
      </w:r>
      <w:r w:rsidR="00186F37" w:rsidRPr="0059240B">
        <w:rPr>
          <w:rFonts w:ascii="Times New Roman" w:eastAsia="Times New Roman" w:hAnsi="Times New Roman"/>
        </w:rPr>
        <w:t>multiplied by the appropriate factor (F</w:t>
      </w:r>
      <w:r w:rsidR="00186F37" w:rsidRPr="0059240B">
        <w:rPr>
          <w:rFonts w:ascii="Times New Roman" w:eastAsia="Times New Roman" w:hAnsi="Times New Roman"/>
          <w:vertAlign w:val="subscript"/>
        </w:rPr>
        <w:t>x</w:t>
      </w:r>
      <w:r w:rsidR="00186F37" w:rsidRPr="0059240B">
        <w:rPr>
          <w:rFonts w:ascii="Times New Roman" w:eastAsia="Times New Roman" w:hAnsi="Times New Roman"/>
        </w:rPr>
        <w:t xml:space="preserve">) from Table </w:t>
      </w:r>
      <w:r w:rsidR="00BD1523" w:rsidRPr="0059240B">
        <w:rPr>
          <w:rFonts w:ascii="Times New Roman" w:eastAsia="Times New Roman" w:hAnsi="Times New Roman"/>
        </w:rPr>
        <w:t>6.9</w:t>
      </w:r>
      <w:r w:rsidR="00186F37" w:rsidRPr="0059240B">
        <w:rPr>
          <w:rFonts w:ascii="Times New Roman" w:eastAsia="Times New Roman" w:hAnsi="Times New Roman"/>
        </w:rPr>
        <w:t xml:space="preserve"> </w:t>
      </w:r>
      <w:r w:rsidRPr="0059240B">
        <w:rPr>
          <w:rFonts w:ascii="Times New Roman" w:eastAsia="Times New Roman" w:hAnsi="Times New Roman"/>
        </w:rPr>
        <w:t>and G2</w:t>
      </w:r>
      <w:r w:rsidRPr="0059240B">
        <w:rPr>
          <w:rFonts w:ascii="Times New Roman" w:eastAsia="Times New Roman" w:hAnsi="Times New Roman"/>
          <w:vertAlign w:val="subscript"/>
        </w:rPr>
        <w:t>x</w:t>
      </w:r>
      <w:r w:rsidRPr="0059240B">
        <w:rPr>
          <w:rFonts w:ascii="Times New Roman" w:eastAsia="Times New Roman" w:hAnsi="Times New Roman"/>
        </w:rPr>
        <w:t xml:space="preserve"> denotes mortality improvement from Projection Scale G2:</w:t>
      </w:r>
    </w:p>
    <w:p w14:paraId="7C49E1D7" w14:textId="3513D775" w:rsidR="005C7395" w:rsidRPr="0059240B" w:rsidRDefault="00B76878" w:rsidP="004E4618">
      <w:pPr>
        <w:spacing w:after="22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718D4B20" w14:textId="553D7A7F" w:rsidR="005F2152" w:rsidRPr="0059240B" w:rsidRDefault="005F2152" w:rsidP="005F2152">
      <w:pPr>
        <w:spacing w:after="220" w:line="259" w:lineRule="auto"/>
        <w:ind w:firstLine="720"/>
        <w:rPr>
          <w:rFonts w:ascii="Times New Roman" w:eastAsia="Times New Roman" w:hAnsi="Times New Roman"/>
          <w:color w:val="FF0000"/>
          <w:u w:val="single"/>
        </w:rPr>
      </w:pPr>
      <w:r w:rsidRPr="0059240B">
        <w:rPr>
          <w:rFonts w:ascii="Times New Roman" w:eastAsia="Times New Roman" w:hAnsi="Times New Roman"/>
          <w:color w:val="FF0000"/>
          <w:u w:val="single"/>
        </w:rPr>
        <w:t xml:space="preserve">Table </w:t>
      </w:r>
      <w:r w:rsidR="00BD1523" w:rsidRPr="0059240B">
        <w:rPr>
          <w:rFonts w:ascii="Times New Roman" w:eastAsia="Times New Roman" w:hAnsi="Times New Roman"/>
          <w:color w:val="FF0000"/>
          <w:u w:val="single"/>
        </w:rPr>
        <w:t>6.9</w:t>
      </w:r>
    </w:p>
    <w:tbl>
      <w:tblPr>
        <w:tblStyle w:val="TableGrid11"/>
        <w:tblW w:w="0" w:type="auto"/>
        <w:tblInd w:w="720" w:type="dxa"/>
        <w:tblLook w:val="04A0" w:firstRow="1" w:lastRow="0" w:firstColumn="1" w:lastColumn="0" w:noHBand="0" w:noVBand="1"/>
      </w:tblPr>
      <w:tblGrid>
        <w:gridCol w:w="2876"/>
        <w:gridCol w:w="2877"/>
        <w:gridCol w:w="2877"/>
      </w:tblGrid>
      <w:tr w:rsidR="005F2152" w:rsidRPr="0059240B" w14:paraId="341FEE9E" w14:textId="77777777" w:rsidTr="005F2152">
        <w:trPr>
          <w:trHeight w:val="252"/>
        </w:trPr>
        <w:tc>
          <w:tcPr>
            <w:tcW w:w="2876" w:type="dxa"/>
            <w:shd w:val="clear" w:color="auto" w:fill="FFFF00"/>
            <w:hideMark/>
          </w:tcPr>
          <w:p w14:paraId="5487FA31" w14:textId="77777777" w:rsidR="005F2152" w:rsidRPr="0059240B" w:rsidRDefault="005F2152" w:rsidP="005F2152">
            <w:pPr>
              <w:jc w:val="center"/>
              <w:rPr>
                <w:rFonts w:cs="Calibri"/>
                <w:color w:val="000000"/>
                <w:sz w:val="24"/>
                <w:szCs w:val="24"/>
              </w:rPr>
            </w:pPr>
            <w:r w:rsidRPr="0059240B">
              <w:rPr>
                <w:rFonts w:cs="Calibri"/>
                <w:color w:val="000000"/>
                <w:sz w:val="24"/>
                <w:szCs w:val="24"/>
              </w:rPr>
              <w:t>Attained Age (x)</w:t>
            </w:r>
          </w:p>
        </w:tc>
        <w:tc>
          <w:tcPr>
            <w:tcW w:w="2877" w:type="dxa"/>
            <w:shd w:val="clear" w:color="auto" w:fill="FFFF00"/>
            <w:hideMark/>
          </w:tcPr>
          <w:p w14:paraId="7F961578" w14:textId="77777777" w:rsidR="005F2152" w:rsidRPr="0059240B" w:rsidRDefault="005F2152" w:rsidP="005F2152">
            <w:pPr>
              <w:jc w:val="center"/>
              <w:rPr>
                <w:rFonts w:cs="Calibri"/>
                <w:color w:val="000000"/>
                <w:sz w:val="24"/>
                <w:szCs w:val="24"/>
              </w:rPr>
            </w:pPr>
            <w:r w:rsidRPr="0059240B">
              <w:rPr>
                <w:rFonts w:cs="Calibri"/>
                <w:color w:val="000000"/>
                <w:sz w:val="24"/>
                <w:szCs w:val="24"/>
              </w:rPr>
              <w:t>F</w:t>
            </w:r>
            <w:r w:rsidRPr="0059240B">
              <w:rPr>
                <w:rFonts w:cs="Calibri"/>
                <w:color w:val="000000"/>
                <w:sz w:val="24"/>
                <w:szCs w:val="24"/>
                <w:vertAlign w:val="subscript"/>
              </w:rPr>
              <w:t>x</w:t>
            </w:r>
            <w:r w:rsidRPr="0059240B">
              <w:rPr>
                <w:rFonts w:cs="Calibri"/>
                <w:color w:val="000000"/>
                <w:sz w:val="24"/>
                <w:szCs w:val="24"/>
              </w:rPr>
              <w:t xml:space="preserve"> for VA with GLB</w:t>
            </w:r>
          </w:p>
        </w:tc>
        <w:tc>
          <w:tcPr>
            <w:tcW w:w="2877" w:type="dxa"/>
            <w:shd w:val="clear" w:color="auto" w:fill="FFFF00"/>
            <w:hideMark/>
          </w:tcPr>
          <w:p w14:paraId="3BC29D79" w14:textId="77777777" w:rsidR="005F2152" w:rsidRPr="0059240B" w:rsidRDefault="005F2152" w:rsidP="005F2152">
            <w:pPr>
              <w:jc w:val="center"/>
              <w:rPr>
                <w:rFonts w:cs="Calibri"/>
                <w:color w:val="000000"/>
                <w:sz w:val="24"/>
                <w:szCs w:val="24"/>
              </w:rPr>
            </w:pPr>
            <w:r w:rsidRPr="0059240B">
              <w:rPr>
                <w:rFonts w:cs="Calibri"/>
                <w:color w:val="000000"/>
                <w:sz w:val="24"/>
                <w:szCs w:val="24"/>
              </w:rPr>
              <w:t>F</w:t>
            </w:r>
            <w:r w:rsidRPr="0059240B">
              <w:rPr>
                <w:rFonts w:cs="Calibri"/>
                <w:color w:val="000000"/>
                <w:sz w:val="24"/>
                <w:szCs w:val="24"/>
                <w:vertAlign w:val="subscript"/>
              </w:rPr>
              <w:t xml:space="preserve">x </w:t>
            </w:r>
            <w:r w:rsidRPr="0059240B">
              <w:rPr>
                <w:rFonts w:cs="Calibri"/>
                <w:color w:val="000000"/>
                <w:sz w:val="24"/>
                <w:szCs w:val="24"/>
              </w:rPr>
              <w:t>for All Other</w:t>
            </w:r>
          </w:p>
        </w:tc>
      </w:tr>
      <w:tr w:rsidR="005F2152" w:rsidRPr="0059240B" w14:paraId="05ED4807" w14:textId="77777777" w:rsidTr="005F2152">
        <w:trPr>
          <w:trHeight w:val="252"/>
        </w:trPr>
        <w:tc>
          <w:tcPr>
            <w:tcW w:w="2876" w:type="dxa"/>
            <w:shd w:val="clear" w:color="auto" w:fill="FFFF00"/>
            <w:noWrap/>
            <w:hideMark/>
          </w:tcPr>
          <w:p w14:paraId="4811FE10" w14:textId="77777777" w:rsidR="005F2152" w:rsidRPr="0059240B" w:rsidRDefault="005F2152" w:rsidP="005F2152">
            <w:pPr>
              <w:jc w:val="center"/>
              <w:rPr>
                <w:rFonts w:cs="Calibri"/>
                <w:color w:val="000000"/>
                <w:sz w:val="24"/>
                <w:szCs w:val="24"/>
              </w:rPr>
            </w:pPr>
            <w:r w:rsidRPr="0059240B">
              <w:rPr>
                <w:rFonts w:cs="Calibri"/>
                <w:color w:val="000000"/>
                <w:sz w:val="24"/>
                <w:szCs w:val="24"/>
              </w:rPr>
              <w:t>&lt;=65</w:t>
            </w:r>
          </w:p>
        </w:tc>
        <w:tc>
          <w:tcPr>
            <w:tcW w:w="2877" w:type="dxa"/>
            <w:shd w:val="clear" w:color="auto" w:fill="FFFF00"/>
            <w:noWrap/>
            <w:hideMark/>
          </w:tcPr>
          <w:p w14:paraId="754C7D68" w14:textId="77777777" w:rsidR="005F2152" w:rsidRPr="0059240B" w:rsidRDefault="005F2152" w:rsidP="005F2152">
            <w:pPr>
              <w:jc w:val="center"/>
              <w:rPr>
                <w:rFonts w:cs="Calibri"/>
                <w:color w:val="FF0000"/>
                <w:sz w:val="24"/>
                <w:szCs w:val="24"/>
              </w:rPr>
            </w:pPr>
            <w:r w:rsidRPr="0059240B">
              <w:rPr>
                <w:rFonts w:cs="Calibri"/>
                <w:color w:val="FF0000"/>
                <w:sz w:val="24"/>
                <w:szCs w:val="24"/>
              </w:rPr>
              <w:t>80.0%</w:t>
            </w:r>
          </w:p>
        </w:tc>
        <w:tc>
          <w:tcPr>
            <w:tcW w:w="2877" w:type="dxa"/>
            <w:shd w:val="clear" w:color="auto" w:fill="FFFF00"/>
            <w:noWrap/>
            <w:hideMark/>
          </w:tcPr>
          <w:p w14:paraId="1273F792" w14:textId="77777777" w:rsidR="005F2152" w:rsidRPr="0059240B" w:rsidRDefault="005F2152" w:rsidP="005F2152">
            <w:pPr>
              <w:jc w:val="center"/>
              <w:rPr>
                <w:rFonts w:cs="Calibri"/>
                <w:color w:val="FF0000"/>
                <w:sz w:val="24"/>
                <w:szCs w:val="24"/>
              </w:rPr>
            </w:pPr>
            <w:r w:rsidRPr="0059240B">
              <w:rPr>
                <w:rFonts w:cs="Calibri"/>
                <w:color w:val="FF0000"/>
                <w:sz w:val="24"/>
                <w:szCs w:val="24"/>
              </w:rPr>
              <w:t>100.0%</w:t>
            </w:r>
          </w:p>
        </w:tc>
      </w:tr>
      <w:tr w:rsidR="005F2152" w:rsidRPr="0059240B" w14:paraId="6DBF146F" w14:textId="77777777" w:rsidTr="005F2152">
        <w:trPr>
          <w:trHeight w:val="252"/>
        </w:trPr>
        <w:tc>
          <w:tcPr>
            <w:tcW w:w="2876" w:type="dxa"/>
            <w:shd w:val="clear" w:color="auto" w:fill="FFFF00"/>
            <w:noWrap/>
            <w:hideMark/>
          </w:tcPr>
          <w:p w14:paraId="7AF0D98E" w14:textId="77777777" w:rsidR="005F2152" w:rsidRPr="0059240B" w:rsidRDefault="005F2152" w:rsidP="005F2152">
            <w:pPr>
              <w:jc w:val="center"/>
              <w:rPr>
                <w:rFonts w:cs="Calibri"/>
                <w:color w:val="000000"/>
                <w:sz w:val="24"/>
                <w:szCs w:val="24"/>
              </w:rPr>
            </w:pPr>
            <w:r w:rsidRPr="0059240B">
              <w:rPr>
                <w:rFonts w:cs="Calibri"/>
                <w:color w:val="000000"/>
                <w:sz w:val="24"/>
                <w:szCs w:val="24"/>
              </w:rPr>
              <w:t>66</w:t>
            </w:r>
          </w:p>
        </w:tc>
        <w:tc>
          <w:tcPr>
            <w:tcW w:w="2877" w:type="dxa"/>
            <w:shd w:val="clear" w:color="auto" w:fill="FFFF00"/>
            <w:noWrap/>
            <w:hideMark/>
          </w:tcPr>
          <w:p w14:paraId="04D71274" w14:textId="77777777" w:rsidR="005F2152" w:rsidRPr="0059240B" w:rsidRDefault="005F2152" w:rsidP="005F2152">
            <w:pPr>
              <w:jc w:val="center"/>
              <w:rPr>
                <w:rFonts w:cs="Calibri"/>
                <w:color w:val="000000"/>
                <w:sz w:val="24"/>
                <w:szCs w:val="24"/>
              </w:rPr>
            </w:pPr>
            <w:r w:rsidRPr="0059240B">
              <w:rPr>
                <w:rFonts w:cs="Calibri"/>
                <w:color w:val="000000"/>
                <w:sz w:val="24"/>
                <w:szCs w:val="24"/>
              </w:rPr>
              <w:t>81.5%</w:t>
            </w:r>
          </w:p>
        </w:tc>
        <w:tc>
          <w:tcPr>
            <w:tcW w:w="2877" w:type="dxa"/>
            <w:shd w:val="clear" w:color="auto" w:fill="FFFF00"/>
            <w:noWrap/>
            <w:hideMark/>
          </w:tcPr>
          <w:p w14:paraId="49EB94FA" w14:textId="77777777" w:rsidR="005F2152" w:rsidRPr="0059240B" w:rsidRDefault="005F2152" w:rsidP="005F2152">
            <w:pPr>
              <w:jc w:val="center"/>
              <w:rPr>
                <w:rFonts w:cs="Calibri"/>
                <w:color w:val="000000"/>
                <w:sz w:val="24"/>
                <w:szCs w:val="24"/>
              </w:rPr>
            </w:pPr>
            <w:r w:rsidRPr="0059240B">
              <w:rPr>
                <w:rFonts w:cs="Calibri"/>
                <w:color w:val="000000"/>
                <w:sz w:val="24"/>
                <w:szCs w:val="24"/>
              </w:rPr>
              <w:t>102.0%</w:t>
            </w:r>
          </w:p>
        </w:tc>
      </w:tr>
      <w:tr w:rsidR="005F2152" w:rsidRPr="0059240B" w14:paraId="36A80F9B" w14:textId="77777777" w:rsidTr="005F2152">
        <w:trPr>
          <w:trHeight w:val="252"/>
        </w:trPr>
        <w:tc>
          <w:tcPr>
            <w:tcW w:w="2876" w:type="dxa"/>
            <w:shd w:val="clear" w:color="auto" w:fill="FFFF00"/>
            <w:noWrap/>
            <w:hideMark/>
          </w:tcPr>
          <w:p w14:paraId="567FC974" w14:textId="77777777" w:rsidR="005F2152" w:rsidRPr="0059240B" w:rsidRDefault="005F2152" w:rsidP="005F2152">
            <w:pPr>
              <w:jc w:val="center"/>
              <w:rPr>
                <w:rFonts w:cs="Calibri"/>
                <w:color w:val="000000"/>
                <w:sz w:val="24"/>
                <w:szCs w:val="24"/>
              </w:rPr>
            </w:pPr>
            <w:r w:rsidRPr="0059240B">
              <w:rPr>
                <w:rFonts w:cs="Calibri"/>
                <w:color w:val="000000"/>
                <w:sz w:val="24"/>
                <w:szCs w:val="24"/>
              </w:rPr>
              <w:t>67</w:t>
            </w:r>
          </w:p>
        </w:tc>
        <w:tc>
          <w:tcPr>
            <w:tcW w:w="2877" w:type="dxa"/>
            <w:shd w:val="clear" w:color="auto" w:fill="FFFF00"/>
            <w:noWrap/>
            <w:hideMark/>
          </w:tcPr>
          <w:p w14:paraId="7F604CF7" w14:textId="77777777" w:rsidR="005F2152" w:rsidRPr="0059240B" w:rsidRDefault="005F2152" w:rsidP="005F2152">
            <w:pPr>
              <w:jc w:val="center"/>
              <w:rPr>
                <w:rFonts w:cs="Calibri"/>
                <w:color w:val="000000"/>
                <w:sz w:val="24"/>
                <w:szCs w:val="24"/>
              </w:rPr>
            </w:pPr>
            <w:r w:rsidRPr="0059240B">
              <w:rPr>
                <w:rFonts w:cs="Calibri"/>
                <w:color w:val="000000"/>
                <w:sz w:val="24"/>
                <w:szCs w:val="24"/>
              </w:rPr>
              <w:t>83.0%</w:t>
            </w:r>
          </w:p>
        </w:tc>
        <w:tc>
          <w:tcPr>
            <w:tcW w:w="2877" w:type="dxa"/>
            <w:shd w:val="clear" w:color="auto" w:fill="FFFF00"/>
            <w:noWrap/>
            <w:hideMark/>
          </w:tcPr>
          <w:p w14:paraId="2C759A2A" w14:textId="77777777" w:rsidR="005F2152" w:rsidRPr="0059240B" w:rsidRDefault="005F2152" w:rsidP="005F2152">
            <w:pPr>
              <w:jc w:val="center"/>
              <w:rPr>
                <w:rFonts w:cs="Calibri"/>
                <w:color w:val="000000"/>
                <w:sz w:val="24"/>
                <w:szCs w:val="24"/>
              </w:rPr>
            </w:pPr>
            <w:r w:rsidRPr="0059240B">
              <w:rPr>
                <w:rFonts w:cs="Calibri"/>
                <w:color w:val="000000"/>
                <w:sz w:val="24"/>
                <w:szCs w:val="24"/>
              </w:rPr>
              <w:t>104.0%</w:t>
            </w:r>
          </w:p>
        </w:tc>
      </w:tr>
      <w:tr w:rsidR="005F2152" w:rsidRPr="0059240B" w14:paraId="11A61836" w14:textId="77777777" w:rsidTr="005F2152">
        <w:trPr>
          <w:trHeight w:val="252"/>
        </w:trPr>
        <w:tc>
          <w:tcPr>
            <w:tcW w:w="2876" w:type="dxa"/>
            <w:shd w:val="clear" w:color="auto" w:fill="FFFF00"/>
            <w:noWrap/>
            <w:hideMark/>
          </w:tcPr>
          <w:p w14:paraId="686B78AF" w14:textId="77777777" w:rsidR="005F2152" w:rsidRPr="0059240B" w:rsidRDefault="005F2152" w:rsidP="005F2152">
            <w:pPr>
              <w:jc w:val="center"/>
              <w:rPr>
                <w:rFonts w:cs="Calibri"/>
                <w:color w:val="000000"/>
                <w:sz w:val="24"/>
                <w:szCs w:val="24"/>
              </w:rPr>
            </w:pPr>
            <w:r w:rsidRPr="0059240B">
              <w:rPr>
                <w:rFonts w:cs="Calibri"/>
                <w:color w:val="000000"/>
                <w:sz w:val="24"/>
                <w:szCs w:val="24"/>
              </w:rPr>
              <w:t>68</w:t>
            </w:r>
          </w:p>
        </w:tc>
        <w:tc>
          <w:tcPr>
            <w:tcW w:w="2877" w:type="dxa"/>
            <w:shd w:val="clear" w:color="auto" w:fill="FFFF00"/>
            <w:noWrap/>
            <w:hideMark/>
          </w:tcPr>
          <w:p w14:paraId="7E01C76F" w14:textId="77777777" w:rsidR="005F2152" w:rsidRPr="0059240B" w:rsidRDefault="005F2152" w:rsidP="005F2152">
            <w:pPr>
              <w:jc w:val="center"/>
              <w:rPr>
                <w:rFonts w:cs="Calibri"/>
                <w:color w:val="000000"/>
                <w:sz w:val="24"/>
                <w:szCs w:val="24"/>
              </w:rPr>
            </w:pPr>
            <w:r w:rsidRPr="0059240B">
              <w:rPr>
                <w:rFonts w:cs="Calibri"/>
                <w:color w:val="000000"/>
                <w:sz w:val="24"/>
                <w:szCs w:val="24"/>
              </w:rPr>
              <w:t>84.5%</w:t>
            </w:r>
          </w:p>
        </w:tc>
        <w:tc>
          <w:tcPr>
            <w:tcW w:w="2877" w:type="dxa"/>
            <w:shd w:val="clear" w:color="auto" w:fill="FFFF00"/>
            <w:noWrap/>
            <w:hideMark/>
          </w:tcPr>
          <w:p w14:paraId="254CE2D0" w14:textId="77777777" w:rsidR="005F2152" w:rsidRPr="0059240B" w:rsidRDefault="005F2152" w:rsidP="005F2152">
            <w:pPr>
              <w:jc w:val="center"/>
              <w:rPr>
                <w:rFonts w:cs="Calibri"/>
                <w:color w:val="000000"/>
                <w:sz w:val="24"/>
                <w:szCs w:val="24"/>
              </w:rPr>
            </w:pPr>
            <w:r w:rsidRPr="0059240B">
              <w:rPr>
                <w:rFonts w:cs="Calibri"/>
                <w:color w:val="000000"/>
                <w:sz w:val="24"/>
                <w:szCs w:val="24"/>
              </w:rPr>
              <w:t>106.0%</w:t>
            </w:r>
          </w:p>
        </w:tc>
      </w:tr>
      <w:tr w:rsidR="005F2152" w:rsidRPr="0059240B" w14:paraId="2BA59F5E" w14:textId="77777777" w:rsidTr="005F2152">
        <w:trPr>
          <w:trHeight w:val="252"/>
        </w:trPr>
        <w:tc>
          <w:tcPr>
            <w:tcW w:w="2876" w:type="dxa"/>
            <w:shd w:val="clear" w:color="auto" w:fill="FFFF00"/>
            <w:noWrap/>
            <w:hideMark/>
          </w:tcPr>
          <w:p w14:paraId="2BFB9082" w14:textId="77777777" w:rsidR="005F2152" w:rsidRPr="0059240B" w:rsidRDefault="005F2152" w:rsidP="005F2152">
            <w:pPr>
              <w:jc w:val="center"/>
              <w:rPr>
                <w:rFonts w:cs="Calibri"/>
                <w:color w:val="000000"/>
                <w:sz w:val="24"/>
                <w:szCs w:val="24"/>
              </w:rPr>
            </w:pPr>
            <w:r w:rsidRPr="0059240B">
              <w:rPr>
                <w:rFonts w:cs="Calibri"/>
                <w:color w:val="000000"/>
                <w:sz w:val="24"/>
                <w:szCs w:val="24"/>
              </w:rPr>
              <w:t>69</w:t>
            </w:r>
          </w:p>
        </w:tc>
        <w:tc>
          <w:tcPr>
            <w:tcW w:w="2877" w:type="dxa"/>
            <w:shd w:val="clear" w:color="auto" w:fill="FFFF00"/>
            <w:noWrap/>
            <w:hideMark/>
          </w:tcPr>
          <w:p w14:paraId="6CE38A3D" w14:textId="77777777" w:rsidR="005F2152" w:rsidRPr="0059240B" w:rsidRDefault="005F2152" w:rsidP="005F2152">
            <w:pPr>
              <w:jc w:val="center"/>
              <w:rPr>
                <w:rFonts w:cs="Calibri"/>
                <w:color w:val="000000"/>
                <w:sz w:val="24"/>
                <w:szCs w:val="24"/>
              </w:rPr>
            </w:pPr>
            <w:r w:rsidRPr="0059240B">
              <w:rPr>
                <w:rFonts w:cs="Calibri"/>
                <w:color w:val="000000"/>
                <w:sz w:val="24"/>
                <w:szCs w:val="24"/>
              </w:rPr>
              <w:t>86.0%</w:t>
            </w:r>
          </w:p>
        </w:tc>
        <w:tc>
          <w:tcPr>
            <w:tcW w:w="2877" w:type="dxa"/>
            <w:shd w:val="clear" w:color="auto" w:fill="FFFF00"/>
            <w:noWrap/>
            <w:hideMark/>
          </w:tcPr>
          <w:p w14:paraId="703B3D25" w14:textId="77777777" w:rsidR="005F2152" w:rsidRPr="0059240B" w:rsidRDefault="005F2152" w:rsidP="005F2152">
            <w:pPr>
              <w:jc w:val="center"/>
              <w:rPr>
                <w:rFonts w:cs="Calibri"/>
                <w:color w:val="000000"/>
                <w:sz w:val="24"/>
                <w:szCs w:val="24"/>
              </w:rPr>
            </w:pPr>
            <w:r w:rsidRPr="0059240B">
              <w:rPr>
                <w:rFonts w:cs="Calibri"/>
                <w:color w:val="000000"/>
                <w:sz w:val="24"/>
                <w:szCs w:val="24"/>
              </w:rPr>
              <w:t>108.0%</w:t>
            </w:r>
          </w:p>
        </w:tc>
      </w:tr>
      <w:tr w:rsidR="005F2152" w:rsidRPr="0059240B" w14:paraId="76488FCF" w14:textId="77777777" w:rsidTr="005F2152">
        <w:trPr>
          <w:trHeight w:val="252"/>
        </w:trPr>
        <w:tc>
          <w:tcPr>
            <w:tcW w:w="2876" w:type="dxa"/>
            <w:shd w:val="clear" w:color="auto" w:fill="FFFF00"/>
            <w:noWrap/>
            <w:hideMark/>
          </w:tcPr>
          <w:p w14:paraId="0BDF946C" w14:textId="77777777" w:rsidR="005F2152" w:rsidRPr="0059240B" w:rsidRDefault="005F2152" w:rsidP="005F2152">
            <w:pPr>
              <w:jc w:val="center"/>
              <w:rPr>
                <w:rFonts w:cs="Calibri"/>
                <w:color w:val="000000"/>
                <w:sz w:val="24"/>
                <w:szCs w:val="24"/>
              </w:rPr>
            </w:pPr>
            <w:r w:rsidRPr="0059240B">
              <w:rPr>
                <w:rFonts w:cs="Calibri"/>
                <w:color w:val="000000"/>
                <w:sz w:val="24"/>
                <w:szCs w:val="24"/>
              </w:rPr>
              <w:t>70</w:t>
            </w:r>
          </w:p>
        </w:tc>
        <w:tc>
          <w:tcPr>
            <w:tcW w:w="2877" w:type="dxa"/>
            <w:shd w:val="clear" w:color="auto" w:fill="FFFF00"/>
            <w:noWrap/>
            <w:hideMark/>
          </w:tcPr>
          <w:p w14:paraId="1B4D9A59" w14:textId="77777777" w:rsidR="005F2152" w:rsidRPr="0059240B" w:rsidRDefault="005F2152" w:rsidP="005F2152">
            <w:pPr>
              <w:jc w:val="center"/>
              <w:rPr>
                <w:rFonts w:cs="Calibri"/>
                <w:color w:val="000000"/>
                <w:sz w:val="24"/>
                <w:szCs w:val="24"/>
              </w:rPr>
            </w:pPr>
            <w:r w:rsidRPr="0059240B">
              <w:rPr>
                <w:rFonts w:cs="Calibri"/>
                <w:color w:val="000000"/>
                <w:sz w:val="24"/>
                <w:szCs w:val="24"/>
              </w:rPr>
              <w:t>87.5%</w:t>
            </w:r>
          </w:p>
        </w:tc>
        <w:tc>
          <w:tcPr>
            <w:tcW w:w="2877" w:type="dxa"/>
            <w:shd w:val="clear" w:color="auto" w:fill="FFFF00"/>
            <w:noWrap/>
            <w:hideMark/>
          </w:tcPr>
          <w:p w14:paraId="0B271B22"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2C50C06D" w14:textId="77777777" w:rsidTr="005F2152">
        <w:trPr>
          <w:trHeight w:val="252"/>
        </w:trPr>
        <w:tc>
          <w:tcPr>
            <w:tcW w:w="2876" w:type="dxa"/>
            <w:shd w:val="clear" w:color="auto" w:fill="FFFF00"/>
            <w:noWrap/>
            <w:hideMark/>
          </w:tcPr>
          <w:p w14:paraId="58C1FBB2" w14:textId="77777777" w:rsidR="005F2152" w:rsidRPr="0059240B" w:rsidRDefault="005F2152" w:rsidP="005F2152">
            <w:pPr>
              <w:jc w:val="center"/>
              <w:rPr>
                <w:rFonts w:cs="Calibri"/>
                <w:color w:val="000000"/>
                <w:sz w:val="24"/>
                <w:szCs w:val="24"/>
              </w:rPr>
            </w:pPr>
            <w:r w:rsidRPr="0059240B">
              <w:rPr>
                <w:rFonts w:cs="Calibri"/>
                <w:color w:val="000000"/>
                <w:sz w:val="24"/>
                <w:szCs w:val="24"/>
              </w:rPr>
              <w:t>71</w:t>
            </w:r>
          </w:p>
        </w:tc>
        <w:tc>
          <w:tcPr>
            <w:tcW w:w="2877" w:type="dxa"/>
            <w:shd w:val="clear" w:color="auto" w:fill="FFFF00"/>
            <w:noWrap/>
            <w:hideMark/>
          </w:tcPr>
          <w:p w14:paraId="24E1D37A" w14:textId="77777777" w:rsidR="005F2152" w:rsidRPr="0059240B" w:rsidRDefault="005F2152" w:rsidP="005F2152">
            <w:pPr>
              <w:jc w:val="center"/>
              <w:rPr>
                <w:rFonts w:cs="Calibri"/>
                <w:color w:val="000000"/>
                <w:sz w:val="24"/>
                <w:szCs w:val="24"/>
              </w:rPr>
            </w:pPr>
            <w:r w:rsidRPr="0059240B">
              <w:rPr>
                <w:rFonts w:cs="Calibri"/>
                <w:color w:val="000000"/>
                <w:sz w:val="24"/>
                <w:szCs w:val="24"/>
              </w:rPr>
              <w:t>89.0%</w:t>
            </w:r>
          </w:p>
        </w:tc>
        <w:tc>
          <w:tcPr>
            <w:tcW w:w="2877" w:type="dxa"/>
            <w:shd w:val="clear" w:color="auto" w:fill="FFFF00"/>
            <w:noWrap/>
            <w:hideMark/>
          </w:tcPr>
          <w:p w14:paraId="067AB3CF" w14:textId="77777777" w:rsidR="005F2152" w:rsidRPr="0059240B" w:rsidRDefault="005F2152" w:rsidP="005F2152">
            <w:pPr>
              <w:jc w:val="center"/>
              <w:rPr>
                <w:rFonts w:cs="Calibri"/>
                <w:color w:val="000000"/>
                <w:sz w:val="24"/>
                <w:szCs w:val="24"/>
              </w:rPr>
            </w:pPr>
            <w:r w:rsidRPr="0059240B">
              <w:rPr>
                <w:rFonts w:cs="Calibri"/>
                <w:color w:val="000000"/>
                <w:sz w:val="24"/>
                <w:szCs w:val="24"/>
              </w:rPr>
              <w:t>112.0%</w:t>
            </w:r>
          </w:p>
        </w:tc>
      </w:tr>
      <w:tr w:rsidR="005F2152" w:rsidRPr="0059240B" w14:paraId="11C7CFC7" w14:textId="77777777" w:rsidTr="005F2152">
        <w:trPr>
          <w:trHeight w:val="252"/>
        </w:trPr>
        <w:tc>
          <w:tcPr>
            <w:tcW w:w="2876" w:type="dxa"/>
            <w:shd w:val="clear" w:color="auto" w:fill="FFFF00"/>
            <w:noWrap/>
            <w:hideMark/>
          </w:tcPr>
          <w:p w14:paraId="30F2E03A" w14:textId="77777777" w:rsidR="005F2152" w:rsidRPr="0059240B" w:rsidRDefault="005F2152" w:rsidP="005F2152">
            <w:pPr>
              <w:jc w:val="center"/>
              <w:rPr>
                <w:rFonts w:cs="Calibri"/>
                <w:color w:val="000000"/>
                <w:sz w:val="24"/>
                <w:szCs w:val="24"/>
              </w:rPr>
            </w:pPr>
            <w:r w:rsidRPr="0059240B">
              <w:rPr>
                <w:rFonts w:cs="Calibri"/>
                <w:color w:val="000000"/>
                <w:sz w:val="24"/>
                <w:szCs w:val="24"/>
              </w:rPr>
              <w:t>72</w:t>
            </w:r>
          </w:p>
        </w:tc>
        <w:tc>
          <w:tcPr>
            <w:tcW w:w="2877" w:type="dxa"/>
            <w:shd w:val="clear" w:color="auto" w:fill="FFFF00"/>
            <w:noWrap/>
            <w:hideMark/>
          </w:tcPr>
          <w:p w14:paraId="7090E79C" w14:textId="77777777" w:rsidR="005F2152" w:rsidRPr="0059240B" w:rsidRDefault="005F2152" w:rsidP="005F2152">
            <w:pPr>
              <w:jc w:val="center"/>
              <w:rPr>
                <w:rFonts w:cs="Calibri"/>
                <w:color w:val="000000"/>
                <w:sz w:val="24"/>
                <w:szCs w:val="24"/>
              </w:rPr>
            </w:pPr>
            <w:r w:rsidRPr="0059240B">
              <w:rPr>
                <w:rFonts w:cs="Calibri"/>
                <w:color w:val="000000"/>
                <w:sz w:val="24"/>
                <w:szCs w:val="24"/>
              </w:rPr>
              <w:t>90.5%</w:t>
            </w:r>
          </w:p>
        </w:tc>
        <w:tc>
          <w:tcPr>
            <w:tcW w:w="2877" w:type="dxa"/>
            <w:shd w:val="clear" w:color="auto" w:fill="FFFF00"/>
            <w:noWrap/>
            <w:hideMark/>
          </w:tcPr>
          <w:p w14:paraId="02124403" w14:textId="77777777" w:rsidR="005F2152" w:rsidRPr="0059240B" w:rsidRDefault="005F2152" w:rsidP="005F2152">
            <w:pPr>
              <w:jc w:val="center"/>
              <w:rPr>
                <w:rFonts w:cs="Calibri"/>
                <w:color w:val="000000"/>
                <w:sz w:val="24"/>
                <w:szCs w:val="24"/>
              </w:rPr>
            </w:pPr>
            <w:r w:rsidRPr="0059240B">
              <w:rPr>
                <w:rFonts w:cs="Calibri"/>
                <w:color w:val="000000"/>
                <w:sz w:val="24"/>
                <w:szCs w:val="24"/>
              </w:rPr>
              <w:t>114.0%</w:t>
            </w:r>
          </w:p>
        </w:tc>
      </w:tr>
      <w:tr w:rsidR="005F2152" w:rsidRPr="0059240B" w14:paraId="4405ED60" w14:textId="77777777" w:rsidTr="005F2152">
        <w:trPr>
          <w:trHeight w:val="252"/>
        </w:trPr>
        <w:tc>
          <w:tcPr>
            <w:tcW w:w="2876" w:type="dxa"/>
            <w:shd w:val="clear" w:color="auto" w:fill="FFFF00"/>
            <w:noWrap/>
            <w:hideMark/>
          </w:tcPr>
          <w:p w14:paraId="397AD0F9" w14:textId="77777777" w:rsidR="005F2152" w:rsidRPr="0059240B" w:rsidRDefault="005F2152" w:rsidP="005F2152">
            <w:pPr>
              <w:jc w:val="center"/>
              <w:rPr>
                <w:rFonts w:cs="Calibri"/>
                <w:color w:val="000000"/>
                <w:sz w:val="24"/>
                <w:szCs w:val="24"/>
              </w:rPr>
            </w:pPr>
            <w:r w:rsidRPr="0059240B">
              <w:rPr>
                <w:rFonts w:cs="Calibri"/>
                <w:color w:val="000000"/>
                <w:sz w:val="24"/>
                <w:szCs w:val="24"/>
              </w:rPr>
              <w:t>73</w:t>
            </w:r>
          </w:p>
        </w:tc>
        <w:tc>
          <w:tcPr>
            <w:tcW w:w="2877" w:type="dxa"/>
            <w:shd w:val="clear" w:color="auto" w:fill="FFFF00"/>
            <w:noWrap/>
            <w:hideMark/>
          </w:tcPr>
          <w:p w14:paraId="37AFBC78" w14:textId="77777777" w:rsidR="005F2152" w:rsidRPr="0059240B" w:rsidRDefault="005F2152" w:rsidP="005F2152">
            <w:pPr>
              <w:jc w:val="center"/>
              <w:rPr>
                <w:rFonts w:cs="Calibri"/>
                <w:color w:val="000000"/>
                <w:sz w:val="24"/>
                <w:szCs w:val="24"/>
              </w:rPr>
            </w:pPr>
            <w:r w:rsidRPr="0059240B">
              <w:rPr>
                <w:rFonts w:cs="Calibri"/>
                <w:color w:val="000000"/>
                <w:sz w:val="24"/>
                <w:szCs w:val="24"/>
              </w:rPr>
              <w:t>92.0%</w:t>
            </w:r>
          </w:p>
        </w:tc>
        <w:tc>
          <w:tcPr>
            <w:tcW w:w="2877" w:type="dxa"/>
            <w:shd w:val="clear" w:color="auto" w:fill="FFFF00"/>
            <w:noWrap/>
            <w:hideMark/>
          </w:tcPr>
          <w:p w14:paraId="6BDE2387" w14:textId="77777777" w:rsidR="005F2152" w:rsidRPr="0059240B" w:rsidRDefault="005F2152" w:rsidP="005F2152">
            <w:pPr>
              <w:jc w:val="center"/>
              <w:rPr>
                <w:rFonts w:cs="Calibri"/>
                <w:color w:val="000000"/>
                <w:sz w:val="24"/>
                <w:szCs w:val="24"/>
              </w:rPr>
            </w:pPr>
            <w:r w:rsidRPr="0059240B">
              <w:rPr>
                <w:rFonts w:cs="Calibri"/>
                <w:color w:val="000000"/>
                <w:sz w:val="24"/>
                <w:szCs w:val="24"/>
              </w:rPr>
              <w:t>116.0%</w:t>
            </w:r>
          </w:p>
        </w:tc>
      </w:tr>
      <w:tr w:rsidR="005F2152" w:rsidRPr="0059240B" w14:paraId="34C85E8E" w14:textId="77777777" w:rsidTr="005F2152">
        <w:trPr>
          <w:trHeight w:val="252"/>
        </w:trPr>
        <w:tc>
          <w:tcPr>
            <w:tcW w:w="2876" w:type="dxa"/>
            <w:shd w:val="clear" w:color="auto" w:fill="FFFF00"/>
            <w:noWrap/>
            <w:hideMark/>
          </w:tcPr>
          <w:p w14:paraId="3270551E" w14:textId="77777777" w:rsidR="005F2152" w:rsidRPr="0059240B" w:rsidRDefault="005F2152" w:rsidP="005F2152">
            <w:pPr>
              <w:jc w:val="center"/>
              <w:rPr>
                <w:rFonts w:cs="Calibri"/>
                <w:color w:val="000000"/>
                <w:sz w:val="24"/>
                <w:szCs w:val="24"/>
              </w:rPr>
            </w:pPr>
            <w:r w:rsidRPr="0059240B">
              <w:rPr>
                <w:rFonts w:cs="Calibri"/>
                <w:color w:val="000000"/>
                <w:sz w:val="24"/>
                <w:szCs w:val="24"/>
              </w:rPr>
              <w:t>74</w:t>
            </w:r>
          </w:p>
        </w:tc>
        <w:tc>
          <w:tcPr>
            <w:tcW w:w="2877" w:type="dxa"/>
            <w:shd w:val="clear" w:color="auto" w:fill="FFFF00"/>
            <w:noWrap/>
            <w:hideMark/>
          </w:tcPr>
          <w:p w14:paraId="1A7E2031" w14:textId="77777777" w:rsidR="005F2152" w:rsidRPr="0059240B" w:rsidRDefault="005F2152" w:rsidP="005F2152">
            <w:pPr>
              <w:jc w:val="center"/>
              <w:rPr>
                <w:rFonts w:cs="Calibri"/>
                <w:color w:val="000000"/>
                <w:sz w:val="24"/>
                <w:szCs w:val="24"/>
              </w:rPr>
            </w:pPr>
            <w:r w:rsidRPr="0059240B">
              <w:rPr>
                <w:rFonts w:cs="Calibri"/>
                <w:color w:val="000000"/>
                <w:sz w:val="24"/>
                <w:szCs w:val="24"/>
              </w:rPr>
              <w:t>93.5%</w:t>
            </w:r>
          </w:p>
        </w:tc>
        <w:tc>
          <w:tcPr>
            <w:tcW w:w="2877" w:type="dxa"/>
            <w:shd w:val="clear" w:color="auto" w:fill="FFFF00"/>
            <w:noWrap/>
            <w:hideMark/>
          </w:tcPr>
          <w:p w14:paraId="73A5A56E" w14:textId="77777777" w:rsidR="005F2152" w:rsidRPr="0059240B" w:rsidRDefault="005F2152" w:rsidP="005F2152">
            <w:pPr>
              <w:jc w:val="center"/>
              <w:rPr>
                <w:rFonts w:cs="Calibri"/>
                <w:color w:val="000000"/>
                <w:sz w:val="24"/>
                <w:szCs w:val="24"/>
              </w:rPr>
            </w:pPr>
            <w:r w:rsidRPr="0059240B">
              <w:rPr>
                <w:rFonts w:cs="Calibri"/>
                <w:color w:val="000000"/>
                <w:sz w:val="24"/>
                <w:szCs w:val="24"/>
              </w:rPr>
              <w:t>118.0%</w:t>
            </w:r>
          </w:p>
        </w:tc>
      </w:tr>
      <w:tr w:rsidR="005F2152" w:rsidRPr="0059240B" w14:paraId="799D4708" w14:textId="77777777" w:rsidTr="005F2152">
        <w:trPr>
          <w:trHeight w:val="252"/>
        </w:trPr>
        <w:tc>
          <w:tcPr>
            <w:tcW w:w="2876" w:type="dxa"/>
            <w:shd w:val="clear" w:color="auto" w:fill="FFFF00"/>
            <w:noWrap/>
            <w:hideMark/>
          </w:tcPr>
          <w:p w14:paraId="05E02F27" w14:textId="77777777" w:rsidR="005F2152" w:rsidRPr="0059240B" w:rsidRDefault="005F2152" w:rsidP="005F2152">
            <w:pPr>
              <w:jc w:val="center"/>
              <w:rPr>
                <w:rFonts w:cs="Calibri"/>
                <w:color w:val="000000"/>
                <w:sz w:val="24"/>
                <w:szCs w:val="24"/>
              </w:rPr>
            </w:pPr>
            <w:r w:rsidRPr="0059240B">
              <w:rPr>
                <w:rFonts w:cs="Calibri"/>
                <w:color w:val="000000"/>
                <w:sz w:val="24"/>
                <w:szCs w:val="24"/>
              </w:rPr>
              <w:t>75</w:t>
            </w:r>
          </w:p>
        </w:tc>
        <w:tc>
          <w:tcPr>
            <w:tcW w:w="2877" w:type="dxa"/>
            <w:shd w:val="clear" w:color="auto" w:fill="FFFF00"/>
            <w:noWrap/>
            <w:hideMark/>
          </w:tcPr>
          <w:p w14:paraId="047D9C2D" w14:textId="77777777" w:rsidR="005F2152" w:rsidRPr="0059240B" w:rsidRDefault="005F2152" w:rsidP="005F2152">
            <w:pPr>
              <w:jc w:val="center"/>
              <w:rPr>
                <w:rFonts w:cs="Calibri"/>
                <w:color w:val="FF0000"/>
                <w:sz w:val="24"/>
                <w:szCs w:val="24"/>
              </w:rPr>
            </w:pPr>
            <w:r w:rsidRPr="0059240B">
              <w:rPr>
                <w:rFonts w:cs="Calibri"/>
                <w:color w:val="FF0000"/>
                <w:sz w:val="24"/>
                <w:szCs w:val="24"/>
              </w:rPr>
              <w:t>95.0%</w:t>
            </w:r>
          </w:p>
        </w:tc>
        <w:tc>
          <w:tcPr>
            <w:tcW w:w="2877" w:type="dxa"/>
            <w:shd w:val="clear" w:color="auto" w:fill="FFFF00"/>
            <w:noWrap/>
            <w:hideMark/>
          </w:tcPr>
          <w:p w14:paraId="61DD15E1" w14:textId="77777777" w:rsidR="005F2152" w:rsidRPr="0059240B" w:rsidRDefault="005F2152" w:rsidP="005F2152">
            <w:pPr>
              <w:jc w:val="center"/>
              <w:rPr>
                <w:rFonts w:cs="Calibri"/>
                <w:color w:val="FF0000"/>
                <w:sz w:val="24"/>
                <w:szCs w:val="24"/>
              </w:rPr>
            </w:pPr>
            <w:r w:rsidRPr="0059240B">
              <w:rPr>
                <w:rFonts w:cs="Calibri"/>
                <w:color w:val="FF0000"/>
                <w:sz w:val="24"/>
                <w:szCs w:val="24"/>
              </w:rPr>
              <w:t>120.0%</w:t>
            </w:r>
          </w:p>
        </w:tc>
      </w:tr>
      <w:tr w:rsidR="005F2152" w:rsidRPr="0059240B" w14:paraId="25503B28" w14:textId="77777777" w:rsidTr="005F2152">
        <w:trPr>
          <w:trHeight w:val="252"/>
        </w:trPr>
        <w:tc>
          <w:tcPr>
            <w:tcW w:w="2876" w:type="dxa"/>
            <w:shd w:val="clear" w:color="auto" w:fill="FFFF00"/>
            <w:noWrap/>
            <w:hideMark/>
          </w:tcPr>
          <w:p w14:paraId="21BAE622" w14:textId="77777777" w:rsidR="005F2152" w:rsidRPr="0059240B" w:rsidRDefault="005F2152" w:rsidP="005F2152">
            <w:pPr>
              <w:jc w:val="center"/>
              <w:rPr>
                <w:rFonts w:cs="Calibri"/>
                <w:color w:val="000000"/>
                <w:sz w:val="24"/>
                <w:szCs w:val="24"/>
              </w:rPr>
            </w:pPr>
            <w:r w:rsidRPr="0059240B">
              <w:rPr>
                <w:rFonts w:cs="Calibri"/>
                <w:color w:val="000000"/>
                <w:sz w:val="24"/>
                <w:szCs w:val="24"/>
              </w:rPr>
              <w:t>76</w:t>
            </w:r>
          </w:p>
        </w:tc>
        <w:tc>
          <w:tcPr>
            <w:tcW w:w="2877" w:type="dxa"/>
            <w:shd w:val="clear" w:color="auto" w:fill="FFFF00"/>
            <w:noWrap/>
            <w:hideMark/>
          </w:tcPr>
          <w:p w14:paraId="1A1B734E" w14:textId="77777777" w:rsidR="005F2152" w:rsidRPr="0059240B" w:rsidRDefault="005F2152" w:rsidP="005F2152">
            <w:pPr>
              <w:jc w:val="center"/>
              <w:rPr>
                <w:rFonts w:cs="Calibri"/>
                <w:color w:val="000000"/>
                <w:sz w:val="24"/>
                <w:szCs w:val="24"/>
              </w:rPr>
            </w:pPr>
            <w:r w:rsidRPr="0059240B">
              <w:rPr>
                <w:rFonts w:cs="Calibri"/>
                <w:color w:val="000000"/>
                <w:sz w:val="24"/>
                <w:szCs w:val="24"/>
              </w:rPr>
              <w:t>96.5%</w:t>
            </w:r>
          </w:p>
        </w:tc>
        <w:tc>
          <w:tcPr>
            <w:tcW w:w="2877" w:type="dxa"/>
            <w:shd w:val="clear" w:color="auto" w:fill="FFFF00"/>
            <w:noWrap/>
            <w:hideMark/>
          </w:tcPr>
          <w:p w14:paraId="2A233FB8" w14:textId="77777777" w:rsidR="005F2152" w:rsidRPr="0059240B" w:rsidRDefault="005F2152" w:rsidP="005F2152">
            <w:pPr>
              <w:jc w:val="center"/>
              <w:rPr>
                <w:rFonts w:cs="Calibri"/>
                <w:color w:val="000000"/>
                <w:sz w:val="24"/>
                <w:szCs w:val="24"/>
              </w:rPr>
            </w:pPr>
            <w:r w:rsidRPr="0059240B">
              <w:rPr>
                <w:rFonts w:cs="Calibri"/>
                <w:color w:val="000000"/>
                <w:sz w:val="24"/>
                <w:szCs w:val="24"/>
              </w:rPr>
              <w:t>119.0%</w:t>
            </w:r>
          </w:p>
        </w:tc>
      </w:tr>
      <w:tr w:rsidR="005F2152" w:rsidRPr="0059240B" w14:paraId="042E4278" w14:textId="77777777" w:rsidTr="005F2152">
        <w:trPr>
          <w:trHeight w:val="252"/>
        </w:trPr>
        <w:tc>
          <w:tcPr>
            <w:tcW w:w="2876" w:type="dxa"/>
            <w:shd w:val="clear" w:color="auto" w:fill="FFFF00"/>
            <w:noWrap/>
            <w:hideMark/>
          </w:tcPr>
          <w:p w14:paraId="11FA21AF" w14:textId="77777777" w:rsidR="005F2152" w:rsidRPr="0059240B" w:rsidRDefault="005F2152" w:rsidP="005F2152">
            <w:pPr>
              <w:jc w:val="center"/>
              <w:rPr>
                <w:rFonts w:cs="Calibri"/>
                <w:color w:val="000000"/>
                <w:sz w:val="24"/>
                <w:szCs w:val="24"/>
              </w:rPr>
            </w:pPr>
            <w:r w:rsidRPr="0059240B">
              <w:rPr>
                <w:rFonts w:cs="Calibri"/>
                <w:color w:val="000000"/>
                <w:sz w:val="24"/>
                <w:szCs w:val="24"/>
              </w:rPr>
              <w:t>77</w:t>
            </w:r>
          </w:p>
        </w:tc>
        <w:tc>
          <w:tcPr>
            <w:tcW w:w="2877" w:type="dxa"/>
            <w:shd w:val="clear" w:color="auto" w:fill="FFFF00"/>
            <w:noWrap/>
            <w:hideMark/>
          </w:tcPr>
          <w:p w14:paraId="43EAFA3C" w14:textId="77777777" w:rsidR="005F2152" w:rsidRPr="0059240B" w:rsidRDefault="005F2152" w:rsidP="005F2152">
            <w:pPr>
              <w:jc w:val="center"/>
              <w:rPr>
                <w:rFonts w:cs="Calibri"/>
                <w:color w:val="000000"/>
                <w:sz w:val="24"/>
                <w:szCs w:val="24"/>
              </w:rPr>
            </w:pPr>
            <w:r w:rsidRPr="0059240B">
              <w:rPr>
                <w:rFonts w:cs="Calibri"/>
                <w:color w:val="000000"/>
                <w:sz w:val="24"/>
                <w:szCs w:val="24"/>
              </w:rPr>
              <w:t>98.0%</w:t>
            </w:r>
          </w:p>
        </w:tc>
        <w:tc>
          <w:tcPr>
            <w:tcW w:w="2877" w:type="dxa"/>
            <w:shd w:val="clear" w:color="auto" w:fill="FFFF00"/>
            <w:noWrap/>
            <w:hideMark/>
          </w:tcPr>
          <w:p w14:paraId="288EAA76" w14:textId="77777777" w:rsidR="005F2152" w:rsidRPr="0059240B" w:rsidRDefault="005F2152" w:rsidP="005F2152">
            <w:pPr>
              <w:jc w:val="center"/>
              <w:rPr>
                <w:rFonts w:cs="Calibri"/>
                <w:color w:val="000000"/>
                <w:sz w:val="24"/>
                <w:szCs w:val="24"/>
              </w:rPr>
            </w:pPr>
            <w:r w:rsidRPr="0059240B">
              <w:rPr>
                <w:rFonts w:cs="Calibri"/>
                <w:color w:val="000000"/>
                <w:sz w:val="24"/>
                <w:szCs w:val="24"/>
              </w:rPr>
              <w:t>118.0%</w:t>
            </w:r>
          </w:p>
        </w:tc>
      </w:tr>
      <w:tr w:rsidR="005F2152" w:rsidRPr="0059240B" w14:paraId="7A3474BF" w14:textId="77777777" w:rsidTr="005F2152">
        <w:trPr>
          <w:trHeight w:val="252"/>
        </w:trPr>
        <w:tc>
          <w:tcPr>
            <w:tcW w:w="2876" w:type="dxa"/>
            <w:shd w:val="clear" w:color="auto" w:fill="FFFF00"/>
            <w:noWrap/>
            <w:hideMark/>
          </w:tcPr>
          <w:p w14:paraId="7DB8A1A6" w14:textId="77777777" w:rsidR="005F2152" w:rsidRPr="0059240B" w:rsidRDefault="005F2152" w:rsidP="005F2152">
            <w:pPr>
              <w:jc w:val="center"/>
              <w:rPr>
                <w:rFonts w:cs="Calibri"/>
                <w:color w:val="000000"/>
                <w:sz w:val="24"/>
                <w:szCs w:val="24"/>
              </w:rPr>
            </w:pPr>
            <w:r w:rsidRPr="0059240B">
              <w:rPr>
                <w:rFonts w:cs="Calibri"/>
                <w:color w:val="000000"/>
                <w:sz w:val="24"/>
                <w:szCs w:val="24"/>
              </w:rPr>
              <w:t>78</w:t>
            </w:r>
          </w:p>
        </w:tc>
        <w:tc>
          <w:tcPr>
            <w:tcW w:w="2877" w:type="dxa"/>
            <w:shd w:val="clear" w:color="auto" w:fill="FFFF00"/>
            <w:noWrap/>
            <w:hideMark/>
          </w:tcPr>
          <w:p w14:paraId="2F1E5604" w14:textId="77777777" w:rsidR="005F2152" w:rsidRPr="0059240B" w:rsidRDefault="005F2152" w:rsidP="005F2152">
            <w:pPr>
              <w:jc w:val="center"/>
              <w:rPr>
                <w:rFonts w:cs="Calibri"/>
                <w:color w:val="000000"/>
                <w:sz w:val="24"/>
                <w:szCs w:val="24"/>
              </w:rPr>
            </w:pPr>
            <w:r w:rsidRPr="0059240B">
              <w:rPr>
                <w:rFonts w:cs="Calibri"/>
                <w:color w:val="000000"/>
                <w:sz w:val="24"/>
                <w:szCs w:val="24"/>
              </w:rPr>
              <w:t>99.5%</w:t>
            </w:r>
          </w:p>
        </w:tc>
        <w:tc>
          <w:tcPr>
            <w:tcW w:w="2877" w:type="dxa"/>
            <w:shd w:val="clear" w:color="auto" w:fill="FFFF00"/>
            <w:noWrap/>
            <w:hideMark/>
          </w:tcPr>
          <w:p w14:paraId="39D6A2E8" w14:textId="77777777" w:rsidR="005F2152" w:rsidRPr="0059240B" w:rsidRDefault="005F2152" w:rsidP="005F2152">
            <w:pPr>
              <w:jc w:val="center"/>
              <w:rPr>
                <w:rFonts w:cs="Calibri"/>
                <w:color w:val="000000"/>
                <w:sz w:val="24"/>
                <w:szCs w:val="24"/>
              </w:rPr>
            </w:pPr>
            <w:r w:rsidRPr="0059240B">
              <w:rPr>
                <w:rFonts w:cs="Calibri"/>
                <w:color w:val="000000"/>
                <w:sz w:val="24"/>
                <w:szCs w:val="24"/>
              </w:rPr>
              <w:t>117.0%</w:t>
            </w:r>
          </w:p>
        </w:tc>
      </w:tr>
      <w:tr w:rsidR="005F2152" w:rsidRPr="0059240B" w14:paraId="40DF674B" w14:textId="77777777" w:rsidTr="005F2152">
        <w:trPr>
          <w:trHeight w:val="252"/>
        </w:trPr>
        <w:tc>
          <w:tcPr>
            <w:tcW w:w="2876" w:type="dxa"/>
            <w:shd w:val="clear" w:color="auto" w:fill="FFFF00"/>
            <w:noWrap/>
            <w:hideMark/>
          </w:tcPr>
          <w:p w14:paraId="496FB4C1" w14:textId="77777777" w:rsidR="005F2152" w:rsidRPr="0059240B" w:rsidRDefault="005F2152" w:rsidP="005F2152">
            <w:pPr>
              <w:jc w:val="center"/>
              <w:rPr>
                <w:rFonts w:cs="Calibri"/>
                <w:color w:val="000000"/>
                <w:sz w:val="24"/>
                <w:szCs w:val="24"/>
              </w:rPr>
            </w:pPr>
            <w:r w:rsidRPr="0059240B">
              <w:rPr>
                <w:rFonts w:cs="Calibri"/>
                <w:color w:val="000000"/>
                <w:sz w:val="24"/>
                <w:szCs w:val="24"/>
              </w:rPr>
              <w:t>79</w:t>
            </w:r>
          </w:p>
        </w:tc>
        <w:tc>
          <w:tcPr>
            <w:tcW w:w="2877" w:type="dxa"/>
            <w:shd w:val="clear" w:color="auto" w:fill="FFFF00"/>
            <w:noWrap/>
            <w:hideMark/>
          </w:tcPr>
          <w:p w14:paraId="5D762335" w14:textId="77777777" w:rsidR="005F2152" w:rsidRPr="0059240B" w:rsidRDefault="005F2152" w:rsidP="005F2152">
            <w:pPr>
              <w:jc w:val="center"/>
              <w:rPr>
                <w:rFonts w:cs="Calibri"/>
                <w:color w:val="000000"/>
                <w:sz w:val="24"/>
                <w:szCs w:val="24"/>
              </w:rPr>
            </w:pPr>
            <w:r w:rsidRPr="0059240B">
              <w:rPr>
                <w:rFonts w:cs="Calibri"/>
                <w:color w:val="000000"/>
                <w:sz w:val="24"/>
                <w:szCs w:val="24"/>
              </w:rPr>
              <w:t>101.0%</w:t>
            </w:r>
          </w:p>
        </w:tc>
        <w:tc>
          <w:tcPr>
            <w:tcW w:w="2877" w:type="dxa"/>
            <w:shd w:val="clear" w:color="auto" w:fill="FFFF00"/>
            <w:noWrap/>
            <w:hideMark/>
          </w:tcPr>
          <w:p w14:paraId="183192F4" w14:textId="77777777" w:rsidR="005F2152" w:rsidRPr="0059240B" w:rsidRDefault="005F2152" w:rsidP="005F2152">
            <w:pPr>
              <w:jc w:val="center"/>
              <w:rPr>
                <w:rFonts w:cs="Calibri"/>
                <w:color w:val="000000"/>
                <w:sz w:val="24"/>
                <w:szCs w:val="24"/>
              </w:rPr>
            </w:pPr>
            <w:r w:rsidRPr="0059240B">
              <w:rPr>
                <w:rFonts w:cs="Calibri"/>
                <w:color w:val="000000"/>
                <w:sz w:val="24"/>
                <w:szCs w:val="24"/>
              </w:rPr>
              <w:t>116.0%</w:t>
            </w:r>
          </w:p>
        </w:tc>
      </w:tr>
      <w:tr w:rsidR="005F2152" w:rsidRPr="0059240B" w14:paraId="44EBD32C" w14:textId="77777777" w:rsidTr="005F2152">
        <w:trPr>
          <w:trHeight w:val="252"/>
        </w:trPr>
        <w:tc>
          <w:tcPr>
            <w:tcW w:w="2876" w:type="dxa"/>
            <w:shd w:val="clear" w:color="auto" w:fill="FFFF00"/>
            <w:noWrap/>
            <w:hideMark/>
          </w:tcPr>
          <w:p w14:paraId="558A7B1E" w14:textId="77777777" w:rsidR="005F2152" w:rsidRPr="0059240B" w:rsidRDefault="005F2152" w:rsidP="005F2152">
            <w:pPr>
              <w:jc w:val="center"/>
              <w:rPr>
                <w:rFonts w:cs="Calibri"/>
                <w:color w:val="000000"/>
                <w:sz w:val="24"/>
                <w:szCs w:val="24"/>
              </w:rPr>
            </w:pPr>
            <w:r w:rsidRPr="0059240B">
              <w:rPr>
                <w:rFonts w:cs="Calibri"/>
                <w:color w:val="000000"/>
                <w:sz w:val="24"/>
                <w:szCs w:val="24"/>
              </w:rPr>
              <w:t>80</w:t>
            </w:r>
          </w:p>
        </w:tc>
        <w:tc>
          <w:tcPr>
            <w:tcW w:w="2877" w:type="dxa"/>
            <w:shd w:val="clear" w:color="auto" w:fill="FFFF00"/>
            <w:noWrap/>
            <w:hideMark/>
          </w:tcPr>
          <w:p w14:paraId="3CA203B1" w14:textId="77777777" w:rsidR="005F2152" w:rsidRPr="0059240B" w:rsidRDefault="005F2152" w:rsidP="005F2152">
            <w:pPr>
              <w:jc w:val="center"/>
              <w:rPr>
                <w:rFonts w:cs="Calibri"/>
                <w:color w:val="000000"/>
                <w:sz w:val="24"/>
                <w:szCs w:val="24"/>
              </w:rPr>
            </w:pPr>
            <w:r w:rsidRPr="0059240B">
              <w:rPr>
                <w:rFonts w:cs="Calibri"/>
                <w:color w:val="000000"/>
                <w:sz w:val="24"/>
                <w:szCs w:val="24"/>
              </w:rPr>
              <w:t>102.5%</w:t>
            </w:r>
          </w:p>
        </w:tc>
        <w:tc>
          <w:tcPr>
            <w:tcW w:w="2877" w:type="dxa"/>
            <w:shd w:val="clear" w:color="auto" w:fill="FFFF00"/>
            <w:noWrap/>
            <w:hideMark/>
          </w:tcPr>
          <w:p w14:paraId="2E747651" w14:textId="77777777" w:rsidR="005F2152" w:rsidRPr="0059240B" w:rsidRDefault="005F2152" w:rsidP="005F2152">
            <w:pPr>
              <w:jc w:val="center"/>
              <w:rPr>
                <w:rFonts w:cs="Calibri"/>
                <w:color w:val="000000"/>
                <w:sz w:val="24"/>
                <w:szCs w:val="24"/>
              </w:rPr>
            </w:pPr>
            <w:r w:rsidRPr="0059240B">
              <w:rPr>
                <w:rFonts w:cs="Calibri"/>
                <w:color w:val="000000"/>
                <w:sz w:val="24"/>
                <w:szCs w:val="24"/>
              </w:rPr>
              <w:t>115.0%</w:t>
            </w:r>
          </w:p>
        </w:tc>
      </w:tr>
      <w:tr w:rsidR="005F2152" w:rsidRPr="0059240B" w14:paraId="68BFD15C" w14:textId="77777777" w:rsidTr="005F2152">
        <w:trPr>
          <w:trHeight w:val="252"/>
        </w:trPr>
        <w:tc>
          <w:tcPr>
            <w:tcW w:w="2876" w:type="dxa"/>
            <w:shd w:val="clear" w:color="auto" w:fill="FFFF00"/>
            <w:noWrap/>
            <w:hideMark/>
          </w:tcPr>
          <w:p w14:paraId="26111F58" w14:textId="77777777" w:rsidR="005F2152" w:rsidRPr="0059240B" w:rsidRDefault="005F2152" w:rsidP="005F2152">
            <w:pPr>
              <w:jc w:val="center"/>
              <w:rPr>
                <w:rFonts w:cs="Calibri"/>
                <w:color w:val="000000"/>
                <w:sz w:val="24"/>
                <w:szCs w:val="24"/>
              </w:rPr>
            </w:pPr>
            <w:r w:rsidRPr="0059240B">
              <w:rPr>
                <w:rFonts w:cs="Calibri"/>
                <w:color w:val="000000"/>
                <w:sz w:val="24"/>
                <w:szCs w:val="24"/>
              </w:rPr>
              <w:t>81</w:t>
            </w:r>
          </w:p>
        </w:tc>
        <w:tc>
          <w:tcPr>
            <w:tcW w:w="2877" w:type="dxa"/>
            <w:shd w:val="clear" w:color="auto" w:fill="FFFF00"/>
            <w:noWrap/>
            <w:hideMark/>
          </w:tcPr>
          <w:p w14:paraId="79EC3D12" w14:textId="77777777" w:rsidR="005F2152" w:rsidRPr="0059240B" w:rsidRDefault="005F2152" w:rsidP="005F2152">
            <w:pPr>
              <w:jc w:val="center"/>
              <w:rPr>
                <w:rFonts w:cs="Calibri"/>
                <w:color w:val="000000"/>
                <w:sz w:val="24"/>
                <w:szCs w:val="24"/>
              </w:rPr>
            </w:pPr>
            <w:r w:rsidRPr="0059240B">
              <w:rPr>
                <w:rFonts w:cs="Calibri"/>
                <w:color w:val="000000"/>
                <w:sz w:val="24"/>
                <w:szCs w:val="24"/>
              </w:rPr>
              <w:t>104.0%</w:t>
            </w:r>
          </w:p>
        </w:tc>
        <w:tc>
          <w:tcPr>
            <w:tcW w:w="2877" w:type="dxa"/>
            <w:shd w:val="clear" w:color="auto" w:fill="FFFF00"/>
            <w:noWrap/>
            <w:hideMark/>
          </w:tcPr>
          <w:p w14:paraId="76EFCE07" w14:textId="77777777" w:rsidR="005F2152" w:rsidRPr="0059240B" w:rsidRDefault="005F2152" w:rsidP="005F2152">
            <w:pPr>
              <w:jc w:val="center"/>
              <w:rPr>
                <w:rFonts w:cs="Calibri"/>
                <w:color w:val="000000"/>
                <w:sz w:val="24"/>
                <w:szCs w:val="24"/>
              </w:rPr>
            </w:pPr>
            <w:r w:rsidRPr="0059240B">
              <w:rPr>
                <w:rFonts w:cs="Calibri"/>
                <w:color w:val="000000"/>
                <w:sz w:val="24"/>
                <w:szCs w:val="24"/>
              </w:rPr>
              <w:t>114.0%</w:t>
            </w:r>
          </w:p>
        </w:tc>
      </w:tr>
      <w:tr w:rsidR="005F2152" w:rsidRPr="0059240B" w14:paraId="7A206839" w14:textId="77777777" w:rsidTr="005F2152">
        <w:trPr>
          <w:trHeight w:val="252"/>
        </w:trPr>
        <w:tc>
          <w:tcPr>
            <w:tcW w:w="2876" w:type="dxa"/>
            <w:shd w:val="clear" w:color="auto" w:fill="FFFF00"/>
            <w:noWrap/>
            <w:hideMark/>
          </w:tcPr>
          <w:p w14:paraId="21CFA924" w14:textId="77777777" w:rsidR="005F2152" w:rsidRPr="0059240B" w:rsidRDefault="005F2152" w:rsidP="005F2152">
            <w:pPr>
              <w:jc w:val="center"/>
              <w:rPr>
                <w:rFonts w:cs="Calibri"/>
                <w:color w:val="000000"/>
                <w:sz w:val="24"/>
                <w:szCs w:val="24"/>
              </w:rPr>
            </w:pPr>
            <w:r w:rsidRPr="0059240B">
              <w:rPr>
                <w:rFonts w:cs="Calibri"/>
                <w:color w:val="000000"/>
                <w:sz w:val="24"/>
                <w:szCs w:val="24"/>
              </w:rPr>
              <w:t>82</w:t>
            </w:r>
          </w:p>
        </w:tc>
        <w:tc>
          <w:tcPr>
            <w:tcW w:w="2877" w:type="dxa"/>
            <w:shd w:val="clear" w:color="auto" w:fill="FFFF00"/>
            <w:noWrap/>
            <w:hideMark/>
          </w:tcPr>
          <w:p w14:paraId="36988114" w14:textId="77777777" w:rsidR="005F2152" w:rsidRPr="0059240B" w:rsidRDefault="005F2152" w:rsidP="005F2152">
            <w:pPr>
              <w:jc w:val="center"/>
              <w:rPr>
                <w:rFonts w:cs="Calibri"/>
                <w:color w:val="000000"/>
                <w:sz w:val="24"/>
                <w:szCs w:val="24"/>
              </w:rPr>
            </w:pPr>
            <w:r w:rsidRPr="0059240B">
              <w:rPr>
                <w:rFonts w:cs="Calibri"/>
                <w:color w:val="000000"/>
                <w:sz w:val="24"/>
                <w:szCs w:val="24"/>
              </w:rPr>
              <w:t>105.5%</w:t>
            </w:r>
          </w:p>
        </w:tc>
        <w:tc>
          <w:tcPr>
            <w:tcW w:w="2877" w:type="dxa"/>
            <w:shd w:val="clear" w:color="auto" w:fill="FFFF00"/>
            <w:noWrap/>
            <w:hideMark/>
          </w:tcPr>
          <w:p w14:paraId="139C9C2F" w14:textId="77777777" w:rsidR="005F2152" w:rsidRPr="0059240B" w:rsidRDefault="005F2152" w:rsidP="005F2152">
            <w:pPr>
              <w:jc w:val="center"/>
              <w:rPr>
                <w:rFonts w:cs="Calibri"/>
                <w:color w:val="000000"/>
                <w:sz w:val="24"/>
                <w:szCs w:val="24"/>
              </w:rPr>
            </w:pPr>
            <w:r w:rsidRPr="0059240B">
              <w:rPr>
                <w:rFonts w:cs="Calibri"/>
                <w:color w:val="000000"/>
                <w:sz w:val="24"/>
                <w:szCs w:val="24"/>
              </w:rPr>
              <w:t>113.0%</w:t>
            </w:r>
          </w:p>
        </w:tc>
      </w:tr>
      <w:tr w:rsidR="005F2152" w:rsidRPr="0059240B" w14:paraId="50965C43" w14:textId="77777777" w:rsidTr="005F2152">
        <w:trPr>
          <w:trHeight w:val="252"/>
        </w:trPr>
        <w:tc>
          <w:tcPr>
            <w:tcW w:w="2876" w:type="dxa"/>
            <w:shd w:val="clear" w:color="auto" w:fill="FFFF00"/>
            <w:noWrap/>
            <w:hideMark/>
          </w:tcPr>
          <w:p w14:paraId="484B58E7" w14:textId="77777777" w:rsidR="005F2152" w:rsidRPr="0059240B" w:rsidRDefault="005F2152" w:rsidP="005F2152">
            <w:pPr>
              <w:jc w:val="center"/>
              <w:rPr>
                <w:rFonts w:cs="Calibri"/>
                <w:color w:val="000000"/>
                <w:sz w:val="24"/>
                <w:szCs w:val="24"/>
              </w:rPr>
            </w:pPr>
            <w:r w:rsidRPr="0059240B">
              <w:rPr>
                <w:rFonts w:cs="Calibri"/>
                <w:color w:val="000000"/>
                <w:sz w:val="24"/>
                <w:szCs w:val="24"/>
              </w:rPr>
              <w:t>83</w:t>
            </w:r>
          </w:p>
        </w:tc>
        <w:tc>
          <w:tcPr>
            <w:tcW w:w="2877" w:type="dxa"/>
            <w:shd w:val="clear" w:color="auto" w:fill="FFFF00"/>
            <w:noWrap/>
            <w:hideMark/>
          </w:tcPr>
          <w:p w14:paraId="0D9E7C0C" w14:textId="77777777" w:rsidR="005F2152" w:rsidRPr="0059240B" w:rsidRDefault="005F2152" w:rsidP="005F2152">
            <w:pPr>
              <w:jc w:val="center"/>
              <w:rPr>
                <w:rFonts w:cs="Calibri"/>
                <w:color w:val="000000"/>
                <w:sz w:val="24"/>
                <w:szCs w:val="24"/>
              </w:rPr>
            </w:pPr>
            <w:r w:rsidRPr="0059240B">
              <w:rPr>
                <w:rFonts w:cs="Calibri"/>
                <w:color w:val="000000"/>
                <w:sz w:val="24"/>
                <w:szCs w:val="24"/>
              </w:rPr>
              <w:t>107.0%</w:t>
            </w:r>
          </w:p>
        </w:tc>
        <w:tc>
          <w:tcPr>
            <w:tcW w:w="2877" w:type="dxa"/>
            <w:shd w:val="clear" w:color="auto" w:fill="FFFF00"/>
            <w:noWrap/>
            <w:hideMark/>
          </w:tcPr>
          <w:p w14:paraId="1409A1F1" w14:textId="77777777" w:rsidR="005F2152" w:rsidRPr="0059240B" w:rsidRDefault="005F2152" w:rsidP="005F2152">
            <w:pPr>
              <w:jc w:val="center"/>
              <w:rPr>
                <w:rFonts w:cs="Calibri"/>
                <w:color w:val="000000"/>
                <w:sz w:val="24"/>
                <w:szCs w:val="24"/>
              </w:rPr>
            </w:pPr>
            <w:r w:rsidRPr="0059240B">
              <w:rPr>
                <w:rFonts w:cs="Calibri"/>
                <w:color w:val="000000"/>
                <w:sz w:val="24"/>
                <w:szCs w:val="24"/>
              </w:rPr>
              <w:t>112.0%</w:t>
            </w:r>
          </w:p>
        </w:tc>
      </w:tr>
      <w:tr w:rsidR="005F2152" w:rsidRPr="0059240B" w14:paraId="3C2EAB86" w14:textId="77777777" w:rsidTr="005F2152">
        <w:trPr>
          <w:trHeight w:val="252"/>
        </w:trPr>
        <w:tc>
          <w:tcPr>
            <w:tcW w:w="2876" w:type="dxa"/>
            <w:shd w:val="clear" w:color="auto" w:fill="FFFF00"/>
            <w:noWrap/>
            <w:hideMark/>
          </w:tcPr>
          <w:p w14:paraId="335E5BA5" w14:textId="77777777" w:rsidR="005F2152" w:rsidRPr="0059240B" w:rsidRDefault="005F2152" w:rsidP="005F2152">
            <w:pPr>
              <w:jc w:val="center"/>
              <w:rPr>
                <w:rFonts w:cs="Calibri"/>
                <w:color w:val="000000"/>
                <w:sz w:val="24"/>
                <w:szCs w:val="24"/>
              </w:rPr>
            </w:pPr>
            <w:r w:rsidRPr="0059240B">
              <w:rPr>
                <w:rFonts w:cs="Calibri"/>
                <w:color w:val="000000"/>
                <w:sz w:val="24"/>
                <w:szCs w:val="24"/>
              </w:rPr>
              <w:t>84</w:t>
            </w:r>
          </w:p>
        </w:tc>
        <w:tc>
          <w:tcPr>
            <w:tcW w:w="2877" w:type="dxa"/>
            <w:shd w:val="clear" w:color="auto" w:fill="FFFF00"/>
            <w:noWrap/>
            <w:hideMark/>
          </w:tcPr>
          <w:p w14:paraId="45EE9299" w14:textId="77777777" w:rsidR="005F2152" w:rsidRPr="0059240B" w:rsidRDefault="005F2152" w:rsidP="005F2152">
            <w:pPr>
              <w:jc w:val="center"/>
              <w:rPr>
                <w:rFonts w:cs="Calibri"/>
                <w:color w:val="000000"/>
                <w:sz w:val="24"/>
                <w:szCs w:val="24"/>
              </w:rPr>
            </w:pPr>
            <w:r w:rsidRPr="0059240B">
              <w:rPr>
                <w:rFonts w:cs="Calibri"/>
                <w:color w:val="000000"/>
                <w:sz w:val="24"/>
                <w:szCs w:val="24"/>
              </w:rPr>
              <w:t>108.5%</w:t>
            </w:r>
          </w:p>
        </w:tc>
        <w:tc>
          <w:tcPr>
            <w:tcW w:w="2877" w:type="dxa"/>
            <w:shd w:val="clear" w:color="auto" w:fill="FFFF00"/>
            <w:noWrap/>
            <w:hideMark/>
          </w:tcPr>
          <w:p w14:paraId="6C7AC043" w14:textId="77777777" w:rsidR="005F2152" w:rsidRPr="0059240B" w:rsidRDefault="005F2152" w:rsidP="005F2152">
            <w:pPr>
              <w:jc w:val="center"/>
              <w:rPr>
                <w:rFonts w:cs="Calibri"/>
                <w:color w:val="000000"/>
                <w:sz w:val="24"/>
                <w:szCs w:val="24"/>
              </w:rPr>
            </w:pPr>
            <w:r w:rsidRPr="0059240B">
              <w:rPr>
                <w:rFonts w:cs="Calibri"/>
                <w:color w:val="000000"/>
                <w:sz w:val="24"/>
                <w:szCs w:val="24"/>
              </w:rPr>
              <w:t>111.0%</w:t>
            </w:r>
          </w:p>
        </w:tc>
      </w:tr>
      <w:tr w:rsidR="005F2152" w:rsidRPr="0059240B" w14:paraId="00159C9F" w14:textId="77777777" w:rsidTr="005F2152">
        <w:trPr>
          <w:trHeight w:val="252"/>
        </w:trPr>
        <w:tc>
          <w:tcPr>
            <w:tcW w:w="2876" w:type="dxa"/>
            <w:shd w:val="clear" w:color="auto" w:fill="FFFF00"/>
            <w:noWrap/>
            <w:hideMark/>
          </w:tcPr>
          <w:p w14:paraId="6576FDC8" w14:textId="77777777" w:rsidR="005F2152" w:rsidRPr="0059240B" w:rsidRDefault="005F2152" w:rsidP="005F2152">
            <w:pPr>
              <w:jc w:val="center"/>
              <w:rPr>
                <w:rFonts w:cs="Calibri"/>
                <w:color w:val="000000"/>
                <w:sz w:val="24"/>
                <w:szCs w:val="24"/>
              </w:rPr>
            </w:pPr>
            <w:r w:rsidRPr="0059240B">
              <w:rPr>
                <w:rFonts w:cs="Calibri"/>
                <w:color w:val="000000"/>
                <w:sz w:val="24"/>
                <w:szCs w:val="24"/>
              </w:rPr>
              <w:t>85</w:t>
            </w:r>
          </w:p>
        </w:tc>
        <w:tc>
          <w:tcPr>
            <w:tcW w:w="2877" w:type="dxa"/>
            <w:shd w:val="clear" w:color="auto" w:fill="FFFF00"/>
            <w:noWrap/>
            <w:hideMark/>
          </w:tcPr>
          <w:p w14:paraId="20F2D426" w14:textId="77777777" w:rsidR="005F2152" w:rsidRPr="0059240B" w:rsidRDefault="005F2152" w:rsidP="005F2152">
            <w:pPr>
              <w:jc w:val="center"/>
              <w:rPr>
                <w:rFonts w:cs="Calibri"/>
                <w:color w:val="FF0000"/>
                <w:sz w:val="24"/>
                <w:szCs w:val="24"/>
              </w:rPr>
            </w:pPr>
            <w:r w:rsidRPr="0059240B">
              <w:rPr>
                <w:rFonts w:cs="Calibri"/>
                <w:color w:val="FF0000"/>
                <w:sz w:val="24"/>
                <w:szCs w:val="24"/>
              </w:rPr>
              <w:t>110.0%</w:t>
            </w:r>
          </w:p>
        </w:tc>
        <w:tc>
          <w:tcPr>
            <w:tcW w:w="2877" w:type="dxa"/>
            <w:shd w:val="clear" w:color="auto" w:fill="FFFF00"/>
            <w:noWrap/>
            <w:hideMark/>
          </w:tcPr>
          <w:p w14:paraId="1EC17E43" w14:textId="77777777" w:rsidR="005F2152" w:rsidRPr="0059240B" w:rsidRDefault="005F2152" w:rsidP="005F2152">
            <w:pPr>
              <w:jc w:val="center"/>
              <w:rPr>
                <w:rFonts w:cs="Calibri"/>
                <w:color w:val="FF0000"/>
                <w:sz w:val="24"/>
                <w:szCs w:val="24"/>
              </w:rPr>
            </w:pPr>
            <w:r w:rsidRPr="0059240B">
              <w:rPr>
                <w:rFonts w:cs="Calibri"/>
                <w:color w:val="FF0000"/>
                <w:sz w:val="24"/>
                <w:szCs w:val="24"/>
              </w:rPr>
              <w:t>110.0%</w:t>
            </w:r>
          </w:p>
        </w:tc>
      </w:tr>
      <w:tr w:rsidR="005F2152" w:rsidRPr="0059240B" w14:paraId="688FA2ED" w14:textId="77777777" w:rsidTr="005F2152">
        <w:trPr>
          <w:trHeight w:val="252"/>
        </w:trPr>
        <w:tc>
          <w:tcPr>
            <w:tcW w:w="2876" w:type="dxa"/>
            <w:shd w:val="clear" w:color="auto" w:fill="FFFF00"/>
            <w:noWrap/>
            <w:hideMark/>
          </w:tcPr>
          <w:p w14:paraId="58262FCA" w14:textId="77777777" w:rsidR="005F2152" w:rsidRPr="0059240B" w:rsidRDefault="005F2152" w:rsidP="005F2152">
            <w:pPr>
              <w:jc w:val="center"/>
              <w:rPr>
                <w:rFonts w:cs="Calibri"/>
                <w:color w:val="000000"/>
                <w:sz w:val="24"/>
                <w:szCs w:val="24"/>
              </w:rPr>
            </w:pPr>
            <w:r w:rsidRPr="0059240B">
              <w:rPr>
                <w:rFonts w:cs="Calibri"/>
                <w:color w:val="000000"/>
                <w:sz w:val="24"/>
                <w:szCs w:val="24"/>
              </w:rPr>
              <w:t>86</w:t>
            </w:r>
          </w:p>
        </w:tc>
        <w:tc>
          <w:tcPr>
            <w:tcW w:w="2877" w:type="dxa"/>
            <w:shd w:val="clear" w:color="auto" w:fill="FFFF00"/>
            <w:noWrap/>
            <w:hideMark/>
          </w:tcPr>
          <w:p w14:paraId="4C0442C8"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5A82D76F"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3E44B2EB" w14:textId="77777777" w:rsidTr="005F2152">
        <w:trPr>
          <w:trHeight w:val="252"/>
        </w:trPr>
        <w:tc>
          <w:tcPr>
            <w:tcW w:w="2876" w:type="dxa"/>
            <w:shd w:val="clear" w:color="auto" w:fill="FFFF00"/>
            <w:noWrap/>
            <w:hideMark/>
          </w:tcPr>
          <w:p w14:paraId="696A43A0" w14:textId="77777777" w:rsidR="005F2152" w:rsidRPr="0059240B" w:rsidRDefault="005F2152" w:rsidP="005F2152">
            <w:pPr>
              <w:jc w:val="center"/>
              <w:rPr>
                <w:rFonts w:cs="Calibri"/>
                <w:color w:val="000000"/>
                <w:sz w:val="24"/>
                <w:szCs w:val="24"/>
              </w:rPr>
            </w:pPr>
            <w:r w:rsidRPr="0059240B">
              <w:rPr>
                <w:rFonts w:cs="Calibri"/>
                <w:color w:val="000000"/>
                <w:sz w:val="24"/>
                <w:szCs w:val="24"/>
              </w:rPr>
              <w:t>87</w:t>
            </w:r>
          </w:p>
        </w:tc>
        <w:tc>
          <w:tcPr>
            <w:tcW w:w="2877" w:type="dxa"/>
            <w:shd w:val="clear" w:color="auto" w:fill="FFFF00"/>
            <w:noWrap/>
            <w:hideMark/>
          </w:tcPr>
          <w:p w14:paraId="2CB12FB0"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247F2F42"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6C7CF3D6" w14:textId="77777777" w:rsidTr="005F2152">
        <w:trPr>
          <w:trHeight w:val="252"/>
        </w:trPr>
        <w:tc>
          <w:tcPr>
            <w:tcW w:w="2876" w:type="dxa"/>
            <w:shd w:val="clear" w:color="auto" w:fill="FFFF00"/>
            <w:noWrap/>
            <w:hideMark/>
          </w:tcPr>
          <w:p w14:paraId="6C90C732" w14:textId="77777777" w:rsidR="005F2152" w:rsidRPr="0059240B" w:rsidRDefault="005F2152" w:rsidP="005F2152">
            <w:pPr>
              <w:jc w:val="center"/>
              <w:rPr>
                <w:rFonts w:cs="Calibri"/>
                <w:color w:val="000000"/>
                <w:sz w:val="24"/>
                <w:szCs w:val="24"/>
              </w:rPr>
            </w:pPr>
            <w:r w:rsidRPr="0059240B">
              <w:rPr>
                <w:rFonts w:cs="Calibri"/>
                <w:color w:val="000000"/>
                <w:sz w:val="24"/>
                <w:szCs w:val="24"/>
              </w:rPr>
              <w:t>88</w:t>
            </w:r>
          </w:p>
        </w:tc>
        <w:tc>
          <w:tcPr>
            <w:tcW w:w="2877" w:type="dxa"/>
            <w:shd w:val="clear" w:color="auto" w:fill="FFFF00"/>
            <w:noWrap/>
            <w:hideMark/>
          </w:tcPr>
          <w:p w14:paraId="0936C39A"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14FA96EE"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1574363D" w14:textId="77777777" w:rsidTr="005F2152">
        <w:trPr>
          <w:trHeight w:val="252"/>
        </w:trPr>
        <w:tc>
          <w:tcPr>
            <w:tcW w:w="2876" w:type="dxa"/>
            <w:shd w:val="clear" w:color="auto" w:fill="FFFF00"/>
            <w:noWrap/>
            <w:hideMark/>
          </w:tcPr>
          <w:p w14:paraId="10A34E9C" w14:textId="77777777" w:rsidR="005F2152" w:rsidRPr="0059240B" w:rsidRDefault="005F2152" w:rsidP="005F2152">
            <w:pPr>
              <w:jc w:val="center"/>
              <w:rPr>
                <w:rFonts w:cs="Calibri"/>
                <w:color w:val="000000"/>
                <w:sz w:val="24"/>
                <w:szCs w:val="24"/>
              </w:rPr>
            </w:pPr>
            <w:r w:rsidRPr="0059240B">
              <w:rPr>
                <w:rFonts w:cs="Calibri"/>
                <w:color w:val="000000"/>
                <w:sz w:val="24"/>
                <w:szCs w:val="24"/>
              </w:rPr>
              <w:t>89</w:t>
            </w:r>
          </w:p>
        </w:tc>
        <w:tc>
          <w:tcPr>
            <w:tcW w:w="2877" w:type="dxa"/>
            <w:shd w:val="clear" w:color="auto" w:fill="FFFF00"/>
            <w:noWrap/>
            <w:hideMark/>
          </w:tcPr>
          <w:p w14:paraId="640B5F82"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235BD7D8"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5F6AB006" w14:textId="77777777" w:rsidTr="005F2152">
        <w:trPr>
          <w:trHeight w:val="252"/>
        </w:trPr>
        <w:tc>
          <w:tcPr>
            <w:tcW w:w="2876" w:type="dxa"/>
            <w:shd w:val="clear" w:color="auto" w:fill="FFFF00"/>
            <w:noWrap/>
            <w:hideMark/>
          </w:tcPr>
          <w:p w14:paraId="2651818D" w14:textId="77777777" w:rsidR="005F2152" w:rsidRPr="0059240B" w:rsidRDefault="005F2152" w:rsidP="005F2152">
            <w:pPr>
              <w:jc w:val="center"/>
              <w:rPr>
                <w:rFonts w:cs="Calibri"/>
                <w:color w:val="000000"/>
                <w:sz w:val="24"/>
                <w:szCs w:val="24"/>
              </w:rPr>
            </w:pPr>
            <w:r w:rsidRPr="0059240B">
              <w:rPr>
                <w:rFonts w:cs="Calibri"/>
                <w:color w:val="000000"/>
                <w:sz w:val="24"/>
                <w:szCs w:val="24"/>
              </w:rPr>
              <w:t>90</w:t>
            </w:r>
          </w:p>
        </w:tc>
        <w:tc>
          <w:tcPr>
            <w:tcW w:w="2877" w:type="dxa"/>
            <w:shd w:val="clear" w:color="auto" w:fill="FFFF00"/>
            <w:noWrap/>
            <w:hideMark/>
          </w:tcPr>
          <w:p w14:paraId="1FE3CB53"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00FC0579"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153DD0E6" w14:textId="77777777" w:rsidTr="005F2152">
        <w:trPr>
          <w:trHeight w:val="252"/>
        </w:trPr>
        <w:tc>
          <w:tcPr>
            <w:tcW w:w="2876" w:type="dxa"/>
            <w:shd w:val="clear" w:color="auto" w:fill="FFFF00"/>
            <w:noWrap/>
            <w:hideMark/>
          </w:tcPr>
          <w:p w14:paraId="1AEFB172" w14:textId="77777777" w:rsidR="005F2152" w:rsidRPr="0059240B" w:rsidRDefault="005F2152" w:rsidP="005F2152">
            <w:pPr>
              <w:jc w:val="center"/>
              <w:rPr>
                <w:rFonts w:cs="Calibri"/>
                <w:color w:val="000000"/>
                <w:sz w:val="24"/>
                <w:szCs w:val="24"/>
              </w:rPr>
            </w:pPr>
            <w:r w:rsidRPr="0059240B">
              <w:rPr>
                <w:rFonts w:cs="Calibri"/>
                <w:color w:val="000000"/>
                <w:sz w:val="24"/>
                <w:szCs w:val="24"/>
              </w:rPr>
              <w:lastRenderedPageBreak/>
              <w:t>91</w:t>
            </w:r>
          </w:p>
        </w:tc>
        <w:tc>
          <w:tcPr>
            <w:tcW w:w="2877" w:type="dxa"/>
            <w:shd w:val="clear" w:color="auto" w:fill="FFFF00"/>
            <w:noWrap/>
            <w:hideMark/>
          </w:tcPr>
          <w:p w14:paraId="78772A7E"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0EA619F0"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7E9F8D4C" w14:textId="77777777" w:rsidTr="005F2152">
        <w:trPr>
          <w:trHeight w:val="252"/>
        </w:trPr>
        <w:tc>
          <w:tcPr>
            <w:tcW w:w="2876" w:type="dxa"/>
            <w:shd w:val="clear" w:color="auto" w:fill="FFFF00"/>
            <w:noWrap/>
            <w:hideMark/>
          </w:tcPr>
          <w:p w14:paraId="7F83D0AE" w14:textId="77777777" w:rsidR="005F2152" w:rsidRPr="0059240B" w:rsidRDefault="005F2152" w:rsidP="005F2152">
            <w:pPr>
              <w:jc w:val="center"/>
              <w:rPr>
                <w:rFonts w:cs="Calibri"/>
                <w:color w:val="000000"/>
                <w:sz w:val="24"/>
                <w:szCs w:val="24"/>
              </w:rPr>
            </w:pPr>
            <w:r w:rsidRPr="0059240B">
              <w:rPr>
                <w:rFonts w:cs="Calibri"/>
                <w:color w:val="000000"/>
                <w:sz w:val="24"/>
                <w:szCs w:val="24"/>
              </w:rPr>
              <w:t>92</w:t>
            </w:r>
          </w:p>
        </w:tc>
        <w:tc>
          <w:tcPr>
            <w:tcW w:w="2877" w:type="dxa"/>
            <w:shd w:val="clear" w:color="auto" w:fill="FFFF00"/>
            <w:noWrap/>
            <w:hideMark/>
          </w:tcPr>
          <w:p w14:paraId="7EE9AE33"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65CCD8A1"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2ABC220C" w14:textId="77777777" w:rsidTr="005F2152">
        <w:trPr>
          <w:trHeight w:val="252"/>
        </w:trPr>
        <w:tc>
          <w:tcPr>
            <w:tcW w:w="2876" w:type="dxa"/>
            <w:shd w:val="clear" w:color="auto" w:fill="FFFF00"/>
            <w:noWrap/>
            <w:hideMark/>
          </w:tcPr>
          <w:p w14:paraId="49FCA3A1" w14:textId="77777777" w:rsidR="005F2152" w:rsidRPr="0059240B" w:rsidRDefault="005F2152" w:rsidP="005F2152">
            <w:pPr>
              <w:jc w:val="center"/>
              <w:rPr>
                <w:rFonts w:cs="Calibri"/>
                <w:color w:val="000000"/>
                <w:sz w:val="24"/>
                <w:szCs w:val="24"/>
              </w:rPr>
            </w:pPr>
            <w:r w:rsidRPr="0059240B">
              <w:rPr>
                <w:rFonts w:cs="Calibri"/>
                <w:color w:val="000000"/>
                <w:sz w:val="24"/>
                <w:szCs w:val="24"/>
              </w:rPr>
              <w:t>93</w:t>
            </w:r>
          </w:p>
        </w:tc>
        <w:tc>
          <w:tcPr>
            <w:tcW w:w="2877" w:type="dxa"/>
            <w:shd w:val="clear" w:color="auto" w:fill="FFFF00"/>
            <w:noWrap/>
            <w:hideMark/>
          </w:tcPr>
          <w:p w14:paraId="7C1E3D9D"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2F2E9FFB"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4A0AE184" w14:textId="77777777" w:rsidTr="005F2152">
        <w:trPr>
          <w:trHeight w:val="252"/>
        </w:trPr>
        <w:tc>
          <w:tcPr>
            <w:tcW w:w="2876" w:type="dxa"/>
            <w:shd w:val="clear" w:color="auto" w:fill="FFFF00"/>
            <w:noWrap/>
            <w:hideMark/>
          </w:tcPr>
          <w:p w14:paraId="0E72F33D" w14:textId="77777777" w:rsidR="005F2152" w:rsidRPr="0059240B" w:rsidRDefault="005F2152" w:rsidP="005F2152">
            <w:pPr>
              <w:jc w:val="center"/>
              <w:rPr>
                <w:rFonts w:cs="Calibri"/>
                <w:color w:val="000000"/>
                <w:sz w:val="24"/>
                <w:szCs w:val="24"/>
              </w:rPr>
            </w:pPr>
            <w:r w:rsidRPr="0059240B">
              <w:rPr>
                <w:rFonts w:cs="Calibri"/>
                <w:color w:val="000000"/>
                <w:sz w:val="24"/>
                <w:szCs w:val="24"/>
              </w:rPr>
              <w:t>94</w:t>
            </w:r>
          </w:p>
        </w:tc>
        <w:tc>
          <w:tcPr>
            <w:tcW w:w="2877" w:type="dxa"/>
            <w:shd w:val="clear" w:color="auto" w:fill="FFFF00"/>
            <w:noWrap/>
            <w:hideMark/>
          </w:tcPr>
          <w:p w14:paraId="6AEA2C92"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34BCCCD5"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115712E5" w14:textId="77777777" w:rsidTr="005F2152">
        <w:trPr>
          <w:trHeight w:val="252"/>
        </w:trPr>
        <w:tc>
          <w:tcPr>
            <w:tcW w:w="2876" w:type="dxa"/>
            <w:shd w:val="clear" w:color="auto" w:fill="FFFF00"/>
            <w:noWrap/>
            <w:hideMark/>
          </w:tcPr>
          <w:p w14:paraId="1E7A7280" w14:textId="77777777" w:rsidR="005F2152" w:rsidRPr="0059240B" w:rsidRDefault="005F2152" w:rsidP="005F2152">
            <w:pPr>
              <w:jc w:val="center"/>
              <w:rPr>
                <w:rFonts w:cs="Calibri"/>
                <w:color w:val="000000"/>
                <w:sz w:val="24"/>
                <w:szCs w:val="24"/>
              </w:rPr>
            </w:pPr>
            <w:r w:rsidRPr="0059240B">
              <w:rPr>
                <w:rFonts w:cs="Calibri"/>
                <w:color w:val="000000"/>
                <w:sz w:val="24"/>
                <w:szCs w:val="24"/>
              </w:rPr>
              <w:t>95</w:t>
            </w:r>
          </w:p>
        </w:tc>
        <w:tc>
          <w:tcPr>
            <w:tcW w:w="2877" w:type="dxa"/>
            <w:shd w:val="clear" w:color="auto" w:fill="FFFF00"/>
            <w:noWrap/>
            <w:hideMark/>
          </w:tcPr>
          <w:p w14:paraId="5A876167"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16B0A282" w14:textId="77777777" w:rsidR="005F2152" w:rsidRPr="0059240B" w:rsidRDefault="005F2152" w:rsidP="005F2152">
            <w:pPr>
              <w:jc w:val="center"/>
              <w:rPr>
                <w:rFonts w:cs="Calibri"/>
                <w:color w:val="000000"/>
                <w:sz w:val="24"/>
                <w:szCs w:val="24"/>
              </w:rPr>
            </w:pPr>
            <w:r w:rsidRPr="0059240B">
              <w:rPr>
                <w:rFonts w:cs="Calibri"/>
                <w:color w:val="000000"/>
                <w:sz w:val="24"/>
                <w:szCs w:val="24"/>
              </w:rPr>
              <w:t>110.0%</w:t>
            </w:r>
          </w:p>
        </w:tc>
      </w:tr>
      <w:tr w:rsidR="005F2152" w:rsidRPr="0059240B" w14:paraId="22D53FD6" w14:textId="77777777" w:rsidTr="005F2152">
        <w:trPr>
          <w:trHeight w:val="252"/>
        </w:trPr>
        <w:tc>
          <w:tcPr>
            <w:tcW w:w="2876" w:type="dxa"/>
            <w:shd w:val="clear" w:color="auto" w:fill="FFFF00"/>
            <w:noWrap/>
            <w:hideMark/>
          </w:tcPr>
          <w:p w14:paraId="547CA179" w14:textId="77777777" w:rsidR="005F2152" w:rsidRPr="0059240B" w:rsidRDefault="005F2152" w:rsidP="005F2152">
            <w:pPr>
              <w:jc w:val="center"/>
              <w:rPr>
                <w:rFonts w:cs="Calibri"/>
                <w:color w:val="000000"/>
                <w:sz w:val="24"/>
                <w:szCs w:val="24"/>
              </w:rPr>
            </w:pPr>
            <w:bookmarkStart w:id="19" w:name="_Hlk8916637"/>
            <w:r w:rsidRPr="0059240B">
              <w:rPr>
                <w:rFonts w:cs="Calibri"/>
                <w:color w:val="000000"/>
                <w:sz w:val="24"/>
                <w:szCs w:val="24"/>
              </w:rPr>
              <w:t>96</w:t>
            </w:r>
          </w:p>
        </w:tc>
        <w:tc>
          <w:tcPr>
            <w:tcW w:w="2877" w:type="dxa"/>
            <w:shd w:val="clear" w:color="auto" w:fill="FFFF00"/>
            <w:noWrap/>
            <w:hideMark/>
          </w:tcPr>
          <w:p w14:paraId="4C4B8755" w14:textId="32912F8E" w:rsidR="005F2152" w:rsidRPr="0059240B" w:rsidRDefault="0029770D" w:rsidP="005F2152">
            <w:pPr>
              <w:jc w:val="center"/>
              <w:rPr>
                <w:rFonts w:cs="Calibri"/>
                <w:color w:val="000000"/>
                <w:sz w:val="24"/>
                <w:szCs w:val="24"/>
              </w:rPr>
            </w:pPr>
            <w:r w:rsidRPr="0059240B">
              <w:rPr>
                <w:rFonts w:cs="Calibri"/>
                <w:color w:val="000000"/>
                <w:sz w:val="24"/>
                <w:szCs w:val="24"/>
              </w:rPr>
              <w:t>109</w:t>
            </w:r>
            <w:r w:rsidR="005F2152" w:rsidRPr="0059240B">
              <w:rPr>
                <w:rFonts w:cs="Calibri"/>
                <w:color w:val="000000"/>
                <w:sz w:val="24"/>
                <w:szCs w:val="24"/>
              </w:rPr>
              <w:t>.0%</w:t>
            </w:r>
          </w:p>
        </w:tc>
        <w:tc>
          <w:tcPr>
            <w:tcW w:w="2877" w:type="dxa"/>
            <w:shd w:val="clear" w:color="auto" w:fill="FFFF00"/>
            <w:noWrap/>
            <w:hideMark/>
          </w:tcPr>
          <w:p w14:paraId="0893A2B2" w14:textId="06DA3720" w:rsidR="005F2152" w:rsidRPr="0059240B" w:rsidRDefault="0029770D" w:rsidP="005F2152">
            <w:pPr>
              <w:jc w:val="center"/>
              <w:rPr>
                <w:rFonts w:cs="Calibri"/>
                <w:color w:val="000000"/>
                <w:sz w:val="24"/>
                <w:szCs w:val="24"/>
              </w:rPr>
            </w:pPr>
            <w:r w:rsidRPr="0059240B">
              <w:rPr>
                <w:rFonts w:cs="Calibri"/>
                <w:color w:val="000000"/>
                <w:sz w:val="24"/>
                <w:szCs w:val="24"/>
              </w:rPr>
              <w:t>109</w:t>
            </w:r>
            <w:r w:rsidR="005F2152" w:rsidRPr="0059240B">
              <w:rPr>
                <w:rFonts w:cs="Calibri"/>
                <w:color w:val="000000"/>
                <w:sz w:val="24"/>
                <w:szCs w:val="24"/>
              </w:rPr>
              <w:t>.0%</w:t>
            </w:r>
          </w:p>
        </w:tc>
      </w:tr>
      <w:tr w:rsidR="005F2152" w:rsidRPr="0059240B" w14:paraId="090D3223" w14:textId="77777777" w:rsidTr="005F2152">
        <w:trPr>
          <w:trHeight w:val="252"/>
        </w:trPr>
        <w:tc>
          <w:tcPr>
            <w:tcW w:w="2876" w:type="dxa"/>
            <w:shd w:val="clear" w:color="auto" w:fill="FFFF00"/>
            <w:noWrap/>
            <w:hideMark/>
          </w:tcPr>
          <w:p w14:paraId="69FEBEEB" w14:textId="77777777" w:rsidR="005F2152" w:rsidRPr="0059240B" w:rsidRDefault="005F2152" w:rsidP="005F2152">
            <w:pPr>
              <w:jc w:val="center"/>
              <w:rPr>
                <w:rFonts w:cs="Calibri"/>
                <w:color w:val="000000"/>
                <w:sz w:val="24"/>
                <w:szCs w:val="24"/>
              </w:rPr>
            </w:pPr>
            <w:r w:rsidRPr="0059240B">
              <w:rPr>
                <w:rFonts w:cs="Calibri"/>
                <w:color w:val="000000"/>
                <w:sz w:val="24"/>
                <w:szCs w:val="24"/>
              </w:rPr>
              <w:t>97</w:t>
            </w:r>
          </w:p>
        </w:tc>
        <w:tc>
          <w:tcPr>
            <w:tcW w:w="2877" w:type="dxa"/>
            <w:shd w:val="clear" w:color="auto" w:fill="FFFF00"/>
            <w:noWrap/>
            <w:hideMark/>
          </w:tcPr>
          <w:p w14:paraId="6CEF36D4" w14:textId="7C81869C" w:rsidR="005F2152" w:rsidRPr="0059240B" w:rsidRDefault="0029770D" w:rsidP="005F2152">
            <w:pPr>
              <w:jc w:val="center"/>
              <w:rPr>
                <w:rFonts w:cs="Calibri"/>
                <w:color w:val="000000"/>
                <w:sz w:val="24"/>
                <w:szCs w:val="24"/>
              </w:rPr>
            </w:pPr>
            <w:r w:rsidRPr="0059240B">
              <w:rPr>
                <w:rFonts w:cs="Calibri"/>
                <w:color w:val="000000"/>
                <w:sz w:val="24"/>
                <w:szCs w:val="24"/>
              </w:rPr>
              <w:t>108</w:t>
            </w:r>
            <w:r w:rsidR="005F2152" w:rsidRPr="0059240B">
              <w:rPr>
                <w:rFonts w:cs="Calibri"/>
                <w:color w:val="000000"/>
                <w:sz w:val="24"/>
                <w:szCs w:val="24"/>
              </w:rPr>
              <w:t>.0%</w:t>
            </w:r>
          </w:p>
        </w:tc>
        <w:tc>
          <w:tcPr>
            <w:tcW w:w="2877" w:type="dxa"/>
            <w:shd w:val="clear" w:color="auto" w:fill="FFFF00"/>
            <w:noWrap/>
            <w:hideMark/>
          </w:tcPr>
          <w:p w14:paraId="30174DB7" w14:textId="10161386" w:rsidR="005F2152" w:rsidRPr="0059240B" w:rsidRDefault="0029770D" w:rsidP="005F2152">
            <w:pPr>
              <w:jc w:val="center"/>
              <w:rPr>
                <w:rFonts w:cs="Calibri"/>
                <w:color w:val="000000"/>
                <w:sz w:val="24"/>
                <w:szCs w:val="24"/>
              </w:rPr>
            </w:pPr>
            <w:r w:rsidRPr="0059240B">
              <w:rPr>
                <w:rFonts w:cs="Calibri"/>
                <w:color w:val="000000"/>
                <w:sz w:val="24"/>
                <w:szCs w:val="24"/>
              </w:rPr>
              <w:t>108</w:t>
            </w:r>
            <w:r w:rsidR="005F2152" w:rsidRPr="0059240B">
              <w:rPr>
                <w:rFonts w:cs="Calibri"/>
                <w:color w:val="000000"/>
                <w:sz w:val="24"/>
                <w:szCs w:val="24"/>
              </w:rPr>
              <w:t>.0%</w:t>
            </w:r>
          </w:p>
        </w:tc>
      </w:tr>
      <w:tr w:rsidR="005F2152" w:rsidRPr="0059240B" w14:paraId="0D4AEDB4" w14:textId="77777777" w:rsidTr="005F2152">
        <w:trPr>
          <w:trHeight w:val="252"/>
        </w:trPr>
        <w:tc>
          <w:tcPr>
            <w:tcW w:w="2876" w:type="dxa"/>
            <w:shd w:val="clear" w:color="auto" w:fill="FFFF00"/>
            <w:noWrap/>
            <w:hideMark/>
          </w:tcPr>
          <w:p w14:paraId="5A491539" w14:textId="77777777" w:rsidR="005F2152" w:rsidRPr="0059240B" w:rsidRDefault="005F2152" w:rsidP="005F2152">
            <w:pPr>
              <w:jc w:val="center"/>
              <w:rPr>
                <w:rFonts w:cs="Calibri"/>
                <w:color w:val="000000"/>
                <w:sz w:val="24"/>
                <w:szCs w:val="24"/>
              </w:rPr>
            </w:pPr>
            <w:r w:rsidRPr="0059240B">
              <w:rPr>
                <w:rFonts w:cs="Calibri"/>
                <w:color w:val="000000"/>
                <w:sz w:val="24"/>
                <w:szCs w:val="24"/>
              </w:rPr>
              <w:t>98</w:t>
            </w:r>
          </w:p>
        </w:tc>
        <w:tc>
          <w:tcPr>
            <w:tcW w:w="2877" w:type="dxa"/>
            <w:shd w:val="clear" w:color="auto" w:fill="FFFF00"/>
            <w:noWrap/>
            <w:hideMark/>
          </w:tcPr>
          <w:p w14:paraId="40C00180" w14:textId="39F7B11B" w:rsidR="005F2152" w:rsidRPr="0059240B" w:rsidRDefault="005F2152" w:rsidP="005F2152">
            <w:pPr>
              <w:jc w:val="center"/>
              <w:rPr>
                <w:rFonts w:cs="Calibri"/>
                <w:color w:val="000000"/>
                <w:sz w:val="24"/>
                <w:szCs w:val="24"/>
              </w:rPr>
            </w:pPr>
            <w:r w:rsidRPr="0059240B">
              <w:rPr>
                <w:rFonts w:cs="Calibri"/>
                <w:color w:val="000000"/>
                <w:sz w:val="24"/>
                <w:szCs w:val="24"/>
              </w:rPr>
              <w:t>1</w:t>
            </w:r>
            <w:r w:rsidR="0029770D" w:rsidRPr="0059240B">
              <w:rPr>
                <w:rFonts w:cs="Calibri"/>
                <w:color w:val="000000"/>
                <w:sz w:val="24"/>
                <w:szCs w:val="24"/>
              </w:rPr>
              <w:t>07.</w:t>
            </w:r>
            <w:r w:rsidRPr="0059240B">
              <w:rPr>
                <w:rFonts w:cs="Calibri"/>
                <w:color w:val="000000"/>
                <w:sz w:val="24"/>
                <w:szCs w:val="24"/>
              </w:rPr>
              <w:t>0%</w:t>
            </w:r>
          </w:p>
        </w:tc>
        <w:tc>
          <w:tcPr>
            <w:tcW w:w="2877" w:type="dxa"/>
            <w:shd w:val="clear" w:color="auto" w:fill="FFFF00"/>
            <w:noWrap/>
            <w:hideMark/>
          </w:tcPr>
          <w:p w14:paraId="21066484" w14:textId="6E521FD7" w:rsidR="005F2152" w:rsidRPr="0059240B" w:rsidRDefault="0029770D" w:rsidP="005F2152">
            <w:pPr>
              <w:jc w:val="center"/>
              <w:rPr>
                <w:rFonts w:cs="Calibri"/>
                <w:color w:val="000000"/>
                <w:sz w:val="24"/>
                <w:szCs w:val="24"/>
              </w:rPr>
            </w:pPr>
            <w:r w:rsidRPr="0059240B">
              <w:rPr>
                <w:rFonts w:cs="Calibri"/>
                <w:color w:val="000000"/>
                <w:sz w:val="24"/>
                <w:szCs w:val="24"/>
              </w:rPr>
              <w:t>107</w:t>
            </w:r>
            <w:r w:rsidR="005F2152" w:rsidRPr="0059240B">
              <w:rPr>
                <w:rFonts w:cs="Calibri"/>
                <w:color w:val="000000"/>
                <w:sz w:val="24"/>
                <w:szCs w:val="24"/>
              </w:rPr>
              <w:t>.0%</w:t>
            </w:r>
          </w:p>
        </w:tc>
      </w:tr>
      <w:tr w:rsidR="005F2152" w:rsidRPr="0059240B" w14:paraId="7E70CA93" w14:textId="77777777" w:rsidTr="005F2152">
        <w:trPr>
          <w:trHeight w:val="252"/>
        </w:trPr>
        <w:tc>
          <w:tcPr>
            <w:tcW w:w="2876" w:type="dxa"/>
            <w:shd w:val="clear" w:color="auto" w:fill="FFFF00"/>
            <w:noWrap/>
            <w:hideMark/>
          </w:tcPr>
          <w:p w14:paraId="0E8DCC63" w14:textId="77777777" w:rsidR="005F2152" w:rsidRPr="0059240B" w:rsidRDefault="005F2152" w:rsidP="005F2152">
            <w:pPr>
              <w:jc w:val="center"/>
              <w:rPr>
                <w:rFonts w:cs="Calibri"/>
                <w:color w:val="000000"/>
                <w:sz w:val="24"/>
                <w:szCs w:val="24"/>
              </w:rPr>
            </w:pPr>
            <w:r w:rsidRPr="0059240B">
              <w:rPr>
                <w:rFonts w:cs="Calibri"/>
                <w:color w:val="000000"/>
                <w:sz w:val="24"/>
                <w:szCs w:val="24"/>
              </w:rPr>
              <w:t>99</w:t>
            </w:r>
          </w:p>
        </w:tc>
        <w:tc>
          <w:tcPr>
            <w:tcW w:w="2877" w:type="dxa"/>
            <w:shd w:val="clear" w:color="auto" w:fill="FFFF00"/>
            <w:noWrap/>
            <w:hideMark/>
          </w:tcPr>
          <w:p w14:paraId="70E6BC11" w14:textId="5F9C5C70" w:rsidR="005F2152" w:rsidRPr="0059240B" w:rsidRDefault="0029770D" w:rsidP="005F2152">
            <w:pPr>
              <w:jc w:val="center"/>
              <w:rPr>
                <w:rFonts w:cs="Calibri"/>
                <w:color w:val="000000"/>
                <w:sz w:val="24"/>
                <w:szCs w:val="24"/>
              </w:rPr>
            </w:pPr>
            <w:r w:rsidRPr="0059240B">
              <w:rPr>
                <w:rFonts w:cs="Calibri"/>
                <w:color w:val="000000"/>
                <w:sz w:val="24"/>
                <w:szCs w:val="24"/>
              </w:rPr>
              <w:t>106</w:t>
            </w:r>
            <w:r w:rsidR="005F2152" w:rsidRPr="0059240B">
              <w:rPr>
                <w:rFonts w:cs="Calibri"/>
                <w:color w:val="000000"/>
                <w:sz w:val="24"/>
                <w:szCs w:val="24"/>
              </w:rPr>
              <w:t>.0%</w:t>
            </w:r>
          </w:p>
        </w:tc>
        <w:tc>
          <w:tcPr>
            <w:tcW w:w="2877" w:type="dxa"/>
            <w:shd w:val="clear" w:color="auto" w:fill="FFFF00"/>
            <w:noWrap/>
            <w:hideMark/>
          </w:tcPr>
          <w:p w14:paraId="5EC9CAAA" w14:textId="0C930CBB" w:rsidR="005F2152" w:rsidRPr="0059240B" w:rsidRDefault="0029770D" w:rsidP="005F2152">
            <w:pPr>
              <w:jc w:val="center"/>
              <w:rPr>
                <w:rFonts w:cs="Calibri"/>
                <w:color w:val="000000"/>
                <w:sz w:val="24"/>
                <w:szCs w:val="24"/>
              </w:rPr>
            </w:pPr>
            <w:r w:rsidRPr="0059240B">
              <w:rPr>
                <w:rFonts w:cs="Calibri"/>
                <w:color w:val="000000"/>
                <w:sz w:val="24"/>
                <w:szCs w:val="24"/>
              </w:rPr>
              <w:t>106</w:t>
            </w:r>
            <w:r w:rsidR="005F2152" w:rsidRPr="0059240B">
              <w:rPr>
                <w:rFonts w:cs="Calibri"/>
                <w:color w:val="000000"/>
                <w:sz w:val="24"/>
                <w:szCs w:val="24"/>
              </w:rPr>
              <w:t>.0%</w:t>
            </w:r>
          </w:p>
        </w:tc>
      </w:tr>
      <w:tr w:rsidR="005F2152" w:rsidRPr="0059240B" w14:paraId="278182B6" w14:textId="77777777" w:rsidTr="005F2152">
        <w:trPr>
          <w:trHeight w:val="252"/>
        </w:trPr>
        <w:tc>
          <w:tcPr>
            <w:tcW w:w="2876" w:type="dxa"/>
            <w:shd w:val="clear" w:color="auto" w:fill="FFFF00"/>
            <w:noWrap/>
            <w:hideMark/>
          </w:tcPr>
          <w:p w14:paraId="48185C0B" w14:textId="77777777" w:rsidR="005F2152" w:rsidRPr="0059240B" w:rsidRDefault="005F2152" w:rsidP="005F2152">
            <w:pPr>
              <w:jc w:val="center"/>
              <w:rPr>
                <w:rFonts w:cs="Calibri"/>
                <w:color w:val="000000"/>
                <w:sz w:val="24"/>
                <w:szCs w:val="24"/>
              </w:rPr>
            </w:pPr>
            <w:r w:rsidRPr="0059240B">
              <w:rPr>
                <w:rFonts w:cs="Calibri"/>
                <w:color w:val="000000"/>
                <w:sz w:val="24"/>
                <w:szCs w:val="24"/>
              </w:rPr>
              <w:t>100</w:t>
            </w:r>
          </w:p>
        </w:tc>
        <w:tc>
          <w:tcPr>
            <w:tcW w:w="2877" w:type="dxa"/>
            <w:shd w:val="clear" w:color="auto" w:fill="FFFF00"/>
            <w:noWrap/>
            <w:hideMark/>
          </w:tcPr>
          <w:p w14:paraId="698FE889" w14:textId="005C25D3" w:rsidR="005F2152" w:rsidRPr="0059240B" w:rsidRDefault="0029770D" w:rsidP="005F2152">
            <w:pPr>
              <w:jc w:val="center"/>
              <w:rPr>
                <w:rFonts w:cs="Calibri"/>
                <w:color w:val="FF0000"/>
                <w:sz w:val="24"/>
                <w:szCs w:val="24"/>
              </w:rPr>
            </w:pPr>
            <w:r w:rsidRPr="0059240B">
              <w:rPr>
                <w:rFonts w:cs="Calibri"/>
                <w:color w:val="FF0000"/>
                <w:sz w:val="24"/>
                <w:szCs w:val="24"/>
              </w:rPr>
              <w:t>105</w:t>
            </w:r>
            <w:r w:rsidR="005F2152" w:rsidRPr="0059240B">
              <w:rPr>
                <w:rFonts w:cs="Calibri"/>
                <w:color w:val="FF0000"/>
                <w:sz w:val="24"/>
                <w:szCs w:val="24"/>
              </w:rPr>
              <w:t>.0%</w:t>
            </w:r>
          </w:p>
        </w:tc>
        <w:tc>
          <w:tcPr>
            <w:tcW w:w="2877" w:type="dxa"/>
            <w:shd w:val="clear" w:color="auto" w:fill="FFFF00"/>
            <w:noWrap/>
            <w:hideMark/>
          </w:tcPr>
          <w:p w14:paraId="50D8C81B" w14:textId="6A23B27E" w:rsidR="005F2152" w:rsidRPr="0059240B" w:rsidRDefault="0029770D" w:rsidP="005F2152">
            <w:pPr>
              <w:jc w:val="center"/>
              <w:rPr>
                <w:rFonts w:cs="Calibri"/>
                <w:color w:val="FF0000"/>
                <w:sz w:val="24"/>
                <w:szCs w:val="24"/>
              </w:rPr>
            </w:pPr>
            <w:r w:rsidRPr="0059240B">
              <w:rPr>
                <w:rFonts w:cs="Calibri"/>
                <w:color w:val="FF0000"/>
                <w:sz w:val="24"/>
                <w:szCs w:val="24"/>
              </w:rPr>
              <w:t>105</w:t>
            </w:r>
            <w:r w:rsidR="005F2152" w:rsidRPr="0059240B">
              <w:rPr>
                <w:rFonts w:cs="Calibri"/>
                <w:color w:val="FF0000"/>
                <w:sz w:val="24"/>
                <w:szCs w:val="24"/>
              </w:rPr>
              <w:t>.0%</w:t>
            </w:r>
          </w:p>
        </w:tc>
      </w:tr>
      <w:tr w:rsidR="005F2152" w:rsidRPr="0059240B" w14:paraId="511BE959" w14:textId="77777777" w:rsidTr="005F2152">
        <w:trPr>
          <w:trHeight w:val="252"/>
        </w:trPr>
        <w:tc>
          <w:tcPr>
            <w:tcW w:w="2876" w:type="dxa"/>
            <w:shd w:val="clear" w:color="auto" w:fill="FFFF00"/>
            <w:noWrap/>
            <w:hideMark/>
          </w:tcPr>
          <w:p w14:paraId="2E803DDC" w14:textId="77777777" w:rsidR="005F2152" w:rsidRPr="0059240B" w:rsidRDefault="005F2152" w:rsidP="005F2152">
            <w:pPr>
              <w:jc w:val="center"/>
              <w:rPr>
                <w:rFonts w:cs="Calibri"/>
                <w:color w:val="000000"/>
                <w:sz w:val="24"/>
                <w:szCs w:val="24"/>
              </w:rPr>
            </w:pPr>
            <w:r w:rsidRPr="0059240B">
              <w:rPr>
                <w:rFonts w:cs="Calibri"/>
                <w:color w:val="000000"/>
                <w:sz w:val="24"/>
                <w:szCs w:val="24"/>
              </w:rPr>
              <w:t>101</w:t>
            </w:r>
          </w:p>
        </w:tc>
        <w:tc>
          <w:tcPr>
            <w:tcW w:w="2877" w:type="dxa"/>
            <w:shd w:val="clear" w:color="auto" w:fill="FFFF00"/>
            <w:noWrap/>
            <w:hideMark/>
          </w:tcPr>
          <w:p w14:paraId="08D1EE2D" w14:textId="7683775E" w:rsidR="005F2152" w:rsidRPr="0059240B" w:rsidRDefault="0029770D" w:rsidP="005F2152">
            <w:pPr>
              <w:jc w:val="center"/>
              <w:rPr>
                <w:rFonts w:cs="Calibri"/>
                <w:color w:val="000000"/>
                <w:sz w:val="24"/>
                <w:szCs w:val="24"/>
              </w:rPr>
            </w:pPr>
            <w:r w:rsidRPr="0059240B">
              <w:rPr>
                <w:rFonts w:cs="Calibri"/>
                <w:color w:val="000000"/>
                <w:sz w:val="24"/>
                <w:szCs w:val="24"/>
              </w:rPr>
              <w:t>104</w:t>
            </w:r>
            <w:r w:rsidR="005F2152" w:rsidRPr="0059240B">
              <w:rPr>
                <w:rFonts w:cs="Calibri"/>
                <w:color w:val="000000"/>
                <w:sz w:val="24"/>
                <w:szCs w:val="24"/>
              </w:rPr>
              <w:t>.0%</w:t>
            </w:r>
          </w:p>
        </w:tc>
        <w:tc>
          <w:tcPr>
            <w:tcW w:w="2877" w:type="dxa"/>
            <w:shd w:val="clear" w:color="auto" w:fill="FFFF00"/>
            <w:noWrap/>
            <w:hideMark/>
          </w:tcPr>
          <w:p w14:paraId="78AAF23C" w14:textId="2C875972" w:rsidR="005F2152" w:rsidRPr="0059240B" w:rsidRDefault="0029770D" w:rsidP="005F2152">
            <w:pPr>
              <w:jc w:val="center"/>
              <w:rPr>
                <w:rFonts w:cs="Calibri"/>
                <w:color w:val="000000"/>
                <w:sz w:val="24"/>
                <w:szCs w:val="24"/>
              </w:rPr>
            </w:pPr>
            <w:r w:rsidRPr="0059240B">
              <w:rPr>
                <w:rFonts w:cs="Calibri"/>
                <w:color w:val="000000"/>
                <w:sz w:val="24"/>
                <w:szCs w:val="24"/>
              </w:rPr>
              <w:t>104</w:t>
            </w:r>
            <w:r w:rsidR="005F2152" w:rsidRPr="0059240B">
              <w:rPr>
                <w:rFonts w:cs="Calibri"/>
                <w:color w:val="000000"/>
                <w:sz w:val="24"/>
                <w:szCs w:val="24"/>
              </w:rPr>
              <w:t>.0%</w:t>
            </w:r>
          </w:p>
        </w:tc>
      </w:tr>
      <w:tr w:rsidR="005F2152" w:rsidRPr="0059240B" w14:paraId="0D102B9F" w14:textId="77777777" w:rsidTr="005F2152">
        <w:trPr>
          <w:trHeight w:val="252"/>
        </w:trPr>
        <w:tc>
          <w:tcPr>
            <w:tcW w:w="2876" w:type="dxa"/>
            <w:shd w:val="clear" w:color="auto" w:fill="FFFF00"/>
            <w:noWrap/>
            <w:hideMark/>
          </w:tcPr>
          <w:p w14:paraId="36D3D76B" w14:textId="77777777" w:rsidR="005F2152" w:rsidRPr="0059240B" w:rsidRDefault="005F2152" w:rsidP="005F2152">
            <w:pPr>
              <w:jc w:val="center"/>
              <w:rPr>
                <w:rFonts w:cs="Calibri"/>
                <w:color w:val="000000"/>
                <w:sz w:val="24"/>
                <w:szCs w:val="24"/>
              </w:rPr>
            </w:pPr>
            <w:r w:rsidRPr="0059240B">
              <w:rPr>
                <w:rFonts w:cs="Calibri"/>
                <w:color w:val="000000"/>
                <w:sz w:val="24"/>
                <w:szCs w:val="24"/>
              </w:rPr>
              <w:t>102</w:t>
            </w:r>
          </w:p>
        </w:tc>
        <w:tc>
          <w:tcPr>
            <w:tcW w:w="2877" w:type="dxa"/>
            <w:shd w:val="clear" w:color="auto" w:fill="FFFF00"/>
            <w:noWrap/>
            <w:hideMark/>
          </w:tcPr>
          <w:p w14:paraId="77FC06C6" w14:textId="5F7F2D79" w:rsidR="005F2152" w:rsidRPr="0059240B" w:rsidRDefault="005F2152" w:rsidP="005F2152">
            <w:pPr>
              <w:jc w:val="center"/>
              <w:rPr>
                <w:rFonts w:cs="Calibri"/>
                <w:color w:val="000000"/>
                <w:sz w:val="24"/>
                <w:szCs w:val="24"/>
              </w:rPr>
            </w:pPr>
            <w:r w:rsidRPr="0059240B">
              <w:rPr>
                <w:rFonts w:cs="Calibri"/>
                <w:color w:val="000000"/>
                <w:sz w:val="24"/>
                <w:szCs w:val="24"/>
              </w:rPr>
              <w:t>1</w:t>
            </w:r>
            <w:r w:rsidR="0029770D" w:rsidRPr="0059240B">
              <w:rPr>
                <w:rFonts w:cs="Calibri"/>
                <w:color w:val="000000"/>
                <w:sz w:val="24"/>
                <w:szCs w:val="24"/>
              </w:rPr>
              <w:t>03.</w:t>
            </w:r>
            <w:r w:rsidRPr="0059240B">
              <w:rPr>
                <w:rFonts w:cs="Calibri"/>
                <w:color w:val="000000"/>
                <w:sz w:val="24"/>
                <w:szCs w:val="24"/>
              </w:rPr>
              <w:t>0%</w:t>
            </w:r>
          </w:p>
        </w:tc>
        <w:tc>
          <w:tcPr>
            <w:tcW w:w="2877" w:type="dxa"/>
            <w:shd w:val="clear" w:color="auto" w:fill="FFFF00"/>
            <w:noWrap/>
            <w:hideMark/>
          </w:tcPr>
          <w:p w14:paraId="1A9CD125" w14:textId="2D006A9A" w:rsidR="005F2152" w:rsidRPr="0059240B" w:rsidRDefault="0029770D" w:rsidP="005F2152">
            <w:pPr>
              <w:jc w:val="center"/>
              <w:rPr>
                <w:rFonts w:cs="Calibri"/>
                <w:color w:val="000000"/>
                <w:sz w:val="24"/>
                <w:szCs w:val="24"/>
              </w:rPr>
            </w:pPr>
            <w:r w:rsidRPr="0059240B">
              <w:rPr>
                <w:rFonts w:cs="Calibri"/>
                <w:color w:val="000000"/>
                <w:sz w:val="24"/>
                <w:szCs w:val="24"/>
              </w:rPr>
              <w:t>103</w:t>
            </w:r>
            <w:r w:rsidR="005F2152" w:rsidRPr="0059240B">
              <w:rPr>
                <w:rFonts w:cs="Calibri"/>
                <w:color w:val="000000"/>
                <w:sz w:val="24"/>
                <w:szCs w:val="24"/>
              </w:rPr>
              <w:t>.0%</w:t>
            </w:r>
          </w:p>
        </w:tc>
      </w:tr>
      <w:tr w:rsidR="005F2152" w:rsidRPr="0059240B" w14:paraId="2C905914" w14:textId="77777777" w:rsidTr="005F2152">
        <w:trPr>
          <w:trHeight w:val="252"/>
        </w:trPr>
        <w:tc>
          <w:tcPr>
            <w:tcW w:w="2876" w:type="dxa"/>
            <w:shd w:val="clear" w:color="auto" w:fill="FFFF00"/>
            <w:noWrap/>
            <w:hideMark/>
          </w:tcPr>
          <w:p w14:paraId="4066288F" w14:textId="77777777" w:rsidR="005F2152" w:rsidRPr="0059240B" w:rsidRDefault="005F2152" w:rsidP="005F2152">
            <w:pPr>
              <w:jc w:val="center"/>
              <w:rPr>
                <w:rFonts w:cs="Calibri"/>
                <w:color w:val="000000"/>
                <w:sz w:val="24"/>
                <w:szCs w:val="24"/>
              </w:rPr>
            </w:pPr>
            <w:r w:rsidRPr="0059240B">
              <w:rPr>
                <w:rFonts w:cs="Calibri"/>
                <w:color w:val="000000"/>
                <w:sz w:val="24"/>
                <w:szCs w:val="24"/>
              </w:rPr>
              <w:t>103</w:t>
            </w:r>
          </w:p>
        </w:tc>
        <w:tc>
          <w:tcPr>
            <w:tcW w:w="2877" w:type="dxa"/>
            <w:shd w:val="clear" w:color="auto" w:fill="FFFF00"/>
            <w:noWrap/>
            <w:hideMark/>
          </w:tcPr>
          <w:p w14:paraId="2A2EDFD3" w14:textId="04066227" w:rsidR="005F2152" w:rsidRPr="0059240B" w:rsidRDefault="0029770D" w:rsidP="005F2152">
            <w:pPr>
              <w:jc w:val="center"/>
              <w:rPr>
                <w:rFonts w:cs="Calibri"/>
                <w:color w:val="000000"/>
                <w:sz w:val="24"/>
                <w:szCs w:val="24"/>
              </w:rPr>
            </w:pPr>
            <w:r w:rsidRPr="0059240B">
              <w:rPr>
                <w:rFonts w:cs="Calibri"/>
                <w:color w:val="000000"/>
                <w:sz w:val="24"/>
                <w:szCs w:val="24"/>
              </w:rPr>
              <w:t>102</w:t>
            </w:r>
            <w:r w:rsidR="005F2152" w:rsidRPr="0059240B">
              <w:rPr>
                <w:rFonts w:cs="Calibri"/>
                <w:color w:val="000000"/>
                <w:sz w:val="24"/>
                <w:szCs w:val="24"/>
              </w:rPr>
              <w:t>.0%</w:t>
            </w:r>
          </w:p>
        </w:tc>
        <w:tc>
          <w:tcPr>
            <w:tcW w:w="2877" w:type="dxa"/>
            <w:shd w:val="clear" w:color="auto" w:fill="FFFF00"/>
            <w:noWrap/>
            <w:hideMark/>
          </w:tcPr>
          <w:p w14:paraId="634D6E61" w14:textId="03F01B3C" w:rsidR="005F2152" w:rsidRPr="0059240B" w:rsidRDefault="0029770D" w:rsidP="005F2152">
            <w:pPr>
              <w:jc w:val="center"/>
              <w:rPr>
                <w:rFonts w:cs="Calibri"/>
                <w:color w:val="000000"/>
                <w:sz w:val="24"/>
                <w:szCs w:val="24"/>
              </w:rPr>
            </w:pPr>
            <w:r w:rsidRPr="0059240B">
              <w:rPr>
                <w:rFonts w:cs="Calibri"/>
                <w:color w:val="000000"/>
                <w:sz w:val="24"/>
                <w:szCs w:val="24"/>
              </w:rPr>
              <w:t>102</w:t>
            </w:r>
            <w:r w:rsidR="005F2152" w:rsidRPr="0059240B">
              <w:rPr>
                <w:rFonts w:cs="Calibri"/>
                <w:color w:val="000000"/>
                <w:sz w:val="24"/>
                <w:szCs w:val="24"/>
              </w:rPr>
              <w:t>.0%</w:t>
            </w:r>
          </w:p>
        </w:tc>
      </w:tr>
      <w:tr w:rsidR="005F2152" w:rsidRPr="0059240B" w14:paraId="22841407" w14:textId="77777777" w:rsidTr="005F2152">
        <w:trPr>
          <w:trHeight w:val="252"/>
        </w:trPr>
        <w:tc>
          <w:tcPr>
            <w:tcW w:w="2876" w:type="dxa"/>
            <w:shd w:val="clear" w:color="auto" w:fill="FFFF00"/>
            <w:noWrap/>
            <w:hideMark/>
          </w:tcPr>
          <w:p w14:paraId="38B625F0" w14:textId="77777777" w:rsidR="005F2152" w:rsidRPr="0059240B" w:rsidRDefault="005F2152" w:rsidP="005F2152">
            <w:pPr>
              <w:jc w:val="center"/>
              <w:rPr>
                <w:rFonts w:cs="Calibri"/>
                <w:color w:val="000000"/>
                <w:sz w:val="24"/>
                <w:szCs w:val="24"/>
              </w:rPr>
            </w:pPr>
            <w:r w:rsidRPr="0059240B">
              <w:rPr>
                <w:rFonts w:cs="Calibri"/>
                <w:color w:val="000000"/>
                <w:sz w:val="24"/>
                <w:szCs w:val="24"/>
              </w:rPr>
              <w:t>104</w:t>
            </w:r>
          </w:p>
        </w:tc>
        <w:tc>
          <w:tcPr>
            <w:tcW w:w="2877" w:type="dxa"/>
            <w:shd w:val="clear" w:color="auto" w:fill="FFFF00"/>
            <w:noWrap/>
            <w:hideMark/>
          </w:tcPr>
          <w:p w14:paraId="3EDA4194" w14:textId="2D516E97" w:rsidR="005F2152" w:rsidRPr="0059240B" w:rsidRDefault="0029770D" w:rsidP="005F2152">
            <w:pPr>
              <w:jc w:val="center"/>
              <w:rPr>
                <w:rFonts w:cs="Calibri"/>
                <w:color w:val="000000"/>
                <w:sz w:val="24"/>
                <w:szCs w:val="24"/>
              </w:rPr>
            </w:pPr>
            <w:r w:rsidRPr="0059240B">
              <w:rPr>
                <w:rFonts w:cs="Calibri"/>
                <w:color w:val="000000"/>
                <w:sz w:val="24"/>
                <w:szCs w:val="24"/>
              </w:rPr>
              <w:t>101</w:t>
            </w:r>
            <w:r w:rsidR="005F2152" w:rsidRPr="0059240B">
              <w:rPr>
                <w:rFonts w:cs="Calibri"/>
                <w:color w:val="000000"/>
                <w:sz w:val="24"/>
                <w:szCs w:val="24"/>
              </w:rPr>
              <w:t>.0%</w:t>
            </w:r>
          </w:p>
        </w:tc>
        <w:tc>
          <w:tcPr>
            <w:tcW w:w="2877" w:type="dxa"/>
            <w:shd w:val="clear" w:color="auto" w:fill="FFFF00"/>
            <w:noWrap/>
            <w:hideMark/>
          </w:tcPr>
          <w:p w14:paraId="561298FD" w14:textId="280C6DA0" w:rsidR="005F2152" w:rsidRPr="0059240B" w:rsidRDefault="0029770D" w:rsidP="005F2152">
            <w:pPr>
              <w:jc w:val="center"/>
              <w:rPr>
                <w:rFonts w:cs="Calibri"/>
                <w:color w:val="000000"/>
                <w:sz w:val="24"/>
                <w:szCs w:val="24"/>
              </w:rPr>
            </w:pPr>
            <w:r w:rsidRPr="0059240B">
              <w:rPr>
                <w:rFonts w:cs="Calibri"/>
                <w:color w:val="000000"/>
                <w:sz w:val="24"/>
                <w:szCs w:val="24"/>
              </w:rPr>
              <w:t>101</w:t>
            </w:r>
            <w:r w:rsidR="005F2152" w:rsidRPr="0059240B">
              <w:rPr>
                <w:rFonts w:cs="Calibri"/>
                <w:color w:val="000000"/>
                <w:sz w:val="24"/>
                <w:szCs w:val="24"/>
              </w:rPr>
              <w:t>.0%</w:t>
            </w:r>
          </w:p>
        </w:tc>
      </w:tr>
      <w:bookmarkEnd w:id="19"/>
      <w:tr w:rsidR="005F2152" w:rsidRPr="0059240B" w14:paraId="23EFAA01" w14:textId="77777777" w:rsidTr="005F2152">
        <w:trPr>
          <w:trHeight w:val="252"/>
        </w:trPr>
        <w:tc>
          <w:tcPr>
            <w:tcW w:w="2876" w:type="dxa"/>
            <w:shd w:val="clear" w:color="auto" w:fill="FFFF00"/>
            <w:noWrap/>
            <w:hideMark/>
          </w:tcPr>
          <w:p w14:paraId="40011C85" w14:textId="77777777" w:rsidR="005F2152" w:rsidRPr="0059240B" w:rsidRDefault="005F2152" w:rsidP="005F2152">
            <w:pPr>
              <w:jc w:val="center"/>
              <w:rPr>
                <w:rFonts w:cs="Calibri"/>
                <w:color w:val="000000"/>
                <w:sz w:val="24"/>
                <w:szCs w:val="24"/>
              </w:rPr>
            </w:pPr>
            <w:r w:rsidRPr="0059240B">
              <w:rPr>
                <w:rFonts w:cs="Calibri"/>
                <w:color w:val="000000"/>
                <w:sz w:val="24"/>
                <w:szCs w:val="24"/>
              </w:rPr>
              <w:t>&gt;=105</w:t>
            </w:r>
          </w:p>
        </w:tc>
        <w:tc>
          <w:tcPr>
            <w:tcW w:w="2877" w:type="dxa"/>
            <w:shd w:val="clear" w:color="auto" w:fill="FFFF00"/>
            <w:noWrap/>
            <w:hideMark/>
          </w:tcPr>
          <w:p w14:paraId="05AFFB34" w14:textId="77777777" w:rsidR="005F2152" w:rsidRPr="0059240B" w:rsidRDefault="005F2152" w:rsidP="005F2152">
            <w:pPr>
              <w:jc w:val="center"/>
              <w:rPr>
                <w:rFonts w:cs="Calibri"/>
                <w:color w:val="FF0000"/>
                <w:sz w:val="24"/>
                <w:szCs w:val="24"/>
              </w:rPr>
            </w:pPr>
            <w:r w:rsidRPr="0059240B">
              <w:rPr>
                <w:rFonts w:cs="Calibri"/>
                <w:color w:val="FF0000"/>
                <w:sz w:val="24"/>
                <w:szCs w:val="24"/>
              </w:rPr>
              <w:t>100.0%</w:t>
            </w:r>
          </w:p>
        </w:tc>
        <w:tc>
          <w:tcPr>
            <w:tcW w:w="2877" w:type="dxa"/>
            <w:shd w:val="clear" w:color="auto" w:fill="FFFF00"/>
            <w:noWrap/>
            <w:hideMark/>
          </w:tcPr>
          <w:p w14:paraId="4B44A80C" w14:textId="77777777" w:rsidR="005F2152" w:rsidRPr="0059240B" w:rsidRDefault="005F2152" w:rsidP="005F2152">
            <w:pPr>
              <w:jc w:val="center"/>
              <w:rPr>
                <w:rFonts w:cs="Calibri"/>
                <w:color w:val="FF0000"/>
                <w:sz w:val="24"/>
                <w:szCs w:val="24"/>
              </w:rPr>
            </w:pPr>
            <w:r w:rsidRPr="0059240B">
              <w:rPr>
                <w:rFonts w:cs="Calibri"/>
                <w:color w:val="FF0000"/>
                <w:sz w:val="24"/>
                <w:szCs w:val="24"/>
              </w:rPr>
              <w:t>100.0%</w:t>
            </w:r>
          </w:p>
        </w:tc>
      </w:tr>
    </w:tbl>
    <w:p w14:paraId="3C59B371" w14:textId="77777777" w:rsidR="005F2152" w:rsidRPr="0059240B" w:rsidRDefault="005F2152" w:rsidP="005F2152">
      <w:pPr>
        <w:spacing w:after="220" w:line="240" w:lineRule="auto"/>
        <w:rPr>
          <w:rFonts w:ascii="Times New Roman" w:eastAsia="Times New Roman" w:hAnsi="Times New Roman"/>
          <w:color w:val="FF0000"/>
        </w:rPr>
      </w:pPr>
    </w:p>
    <w:p w14:paraId="1E16D65A" w14:textId="062A0704" w:rsidR="003129FE" w:rsidRPr="0059240B" w:rsidRDefault="003129FE" w:rsidP="0029308A">
      <w:pPr>
        <w:spacing w:after="220" w:line="240" w:lineRule="auto"/>
        <w:ind w:left="2160"/>
        <w:rPr>
          <w:rFonts w:ascii="Times New Roman" w:eastAsia="Times New Roman" w:hAnsi="Times New Roman"/>
        </w:rPr>
      </w:pPr>
    </w:p>
    <w:p w14:paraId="6D2A0CE4" w14:textId="77777777"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10.</w:t>
      </w:r>
      <w:r w:rsidRPr="0059240B">
        <w:rPr>
          <w:rFonts w:ascii="Times New Roman" w:eastAsia="Times New Roman" w:hAnsi="Times New Roman"/>
        </w:rPr>
        <w:tab/>
        <w:t>Account Value Depletions</w:t>
      </w:r>
    </w:p>
    <w:p w14:paraId="013D6AA3"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The following assumptions shall be used when a contract’s Account Value reaches zero:</w:t>
      </w:r>
    </w:p>
    <w:p w14:paraId="2C30A098" w14:textId="087ADA56"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a) If the contract has a GMWB, the contract shall take partial withdrawals that </w:t>
      </w:r>
      <w:r w:rsidR="00380E09" w:rsidRPr="0059240B">
        <w:rPr>
          <w:rFonts w:ascii="Times New Roman" w:eastAsia="Times New Roman" w:hAnsi="Times New Roman"/>
        </w:rPr>
        <w:t xml:space="preserve">are </w:t>
      </w:r>
      <w:r w:rsidRPr="0059240B">
        <w:rPr>
          <w:rFonts w:ascii="Times New Roman" w:eastAsia="Times New Roman" w:hAnsi="Times New Roman"/>
        </w:rPr>
        <w:t>equal in amount each year to the guaranteed maximum annual withdrawal amount.</w:t>
      </w:r>
    </w:p>
    <w:p w14:paraId="608DB598" w14:textId="7FD653A2"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b) If the contract has a GMIB, the contract shall annuitize immediately. If the GMIB contractually terminates upon account value depletion, such termination provision is assumed to be voided in order to approximate the contract holder’s elect</w:t>
      </w:r>
      <w:r w:rsidR="00380E09" w:rsidRPr="0059240B">
        <w:rPr>
          <w:rFonts w:ascii="Times New Roman" w:eastAsia="Times New Roman" w:hAnsi="Times New Roman"/>
        </w:rPr>
        <w:t>ion</w:t>
      </w:r>
      <w:r w:rsidRPr="0059240B">
        <w:rPr>
          <w:rFonts w:ascii="Times New Roman" w:eastAsia="Times New Roman" w:hAnsi="Times New Roman"/>
        </w:rPr>
        <w:t xml:space="preserve"> to annuitize immediately before the depletion of the account value.</w:t>
      </w:r>
    </w:p>
    <w:p w14:paraId="377C6D69" w14:textId="6A9920B5"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c) If</w:t>
      </w:r>
      <w:r w:rsidRPr="0059240B">
        <w:t xml:space="preserve"> </w:t>
      </w:r>
      <w:r w:rsidRPr="0059240B">
        <w:rPr>
          <w:rFonts w:ascii="Times New Roman" w:eastAsia="Times New Roman" w:hAnsi="Times New Roman"/>
        </w:rPr>
        <w:t>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w:t>
      </w:r>
      <w:r w:rsidR="003E3E27" w:rsidRPr="0059240B">
        <w:rPr>
          <w:rFonts w:ascii="Times New Roman" w:eastAsia="Times New Roman" w:hAnsi="Times New Roman"/>
        </w:rPr>
        <w:t xml:space="preserve"> While the contract must remain in-force, benefit features may still be terminated according to contractual terms other than account value depletion provisions.</w:t>
      </w:r>
    </w:p>
    <w:p w14:paraId="3B7E2791" w14:textId="77777777" w:rsidR="003129FE" w:rsidRPr="0059240B" w:rsidRDefault="003129FE" w:rsidP="004E4618">
      <w:pPr>
        <w:spacing w:after="220" w:line="240" w:lineRule="auto"/>
        <w:ind w:left="2160" w:hanging="720"/>
        <w:rPr>
          <w:rFonts w:ascii="Times New Roman" w:eastAsia="Times New Roman" w:hAnsi="Times New Roman"/>
        </w:rPr>
      </w:pPr>
      <w:r w:rsidRPr="0059240B">
        <w:rPr>
          <w:rFonts w:ascii="Times New Roman" w:eastAsia="Times New Roman" w:hAnsi="Times New Roman"/>
        </w:rPr>
        <w:t>11.</w:t>
      </w:r>
      <w:r w:rsidRPr="0059240B">
        <w:rPr>
          <w:rFonts w:ascii="Times New Roman" w:eastAsia="Times New Roman" w:hAnsi="Times New Roman"/>
        </w:rPr>
        <w:tab/>
        <w:t xml:space="preserve">Other Voluntary Contract Terminations. </w:t>
      </w:r>
    </w:p>
    <w:p w14:paraId="71C0B805" w14:textId="09F3A6C4"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For contracts that have other elective provisions that allow a contract holder to terminate the contract voluntarily, the termination rate shall be calculated based on the Standard Table for Full Surrenders as detailed above in Table </w:t>
      </w:r>
      <w:r w:rsidR="00007E72" w:rsidRPr="0059240B">
        <w:rPr>
          <w:rFonts w:ascii="Times New Roman" w:eastAsia="Times New Roman" w:hAnsi="Times New Roman"/>
        </w:rPr>
        <w:t xml:space="preserve">6.3 </w:t>
      </w:r>
      <w:r w:rsidRPr="0059240B">
        <w:rPr>
          <w:rFonts w:ascii="Times New Roman" w:eastAsia="Times New Roman" w:hAnsi="Times New Roman"/>
        </w:rPr>
        <w:t>with the following adjustments:</w:t>
      </w:r>
    </w:p>
    <w:p w14:paraId="09608990"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a) If the contract holder is not yet eligible to terminate the contract under the elective provisions, the termination rate shall be zero.</w:t>
      </w:r>
    </w:p>
    <w:p w14:paraId="578A0299" w14:textId="63516FE3"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lastRenderedPageBreak/>
        <w:t xml:space="preserve">b) After the contract holder becomes eligible to terminate the contract under the elective provisions, the termination rate shall be determined using the “Subsequent years” column of Table </w:t>
      </w:r>
      <w:r w:rsidR="00007E72" w:rsidRPr="0059240B">
        <w:rPr>
          <w:rFonts w:ascii="Times New Roman" w:eastAsia="Times New Roman" w:hAnsi="Times New Roman"/>
        </w:rPr>
        <w:t>6.3</w:t>
      </w:r>
      <w:r w:rsidRPr="0059240B">
        <w:rPr>
          <w:rFonts w:ascii="Times New Roman" w:eastAsia="Times New Roman" w:hAnsi="Times New Roman"/>
        </w:rPr>
        <w:t>.</w:t>
      </w:r>
    </w:p>
    <w:p w14:paraId="649284A4" w14:textId="463E4AA1"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c) In using Table </w:t>
      </w:r>
      <w:r w:rsidR="00007E72" w:rsidRPr="0059240B">
        <w:rPr>
          <w:rFonts w:ascii="Times New Roman" w:eastAsia="Times New Roman" w:hAnsi="Times New Roman"/>
        </w:rPr>
        <w:t>6.3</w:t>
      </w:r>
      <w:r w:rsidRPr="0059240B">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63F77858" w14:textId="600D4C19"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d) For GMWB or hybrid GMIB contracts, </w:t>
      </w:r>
      <w:r w:rsidR="006C08C5" w:rsidRPr="0059240B">
        <w:rPr>
          <w:rFonts w:ascii="Times New Roman" w:eastAsia="Times New Roman" w:hAnsi="Times New Roman"/>
        </w:rPr>
        <w:t xml:space="preserve">for all contract years in which a withdrawal is projected, </w:t>
      </w:r>
      <w:r w:rsidRPr="0059240B">
        <w:rPr>
          <w:rFonts w:ascii="Times New Roman" w:eastAsia="Times New Roman" w:hAnsi="Times New Roman"/>
        </w:rPr>
        <w:t xml:space="preserve">the termination rate obtained from Table </w:t>
      </w:r>
      <w:r w:rsidR="00007E72" w:rsidRPr="0059240B">
        <w:rPr>
          <w:rFonts w:ascii="Times New Roman" w:eastAsia="Times New Roman" w:hAnsi="Times New Roman"/>
        </w:rPr>
        <w:t xml:space="preserve">6.3 </w:t>
      </w:r>
      <w:r w:rsidRPr="0059240B">
        <w:rPr>
          <w:rFonts w:ascii="Times New Roman" w:eastAsia="Times New Roman" w:hAnsi="Times New Roman"/>
        </w:rPr>
        <w:t>shall be additionally multiplied by 60%.</w:t>
      </w:r>
    </w:p>
    <w:p w14:paraId="27D0AFF9" w14:textId="77777777" w:rsidR="003129FE" w:rsidRPr="0059240B" w:rsidRDefault="003129FE" w:rsidP="004E4618">
      <w:pPr>
        <w:spacing w:after="220" w:line="240" w:lineRule="auto"/>
        <w:ind w:left="2160"/>
        <w:rPr>
          <w:rFonts w:ascii="Times New Roman" w:eastAsia="Times New Roman" w:hAnsi="Times New Roman"/>
        </w:rPr>
      </w:pPr>
      <w:r w:rsidRPr="0059240B">
        <w:rPr>
          <w:rFonts w:ascii="Times New Roman" w:eastAsia="Times New Roman" w:hAnsi="Times New Roman"/>
        </w:rPr>
        <w:t>For calculating the ITM of a hybrid GMIB, the guaranteed benefit’s GAPV shall be the larger of the Annuitization GAPV or the Withdrawal GAPV.</w:t>
      </w:r>
    </w:p>
    <w:p w14:paraId="1C9E52F8" w14:textId="525446D6" w:rsidR="003129FE" w:rsidRPr="0059240B" w:rsidRDefault="003129FE" w:rsidP="004E4618">
      <w:pPr>
        <w:spacing w:after="220" w:line="240" w:lineRule="auto"/>
        <w:ind w:left="1440"/>
        <w:rPr>
          <w:rFonts w:ascii="Times New Roman" w:eastAsia="Times New Roman" w:hAnsi="Times New Roman"/>
        </w:rPr>
      </w:pPr>
    </w:p>
    <w:p w14:paraId="66364536" w14:textId="508A3F17" w:rsidR="003129FE" w:rsidRPr="0059240B" w:rsidRDefault="003129FE" w:rsidP="004E4618">
      <w:pPr>
        <w:spacing w:after="220" w:line="240" w:lineRule="auto"/>
        <w:ind w:left="2160"/>
        <w:rPr>
          <w:rFonts w:ascii="Times New Roman" w:eastAsia="Times New Roman" w:hAnsi="Times New Roman"/>
        </w:rPr>
      </w:pPr>
    </w:p>
    <w:p w14:paraId="4B0A02FB" w14:textId="77777777" w:rsidR="003129FE" w:rsidRPr="0059240B" w:rsidRDefault="003129FE" w:rsidP="00CC2E32">
      <w:pPr>
        <w:pStyle w:val="ListParagraph"/>
        <w:spacing w:after="220" w:line="240" w:lineRule="auto"/>
        <w:ind w:left="2160"/>
        <w:contextualSpacing w:val="0"/>
        <w:rPr>
          <w:rFonts w:ascii="Times New Roman" w:eastAsia="Times New Roman" w:hAnsi="Times New Roman"/>
        </w:rPr>
      </w:pPr>
      <w:r w:rsidRPr="0059240B">
        <w:rPr>
          <w:rFonts w:ascii="Times New Roman" w:eastAsia="Times New Roman" w:hAnsi="Times New Roman"/>
        </w:rPr>
        <w:tab/>
      </w:r>
    </w:p>
    <w:p w14:paraId="5A213345" w14:textId="77777777" w:rsidR="003129FE" w:rsidRPr="0059240B" w:rsidRDefault="003129FE" w:rsidP="004E4618">
      <w:pPr>
        <w:pStyle w:val="Heading3"/>
        <w:spacing w:after="220"/>
        <w:jc w:val="left"/>
      </w:pPr>
    </w:p>
    <w:p w14:paraId="7B75C3ED" w14:textId="532EC4BE" w:rsidR="003129FE" w:rsidRPr="0059240B" w:rsidRDefault="003129FE">
      <w:pPr>
        <w:rPr>
          <w:rFonts w:ascii="Times New Roman" w:eastAsia="Times New Roman" w:hAnsi="Times New Roman"/>
        </w:rPr>
      </w:pPr>
      <w:r w:rsidRPr="0059240B">
        <w:rPr>
          <w:rFonts w:ascii="Times New Roman" w:eastAsia="Times New Roman" w:hAnsi="Times New Roman"/>
        </w:rPr>
        <w:br w:type="page"/>
      </w:r>
    </w:p>
    <w:p w14:paraId="20326468" w14:textId="77777777" w:rsidR="003129FE" w:rsidRPr="0059240B" w:rsidRDefault="003129FE" w:rsidP="004E4618">
      <w:pPr>
        <w:pStyle w:val="Heading2"/>
        <w:spacing w:after="280"/>
        <w:jc w:val="center"/>
        <w:rPr>
          <w:rFonts w:ascii="Times New Roman" w:hAnsi="Times New Roman"/>
          <w:sz w:val="22"/>
          <w:szCs w:val="22"/>
          <w:u w:val="none"/>
        </w:rPr>
      </w:pPr>
      <w:bookmarkStart w:id="20" w:name="_VM-21:_Requirements_for"/>
      <w:bookmarkEnd w:id="20"/>
      <w:r w:rsidRPr="0059240B">
        <w:rPr>
          <w:rFonts w:ascii="Times New Roman" w:hAnsi="Times New Roman"/>
          <w:sz w:val="22"/>
          <w:szCs w:val="22"/>
          <w:u w:val="none"/>
        </w:rPr>
        <w:lastRenderedPageBreak/>
        <w:t>VM-21: Requirements for Principle-Based Reserves for Variable Annuities</w:t>
      </w:r>
    </w:p>
    <w:p w14:paraId="4842B130" w14:textId="77777777" w:rsidR="003129FE" w:rsidRPr="0059240B" w:rsidRDefault="003129FE" w:rsidP="00C1202E">
      <w:pPr>
        <w:pStyle w:val="Heading3"/>
        <w:rPr>
          <w:sz w:val="22"/>
          <w:szCs w:val="22"/>
        </w:rPr>
      </w:pPr>
    </w:p>
    <w:p w14:paraId="41945C3F" w14:textId="62A33EDA" w:rsidR="003129FE" w:rsidRPr="0059240B" w:rsidRDefault="003129FE" w:rsidP="0021502F">
      <w:pPr>
        <w:pStyle w:val="Heading3"/>
        <w:spacing w:after="220"/>
        <w:rPr>
          <w:sz w:val="22"/>
          <w:szCs w:val="22"/>
        </w:rPr>
      </w:pPr>
      <w:r w:rsidRPr="0059240B">
        <w:rPr>
          <w:sz w:val="22"/>
          <w:szCs w:val="22"/>
        </w:rPr>
        <w:t>Section 7: Alternative Methodology</w:t>
      </w:r>
    </w:p>
    <w:p w14:paraId="73A3C69C" w14:textId="77777777" w:rsidR="003129FE" w:rsidRPr="0059240B" w:rsidRDefault="003129FE" w:rsidP="0021502F">
      <w:pPr>
        <w:spacing w:after="220" w:line="240" w:lineRule="auto"/>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General Methodology</w:t>
      </w:r>
    </w:p>
    <w:p w14:paraId="6D0733D3" w14:textId="77777777"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General Methodology Description</w:t>
      </w:r>
    </w:p>
    <w:p w14:paraId="485C07E2" w14:textId="7C3A04B3"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a. For variable deferred annuity contracts that either contain no guaranteed benefits or only GMDBs, including “earnings enhanced death benefits,” (i.e., no VAGLBs), the reserve may be determined by using the method outlined below rather than by using the approach described in Section 3.C and Section 3.D (i.e., based on projections), provided the approach described in Section 3.D has not been used in prior valuations or else approval has been obtained from the domiciliary commissioner.</w:t>
      </w:r>
    </w:p>
    <w:p w14:paraId="6583606D" w14:textId="3BB61E9C" w:rsidR="003129FE" w:rsidRPr="0059240B" w:rsidRDefault="003129FE" w:rsidP="00063E8C">
      <w:pPr>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b. The reserve determined using the Alternative Methodology for a group of contracts with GMDBs shall be determined as the sum of amounts obtained by applying factors to each contract in force as of a valuation date and adding this to the contract’s cash surrender value. </w:t>
      </w:r>
      <w:r w:rsidRPr="0059240B">
        <w:rPr>
          <w:rFonts w:ascii="Times New Roman" w:eastAsia="Times New Roman" w:hAnsi="Times New Roman"/>
          <w:bCs/>
        </w:rPr>
        <w:t>c.</w:t>
      </w:r>
      <w:r w:rsidRPr="0059240B">
        <w:rPr>
          <w:rFonts w:ascii="Times New Roman" w:hAnsi="Times New Roman"/>
        </w:rPr>
        <w:t xml:space="preserve"> </w:t>
      </w:r>
      <w:r w:rsidRPr="0059240B">
        <w:rPr>
          <w:rFonts w:ascii="Times New Roman" w:eastAsia="Times New Roman" w:hAnsi="Times New Roman"/>
        </w:rPr>
        <w:t>The amount that is added to an individual contract’s cash surrender value may be negative, zero or positive, thus resulting in a reserve for a given contract that could be less than, equal to or greater than the cash surrender value.  The resulting reserve in aggregate shall not be less than the greater of the cash surrender value or the reserve determined by applying Guideline XXXIII in VM-C, each in aggregate for the group of contracts to which the Alternative Methodology is applied.</w:t>
      </w:r>
    </w:p>
    <w:p w14:paraId="7C1729A9" w14:textId="11FD3CC3"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d. The reserve determined using the Alternative Methodology for a group of contracts that contain no guaranteed benefits shall be determined using an application of Guideline XXXIII in VM-C, as described below.</w:t>
      </w:r>
    </w:p>
    <w:p w14:paraId="1FA62019" w14:textId="77777777" w:rsidR="003129FE" w:rsidRPr="0059240B" w:rsidRDefault="003129FE" w:rsidP="0021502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59240B">
        <w:rPr>
          <w:rFonts w:ascii="Times New Roman" w:eastAsia="Times New Roman" w:hAnsi="Times New Roman"/>
          <w:b/>
          <w:bCs/>
        </w:rPr>
        <w:t>Guidance Note:</w:t>
      </w:r>
      <w:r w:rsidRPr="0059240B">
        <w:rPr>
          <w:rFonts w:ascii="Times New Roman" w:eastAsia="Times New Roman" w:hAnsi="Times New Roman"/>
          <w:bCs/>
        </w:rPr>
        <w:t xml:space="preserve"> </w:t>
      </w:r>
      <w:r w:rsidRPr="0059240B">
        <w:rPr>
          <w:rFonts w:ascii="Times New Roman" w:eastAsia="Times New Roman" w:hAnsi="Times New Roman"/>
        </w:rPr>
        <w:t>The term “contracts that contain no guaranteed benefits” means that there are no guaranteed benefits at any time during the life of the contract (past, present or future).</w:t>
      </w:r>
    </w:p>
    <w:p w14:paraId="432A218B" w14:textId="22A5C849"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e. For purposes of performing the Alternative Methodology, materially similar contracts within the group may be combined together into subgroups to facilitate application of the factors. Specifically, all contracts comprising a “subgroup” must display substantially similar characteristics for those attributes expected to affect reserves (e.g., definition of guaranteed benefits, attained age, contract duration, years-to-maturity, market-to-guaranteed value, asset mix, etc.). Grouping shall be the responsibility of the actuary but may not be done in a manner that intentionally understates the resulting reserve.</w:t>
      </w:r>
    </w:p>
    <w:p w14:paraId="32FDD97A" w14:textId="47F8AE35" w:rsidR="00831038" w:rsidRPr="0059240B" w:rsidRDefault="00831038"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f. The Alternative Methodology, as described in this section, produces a pre-reinsurance-ceded reserve. The post-reinsurance-ceded reserve is discussed in Section 5.3.</w:t>
      </w:r>
    </w:p>
    <w:p w14:paraId="2C900723" w14:textId="5DC3C1A3" w:rsidR="00831038" w:rsidRPr="0059240B" w:rsidRDefault="00831038"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g. Instructions and factors for the Alternative Method can be found on the website of the American Academy of Actuaries at: http://www.actuary.org/content/c3-phase-ii-rbc-and-reserves-project</w:t>
      </w:r>
    </w:p>
    <w:p w14:paraId="4255AFC2" w14:textId="3B10C3B5"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position w:val="-1"/>
        </w:rPr>
        <w:t>2.</w:t>
      </w:r>
      <w:r w:rsidRPr="0059240B">
        <w:rPr>
          <w:rFonts w:ascii="Times New Roman" w:eastAsia="Times New Roman" w:hAnsi="Times New Roman"/>
          <w:position w:val="-1"/>
        </w:rPr>
        <w:tab/>
        <w:t>Definitions of Terms Used in This Section</w:t>
      </w:r>
    </w:p>
    <w:p w14:paraId="6C446C48"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Annualized Account Charge Differential: This term is the charge as percentage account value (revenue for the company) minus the expense as percentage of account value.</w:t>
      </w:r>
    </w:p>
    <w:p w14:paraId="17FAF8F3"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Asset Exposure: Asset exposure refers to the greatest possible loss to the insurance company from the value of assets underlying general or separate account contracts falling to zero.</w:t>
      </w:r>
    </w:p>
    <w:p w14:paraId="122D403F"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lastRenderedPageBreak/>
        <w:t>c.</w:t>
      </w:r>
      <w:r w:rsidRPr="0059240B">
        <w:rPr>
          <w:rFonts w:ascii="Times New Roman" w:eastAsia="Times New Roman" w:hAnsi="Times New Roman"/>
        </w:rPr>
        <w:tab/>
        <w:t>Benchmark: Benchmarks have similar risk characteristics to the entity (e.g., asset class, index or fund) to be modeled.</w:t>
      </w:r>
    </w:p>
    <w:p w14:paraId="6D066CAD"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Deterministic Calculations: In a deterministic calculation, a given event (e.g., asset returns going up by 7% and then down by 5%) is assumed to occur with certainty. In a stochastic calculation, events are assigned probabilities.</w:t>
      </w:r>
    </w:p>
    <w:p w14:paraId="2A84271A" w14:textId="0D30B972" w:rsidR="003129FE" w:rsidRPr="0059240B" w:rsidRDefault="003129FE" w:rsidP="0021502F">
      <w:pPr>
        <w:tabs>
          <w:tab w:val="left" w:pos="2260"/>
        </w:tabs>
        <w:spacing w:after="220" w:line="240" w:lineRule="auto"/>
        <w:ind w:left="2160" w:hanging="720"/>
        <w:jc w:val="both"/>
        <w:rPr>
          <w:rFonts w:ascii="Times New Roman" w:hAnsi="Times New Roman"/>
          <w:position w:val="-1"/>
        </w:rPr>
      </w:pPr>
      <w:r w:rsidRPr="0059240B">
        <w:rPr>
          <w:rFonts w:ascii="Times New Roman" w:eastAsia="Times New Roman" w:hAnsi="Times New Roman"/>
          <w:position w:val="-1"/>
        </w:rPr>
        <w:t>e.</w:t>
      </w:r>
      <w:r w:rsidRPr="0059240B">
        <w:rPr>
          <w:rFonts w:ascii="Times New Roman" w:eastAsia="Times New Roman" w:hAnsi="Times New Roman"/>
          <w:position w:val="-1"/>
        </w:rPr>
        <w:tab/>
        <w:t xml:space="preserve">Foreign Securities: These are securities issued by entities outside the U.S. </w:t>
      </w:r>
    </w:p>
    <w:p w14:paraId="2ADCECD5"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t>Grouped Fund Holdings: Grouped fund holdings relate to guarantees that apply across multiple deposits or for an entire contract instead of on a deposit-by-deposit basis.</w:t>
      </w:r>
    </w:p>
    <w:p w14:paraId="78767FCB"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g.</w:t>
      </w:r>
      <w:r w:rsidRPr="0059240B">
        <w:rPr>
          <w:rFonts w:ascii="Times New Roman" w:eastAsia="Times New Roman" w:hAnsi="Times New Roman"/>
        </w:rPr>
        <w:tab/>
        <w:t>Guaranteed Value: The guaranteed value is the benefit base or a substitute for the account value (if greater than the account value) in the calculation of living benefits or death benefits. The methodology for setting the guaranteed value is defined in the variable annuity contract.</w:t>
      </w:r>
    </w:p>
    <w:p w14:paraId="75117578" w14:textId="2146F0DB"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h.</w:t>
      </w:r>
      <w:r w:rsidRPr="0059240B">
        <w:rPr>
          <w:rFonts w:ascii="Times New Roman" w:eastAsia="Times New Roman" w:hAnsi="Times New Roman"/>
        </w:rPr>
        <w:tab/>
        <w:t>High-Yield Bonds: High-yield bonds are below investment grade, with NAIC ratings (if assigned) of 3, 4, 5 or 6. Compared to investment grade bonds, these bonds have higher risk of loss due to credit events. Funds predominately containing securities that are not NAIC rated as 1 or 2 (or similar agency ratings) are considered to be high-yield.</w:t>
      </w:r>
    </w:p>
    <w:p w14:paraId="39D47DFF"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Investment Grade Fixed Income Securities: Securities with NAIC ratings of 1 or 2 are investment grade. Funds containing securities predominately with NAIC ratings of 1 or 2 or with similar agency ratings are considered to be investment grade.</w:t>
      </w:r>
    </w:p>
    <w:p w14:paraId="27F26DCA"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j.</w:t>
      </w:r>
      <w:r w:rsidRPr="0059240B">
        <w:rPr>
          <w:rFonts w:ascii="Times New Roman" w:eastAsia="Times New Roman" w:hAnsi="Times New Roman"/>
        </w:rPr>
        <w:tab/>
        <w:t>Liquid Securities: These securities can be sold and converted into cash at a price close to its true value in a short period of time.</w:t>
      </w:r>
    </w:p>
    <w:p w14:paraId="1A6AA32B" w14:textId="3992BC01"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k.</w:t>
      </w:r>
      <w:r w:rsidRPr="0059240B">
        <w:rPr>
          <w:rFonts w:ascii="Times New Roman" w:eastAsia="Times New Roman" w:hAnsi="Times New Roman"/>
        </w:rPr>
        <w:tab/>
        <w:t>Margin Offset: Margin offset is the portion of charges plus any revenue-sharing allowed under Section 4.A.5 available to fund claims and amortization of the unamortized surrender charges allowance.</w:t>
      </w:r>
    </w:p>
    <w:p w14:paraId="080278B9"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l.</w:t>
      </w:r>
      <w:r w:rsidRPr="0059240B">
        <w:rPr>
          <w:rFonts w:ascii="Times New Roman" w:eastAsia="Times New Roman" w:hAnsi="Times New Roman"/>
        </w:rPr>
        <w:tab/>
        <w:t>Multi-Point Linear Interpolation: This methodology is documented in mathematical literature and calculates factors based on multiple attributes categorized with discrete values where the attributes’ actual values may be between the discrete values.</w:t>
      </w:r>
    </w:p>
    <w:p w14:paraId="61DE0B5A" w14:textId="7777777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m.</w:t>
      </w:r>
      <w:r w:rsidRPr="0059240B">
        <w:rPr>
          <w:rFonts w:ascii="Times New Roman" w:eastAsia="Times New Roman" w:hAnsi="Times New Roman"/>
        </w:rPr>
        <w:tab/>
        <w:t>Model Office: A model office converts many contracts with similar features into one contract with specific features for modeling purposes.</w:t>
      </w:r>
    </w:p>
    <w:p w14:paraId="1E6653BD" w14:textId="1E663A32"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p>
    <w:p w14:paraId="56A73D8B" w14:textId="78491406"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n.</w:t>
      </w:r>
      <w:r w:rsidRPr="0059240B">
        <w:rPr>
          <w:rFonts w:ascii="Times New Roman" w:eastAsia="Times New Roman" w:hAnsi="Times New Roman"/>
        </w:rPr>
        <w:tab/>
        <w:t>Quota-Share Reinsurance: In this type of reinsurance treaty, the same proportion is ceded on all cessions. The reinsurer assumes a set percentage of risk for the same percentage of the premium, minus an allowance for the ceding company’s expenses.</w:t>
      </w:r>
    </w:p>
    <w:p w14:paraId="68F0ED10" w14:textId="52D35B17"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o.</w:t>
      </w:r>
      <w:r w:rsidRPr="0059240B">
        <w:rPr>
          <w:rFonts w:ascii="Times New Roman" w:eastAsia="Times New Roman" w:hAnsi="Times New Roman"/>
        </w:rPr>
        <w:tab/>
        <w:t>Resets: A reset benefit results in a future minimum guaranteed benefit being set equal to the contract’s account value at previous set date(s) after contract inception.</w:t>
      </w:r>
    </w:p>
    <w:p w14:paraId="7DC36A68" w14:textId="115A73C6" w:rsidR="003129FE" w:rsidRPr="0059240B" w:rsidRDefault="003129FE" w:rsidP="0021502F">
      <w:pPr>
        <w:tabs>
          <w:tab w:val="left" w:pos="226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p.</w:t>
      </w:r>
      <w:r w:rsidRPr="0059240B">
        <w:rPr>
          <w:rFonts w:ascii="Times New Roman" w:eastAsia="Times New Roman" w:hAnsi="Times New Roman"/>
        </w:rPr>
        <w:tab/>
        <w:t>Risk Mitigation Strategy: A risk mitigation strategy is a device to reduce the probability and/or impact of a risk below an acceptable threshold.</w:t>
      </w:r>
    </w:p>
    <w:p w14:paraId="4CD611B0" w14:textId="5618346A"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q.</w:t>
      </w:r>
      <w:r w:rsidRPr="0059240B">
        <w:rPr>
          <w:rFonts w:ascii="Times New Roman" w:eastAsia="Times New Roman" w:hAnsi="Times New Roman"/>
        </w:rPr>
        <w:tab/>
        <w:t>Risk Profile: Risk profile in these requirements relates to the prescribed asset class categorized by the volatility of returns associated with that class.</w:t>
      </w:r>
    </w:p>
    <w:p w14:paraId="4B717B28" w14:textId="799FBD44"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lastRenderedPageBreak/>
        <w:t>r.</w:t>
      </w:r>
      <w:r w:rsidRPr="0059240B">
        <w:rPr>
          <w:rFonts w:ascii="Times New Roman" w:eastAsia="Times New Roman" w:hAnsi="Times New Roman"/>
        </w:rPr>
        <w:tab/>
        <w:t>Risk Transfer Arrangements: A risk transfer arrangement shifts risk exposures (e.g., the responsibility to pay at least a portion of future contingent claims) away from the original insurer.</w:t>
      </w:r>
    </w:p>
    <w:p w14:paraId="5B8E8EC9" w14:textId="002CD61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s.</w:t>
      </w:r>
      <w:r w:rsidRPr="0059240B">
        <w:rPr>
          <w:rFonts w:ascii="Times New Roman" w:eastAsia="Times New Roman" w:hAnsi="Times New Roman"/>
        </w:rPr>
        <w:tab/>
        <w:t>Roll-Up: A roll-up benefit results in the guaranteed value associated with a minimum contractual guarantee increasing at a contractually defined interest rate.</w:t>
      </w:r>
    </w:p>
    <w:p w14:paraId="0708AC62" w14:textId="531DD18C"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position w:val="-1"/>
        </w:rPr>
        <w:t>t.</w:t>
      </w:r>
      <w:r w:rsidRPr="0059240B">
        <w:rPr>
          <w:rFonts w:ascii="Times New Roman" w:eastAsia="Times New Roman" w:hAnsi="Times New Roman"/>
          <w:position w:val="-1"/>
        </w:rPr>
        <w:tab/>
        <w:t>Volatility: Volatility refers to the annualized standard deviation of asset returns.</w:t>
      </w:r>
    </w:p>
    <w:p w14:paraId="72C9ECA3" w14:textId="77777777" w:rsidR="003129FE" w:rsidRPr="0059240B" w:rsidRDefault="003129FE" w:rsidP="004E4618">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Contract-by-Contract Application for Contracts That Contain No Guaranteed Living or Death Benefits</w:t>
      </w:r>
    </w:p>
    <w:p w14:paraId="47881C88" w14:textId="2AE2AF08"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The Alternative Methodology reserve for each contract that contains no guaranteed living or death benefits shall be determined by applying Guideline XXXIII in VM-C. The application shall assume a return on separate account assets equal to the valuation interest rate for a non-variable annuity with similar features issued during the first calendar quarter of the same calendar year less appropriate </w:t>
      </w:r>
      <w:r w:rsidR="003C482A" w:rsidRPr="0059240B">
        <w:rPr>
          <w:rFonts w:ascii="Times New Roman" w:eastAsia="Times New Roman" w:hAnsi="Times New Roman"/>
        </w:rPr>
        <w:t>asset-based</w:t>
      </w:r>
      <w:r w:rsidRPr="0059240B">
        <w:rPr>
          <w:rFonts w:ascii="Times New Roman" w:eastAsia="Times New Roman" w:hAnsi="Times New Roman"/>
        </w:rPr>
        <w:t xml:space="preserve"> charges. It also shall assume a return for any fixed separate account and general account options equal to the rates guaranteed under the contract.</w:t>
      </w:r>
    </w:p>
    <w:p w14:paraId="6CD9CB8F" w14:textId="31548B01" w:rsidR="003129FE" w:rsidRPr="0059240B" w:rsidRDefault="003129FE" w:rsidP="0021502F">
      <w:pPr>
        <w:keepNext/>
        <w:keepLines/>
        <w:spacing w:after="220" w:line="240" w:lineRule="auto"/>
        <w:ind w:left="1440" w:hanging="720"/>
        <w:jc w:val="both"/>
        <w:rPr>
          <w:rFonts w:ascii="Times New Roman" w:eastAsia="Times New Roman" w:hAnsi="Times New Roman"/>
          <w:position w:val="-1"/>
        </w:rPr>
      </w:pPr>
      <w:r w:rsidRPr="0059240B">
        <w:rPr>
          <w:rFonts w:ascii="Times New Roman" w:eastAsia="Times New Roman" w:hAnsi="Times New Roman"/>
          <w:position w:val="-1"/>
        </w:rPr>
        <w:t>4.</w:t>
      </w:r>
      <w:r w:rsidRPr="0059240B">
        <w:rPr>
          <w:rFonts w:ascii="Times New Roman" w:eastAsia="Times New Roman" w:hAnsi="Times New Roman"/>
          <w:position w:val="-1"/>
        </w:rPr>
        <w:tab/>
        <w:t>Contract-by-Contract Application for Contracts That Contain GMDBs Only</w:t>
      </w:r>
    </w:p>
    <w:p w14:paraId="7A6329B4" w14:textId="77777777" w:rsidR="003129FE" w:rsidRPr="0059240B" w:rsidRDefault="003129FE" w:rsidP="004E4618">
      <w:pPr>
        <w:keepNext/>
        <w:keepLines/>
        <w:spacing w:after="0" w:line="240" w:lineRule="auto"/>
        <w:ind w:left="1440"/>
        <w:jc w:val="both"/>
        <w:rPr>
          <w:rFonts w:ascii="Times New Roman" w:eastAsia="Times New Roman" w:hAnsi="Times New Roman"/>
          <w:position w:val="-1"/>
        </w:rPr>
      </w:pPr>
      <w:r w:rsidRPr="0059240B">
        <w:rPr>
          <w:rFonts w:ascii="Times New Roman" w:eastAsia="Times New Roman" w:hAnsi="Times New Roman"/>
          <w:position w:val="-1"/>
        </w:rPr>
        <w:t xml:space="preserve">For each contract, factors are used to determine a dollar amount, equal to </w:t>
      </w:r>
    </w:p>
    <w:p w14:paraId="4943C8DD" w14:textId="77777777" w:rsidR="003129FE" w:rsidRPr="0059240B" w:rsidRDefault="003129FE" w:rsidP="00063E8C">
      <w:pPr>
        <w:keepNext/>
        <w:keepLines/>
        <w:spacing w:after="0" w:line="240" w:lineRule="auto"/>
        <w:ind w:left="1440"/>
        <w:jc w:val="both"/>
        <w:rPr>
          <w:rFonts w:ascii="Times New Roman" w:eastAsia="Times New Roman" w:hAnsi="Times New Roman"/>
          <w:position w:val="-1"/>
        </w:rPr>
      </w:pPr>
      <w:r w:rsidRPr="0059240B">
        <w:rPr>
          <w:rFonts w:ascii="Times New Roman" w:eastAsia="Times New Roman" w:hAnsi="Times New Roman"/>
          <w:i/>
          <w:position w:val="-1"/>
        </w:rPr>
        <w:t>R</w:t>
      </w:r>
      <w:r w:rsidRPr="0059240B">
        <w:rPr>
          <w:rFonts w:ascii="Times New Roman" w:eastAsia="Times New Roman" w:hAnsi="Times New Roman"/>
          <w:position w:val="-1"/>
        </w:rPr>
        <w:t xml:space="preserve"> x (</w:t>
      </w:r>
      <w:r w:rsidRPr="0059240B">
        <w:rPr>
          <w:rFonts w:ascii="Times New Roman" w:eastAsia="Times New Roman" w:hAnsi="Times New Roman"/>
          <w:i/>
          <w:position w:val="-1"/>
        </w:rPr>
        <w:t>CA + FE)</w:t>
      </w:r>
      <w:r w:rsidRPr="0059240B">
        <w:rPr>
          <w:rFonts w:ascii="Times New Roman" w:eastAsia="Times New Roman" w:hAnsi="Times New Roman"/>
          <w:position w:val="-1"/>
        </w:rPr>
        <w:t xml:space="preserve"> + GC (as described below), that is to be added to that contract’s cash surrender value as of the valuation date. The dollar amount to be added for any given contract may be negative, zero or positive. The factors that are applied to each contract shall reflect the following attributes as of the valuation date.</w:t>
      </w:r>
    </w:p>
    <w:p w14:paraId="487DA478"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The contractual features of the variable annuity product.</w:t>
      </w:r>
    </w:p>
    <w:p w14:paraId="171B75CC"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r>
      <w:r w:rsidRPr="0059240B">
        <w:rPr>
          <w:rFonts w:ascii="Times New Roman" w:eastAsia="Times New Roman" w:hAnsi="Times New Roman"/>
          <w:spacing w:val="-4"/>
        </w:rPr>
        <w:t>The actual issue age, period since issue, attained age, years-to-maturity and gender applicable to the contract.</w:t>
      </w:r>
    </w:p>
    <w:p w14:paraId="1382E3A9"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The account value and composition by type of underlying variable or fixed fund.</w:t>
      </w:r>
    </w:p>
    <w:p w14:paraId="1F6487FD"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Any surrender charges.</w:t>
      </w:r>
    </w:p>
    <w:p w14:paraId="6EC1B439"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The GMDB and the type of adjustment made to the GMDB for partial withdrawals (e.g., proportional or dollar-for-dollar adjustment).</w:t>
      </w:r>
    </w:p>
    <w:p w14:paraId="182BDB35" w14:textId="35F374E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t>Expenses to be incurred and revenues to be received by the company as estimated on a prudent estimate basis and complying with the requirements for revenue sharing as described in Section 4.A.5.</w:t>
      </w:r>
    </w:p>
    <w:p w14:paraId="65853454" w14:textId="77777777" w:rsidR="003129FE" w:rsidRPr="0059240B" w:rsidRDefault="003129FE" w:rsidP="0021502F">
      <w:pPr>
        <w:keepNext/>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5.</w:t>
      </w:r>
      <w:r w:rsidRPr="0059240B">
        <w:rPr>
          <w:rFonts w:ascii="Times New Roman" w:eastAsia="Times New Roman" w:hAnsi="Times New Roman"/>
        </w:rPr>
        <w:tab/>
        <w:t>Factor Components</w:t>
      </w:r>
    </w:p>
    <w:p w14:paraId="42355D92" w14:textId="77777777" w:rsidR="003129FE" w:rsidRPr="0059240B" w:rsidRDefault="003129FE" w:rsidP="0021502F">
      <w:pPr>
        <w:keepNext/>
        <w:spacing w:after="220" w:line="240" w:lineRule="auto"/>
        <w:ind w:left="1440"/>
        <w:jc w:val="both"/>
        <w:rPr>
          <w:rFonts w:ascii="Times New Roman" w:eastAsia="Times New Roman" w:hAnsi="Times New Roman"/>
        </w:rPr>
      </w:pPr>
      <w:r w:rsidRPr="0059240B">
        <w:rPr>
          <w:rFonts w:ascii="Times New Roman" w:eastAsia="Times New Roman" w:hAnsi="Times New Roman"/>
        </w:rPr>
        <w:t>Factors shall be applied to determine each of the following components.</w:t>
      </w:r>
    </w:p>
    <w:p w14:paraId="63B4D7DF" w14:textId="77777777" w:rsidR="003129FE" w:rsidRPr="0059240B" w:rsidRDefault="003129FE" w:rsidP="0021502F">
      <w:pPr>
        <w:keepNext/>
        <w:tabs>
          <w:tab w:val="left" w:pos="1080"/>
          <w:tab w:val="left" w:pos="180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i/>
        </w:rPr>
        <w:t>CA</w:t>
      </w:r>
      <w:r w:rsidRPr="0059240B">
        <w:rPr>
          <w:rFonts w:ascii="Times New Roman" w:eastAsia="Times New Roman" w:hAnsi="Times New Roman"/>
          <w:i/>
        </w:rPr>
        <w:tab/>
      </w:r>
      <w:r w:rsidRPr="0059240B">
        <w:rPr>
          <w:rFonts w:ascii="Times New Roman" w:eastAsia="Times New Roman" w:hAnsi="Times New Roman"/>
        </w:rPr>
        <w:t>=</w:t>
      </w:r>
      <w:r w:rsidRPr="0059240B">
        <w:rPr>
          <w:rFonts w:ascii="Times New Roman" w:eastAsia="Times New Roman" w:hAnsi="Times New Roman"/>
        </w:rPr>
        <w:tab/>
        <w:t>Provision for amortization of the unamortized surrender charges calculated by the insurer based on each contract’s surrender charge schedule, using prescribed assumptions, except that lapse rates shall be based on the insurer’s prudent estimate, but with no provision for federal income taxes or mortality.</w:t>
      </w:r>
    </w:p>
    <w:p w14:paraId="2BCA8252" w14:textId="77777777" w:rsidR="003129FE" w:rsidRPr="0059240B" w:rsidRDefault="003129FE" w:rsidP="0021502F">
      <w:pPr>
        <w:tabs>
          <w:tab w:val="left" w:pos="1080"/>
          <w:tab w:val="left" w:pos="180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i/>
        </w:rPr>
        <w:t>FE</w:t>
      </w:r>
      <w:r w:rsidRPr="0059240B">
        <w:rPr>
          <w:rFonts w:ascii="Times New Roman" w:eastAsia="Times New Roman" w:hAnsi="Times New Roman"/>
          <w:i/>
        </w:rPr>
        <w:tab/>
      </w:r>
      <w:r w:rsidRPr="0059240B">
        <w:rPr>
          <w:rFonts w:ascii="Times New Roman" w:eastAsia="Times New Roman" w:hAnsi="Times New Roman"/>
        </w:rPr>
        <w:t>=</w:t>
      </w:r>
      <w:r w:rsidRPr="0059240B">
        <w:rPr>
          <w:rFonts w:ascii="Times New Roman" w:eastAsia="Times New Roman" w:hAnsi="Times New Roman"/>
        </w:rPr>
        <w:tab/>
        <w:t>Provision for fixed dollar expenses less fixed dollar revenue calculated using prescribed assumptions, the contract’s actual expense charges, the insurer’s anticipated actual expenses and lapse rates, both estimated on a prudent estimate basis, and with no provision for federal income taxes or mortality.</w:t>
      </w:r>
    </w:p>
    <w:p w14:paraId="12F64461" w14:textId="4CFD2884" w:rsidR="003129FE" w:rsidRPr="0059240B" w:rsidRDefault="003129FE" w:rsidP="0021502F">
      <w:pPr>
        <w:tabs>
          <w:tab w:val="left" w:pos="1080"/>
          <w:tab w:val="left" w:pos="1800"/>
          <w:tab w:val="left" w:pos="2160"/>
        </w:tabs>
        <w:spacing w:after="220" w:line="240" w:lineRule="auto"/>
        <w:ind w:left="2160" w:hanging="720"/>
        <w:jc w:val="both"/>
        <w:rPr>
          <w:rFonts w:ascii="Times New Roman" w:hAnsi="Times New Roman"/>
        </w:rPr>
      </w:pPr>
      <w:r w:rsidRPr="0059240B">
        <w:rPr>
          <w:rFonts w:ascii="Times New Roman" w:eastAsia="Times New Roman" w:hAnsi="Times New Roman"/>
          <w:i/>
        </w:rPr>
        <w:lastRenderedPageBreak/>
        <w:t>GC</w:t>
      </w:r>
      <w:r w:rsidRPr="0059240B">
        <w:rPr>
          <w:rFonts w:ascii="Times New Roman" w:eastAsia="Times New Roman" w:hAnsi="Times New Roman"/>
          <w:i/>
        </w:rPr>
        <w:tab/>
        <w:t>=</w:t>
      </w:r>
      <w:r w:rsidRPr="0059240B">
        <w:rPr>
          <w:rFonts w:ascii="Times New Roman" w:eastAsia="Times New Roman" w:hAnsi="Times New Roman"/>
        </w:rPr>
        <w:tab/>
        <w:t>Provision for the costs of providing the GMDB less net available spread-based charges determined by the formula</w:t>
      </w:r>
      <w:r w:rsidRPr="0059240B">
        <w:rPr>
          <w:rFonts w:ascii="Times New Roman" w:eastAsia="Times New Roman" w:hAnsi="Times New Roman"/>
          <w:i/>
        </w:rPr>
        <w:t xml:space="preserve"> </w:t>
      </w:r>
      <w:r w:rsidRPr="0059240B">
        <w:rPr>
          <w:rFonts w:ascii="Times New Roman" w:hAnsi="Times New Roman"/>
          <w:i/>
          <w:position w:val="-1"/>
        </w:rPr>
        <w:t>F</w:t>
      </w:r>
      <w:r w:rsidRPr="0059240B">
        <w:rPr>
          <w:rFonts w:ascii="Times New Roman" w:eastAsia="Times New Roman" w:hAnsi="Times New Roman"/>
          <w:i/>
          <w:position w:val="-1"/>
        </w:rPr>
        <w:t>×</w:t>
      </w:r>
      <w:r w:rsidRPr="0059240B">
        <w:rPr>
          <w:rFonts w:ascii="Times New Roman" w:hAnsi="Times New Roman"/>
          <w:i/>
          <w:position w:val="-1"/>
        </w:rPr>
        <w:t>GV</w:t>
      </w:r>
      <w:r w:rsidRPr="0059240B">
        <w:rPr>
          <w:rFonts w:ascii="Times New Roman" w:eastAsia="Times New Roman" w:hAnsi="Times New Roman"/>
          <w:i/>
          <w:position w:val="-1"/>
        </w:rPr>
        <w:t>-</w:t>
      </w:r>
      <w:r w:rsidRPr="0059240B">
        <w:rPr>
          <w:rFonts w:ascii="Times New Roman" w:hAnsi="Times New Roman"/>
          <w:i/>
          <w:position w:val="-1"/>
        </w:rPr>
        <w:t>G</w:t>
      </w:r>
      <w:r w:rsidRPr="0059240B">
        <w:rPr>
          <w:rFonts w:ascii="Times New Roman" w:eastAsia="Times New Roman" w:hAnsi="Times New Roman"/>
          <w:i/>
          <w:position w:val="-1"/>
        </w:rPr>
        <w:t>×</w:t>
      </w:r>
      <w:r w:rsidRPr="0059240B">
        <w:rPr>
          <w:rFonts w:ascii="Times New Roman" w:hAnsi="Times New Roman"/>
          <w:i/>
          <w:position w:val="-1"/>
        </w:rPr>
        <w:t>AV</w:t>
      </w:r>
      <w:r w:rsidRPr="0059240B">
        <w:rPr>
          <w:rFonts w:ascii="Times New Roman" w:eastAsia="Times New Roman" w:hAnsi="Times New Roman"/>
          <w:i/>
          <w:position w:val="-1"/>
        </w:rPr>
        <w:t>×</w:t>
      </w:r>
      <w:r w:rsidRPr="0059240B">
        <w:rPr>
          <w:rFonts w:ascii="Times New Roman" w:hAnsi="Times New Roman"/>
          <w:i/>
          <w:position w:val="-1"/>
        </w:rPr>
        <w:t>R</w:t>
      </w:r>
      <w:r w:rsidRPr="0059240B">
        <w:rPr>
          <w:rFonts w:ascii="Times New Roman" w:eastAsia="Times New Roman" w:hAnsi="Times New Roman"/>
          <w:i/>
        </w:rPr>
        <w:t>,</w:t>
      </w:r>
      <w:r w:rsidRPr="0059240B">
        <w:rPr>
          <w:noProof/>
        </w:rPr>
        <w:fldChar w:fldCharType="begin"/>
      </w:r>
      <w:r w:rsidRPr="0059240B">
        <w:rPr>
          <w:noProof/>
        </w:rPr>
        <w:fldChar w:fldCharType="end"/>
      </w:r>
      <w:r w:rsidRPr="0059240B">
        <w:rPr>
          <w:rFonts w:ascii="Times New Roman" w:eastAsia="Times New Roman" w:hAnsi="Times New Roman"/>
          <w:i/>
        </w:rPr>
        <w:t xml:space="preserve"> </w:t>
      </w:r>
      <w:r w:rsidRPr="0059240B">
        <w:rPr>
          <w:rFonts w:ascii="Times New Roman" w:eastAsia="Times New Roman" w:hAnsi="Times New Roman"/>
        </w:rPr>
        <w:t>where GV and AV are as defined in Section 7.C.1.</w:t>
      </w:r>
    </w:p>
    <w:p w14:paraId="0CAA06BF" w14:textId="58828663" w:rsidR="003129FE" w:rsidRPr="0059240B" w:rsidRDefault="003129FE" w:rsidP="00063E8C">
      <w:pPr>
        <w:tabs>
          <w:tab w:val="left" w:pos="1080"/>
          <w:tab w:val="left" w:pos="1800"/>
          <w:tab w:val="left" w:pos="2160"/>
        </w:tabs>
        <w:spacing w:after="220" w:line="240" w:lineRule="auto"/>
        <w:ind w:left="2160" w:hanging="720"/>
        <w:rPr>
          <w:rFonts w:ascii="Times New Roman" w:eastAsia="Times New Roman" w:hAnsi="Times New Roman"/>
        </w:rPr>
      </w:pPr>
      <w:r w:rsidRPr="0059240B">
        <w:rPr>
          <w:rFonts w:ascii="Times New Roman" w:eastAsia="Times New Roman" w:hAnsi="Times New Roman"/>
          <w:i/>
        </w:rPr>
        <w:t>R</w:t>
      </w:r>
      <w:r w:rsidRPr="0059240B">
        <w:rPr>
          <w:rFonts w:ascii="Times New Roman" w:eastAsia="Times New Roman" w:hAnsi="Times New Roman"/>
          <w:i/>
        </w:rPr>
        <w:tab/>
        <w:t>=</w:t>
      </w:r>
      <w:r w:rsidRPr="0059240B">
        <w:rPr>
          <w:rFonts w:ascii="Times New Roman" w:eastAsia="Times New Roman" w:hAnsi="Times New Roman"/>
          <w:i/>
        </w:rPr>
        <w:tab/>
      </w:r>
      <w:r w:rsidRPr="0059240B">
        <w:rPr>
          <w:rFonts w:ascii="Times New Roman" w:eastAsia="Times New Roman" w:hAnsi="Times New Roman"/>
        </w:rPr>
        <w:t>A scaling factor that is a linear function of the ratio of the margin offset to total account charges (</w:t>
      </w:r>
      <w:r w:rsidRPr="0059240B">
        <w:rPr>
          <w:rFonts w:ascii="Times New Roman" w:eastAsia="Times New Roman" w:hAnsi="Times New Roman"/>
          <w:i/>
        </w:rPr>
        <w:t>W</w:t>
      </w:r>
      <w:r w:rsidRPr="0059240B">
        <w:rPr>
          <w:rFonts w:ascii="Times New Roman" w:eastAsia="Times New Roman" w:hAnsi="Times New Roman"/>
        </w:rPr>
        <w:t xml:space="preserve">) and takes the form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r>
          <w:rPr>
            <w:rFonts w:ascii="Cambria Math" w:eastAsia="Times New Roman" w:hAnsi="Cambria Math"/>
          </w:rPr>
          <m:t>×W</m:t>
        </m:r>
      </m:oMath>
      <w:r w:rsidRPr="0059240B">
        <w:rPr>
          <w:rFonts w:ascii="Times New Roman" w:eastAsia="Times New Roman" w:hAnsi="Times New Roman"/>
        </w:rPr>
        <w:t>. The intercept and slope factors for this linear function may vary according to:</w:t>
      </w:r>
    </w:p>
    <w:p w14:paraId="71D18821" w14:textId="77777777" w:rsidR="003129FE" w:rsidRPr="0059240B"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59240B">
        <w:rPr>
          <w:rFonts w:ascii="Times New Roman" w:eastAsia="Times New Roman" w:hAnsi="Times New Roman"/>
          <w:position w:val="-1"/>
        </w:rPr>
        <w:t>Product type.</w:t>
      </w:r>
    </w:p>
    <w:p w14:paraId="0E60436A" w14:textId="77777777" w:rsidR="003129FE" w:rsidRPr="0059240B"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59240B">
        <w:rPr>
          <w:rFonts w:ascii="Times New Roman" w:eastAsia="Times New Roman" w:hAnsi="Times New Roman"/>
          <w:position w:val="-1"/>
        </w:rPr>
        <w:t>Pro-rata or dollar-for-dollar reductions in guaranteed value following partial withdrawals.</w:t>
      </w:r>
    </w:p>
    <w:p w14:paraId="1E0702DD" w14:textId="77777777" w:rsidR="003129FE" w:rsidRPr="0059240B"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59240B">
        <w:rPr>
          <w:rFonts w:ascii="Times New Roman" w:eastAsia="Times New Roman" w:hAnsi="Times New Roman"/>
          <w:position w:val="-1"/>
        </w:rPr>
        <w:t>Fund class.</w:t>
      </w:r>
    </w:p>
    <w:p w14:paraId="0E05AB75" w14:textId="77777777" w:rsidR="003129FE" w:rsidRPr="0059240B"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59240B">
        <w:rPr>
          <w:rFonts w:ascii="Times New Roman" w:eastAsia="Times New Roman" w:hAnsi="Times New Roman"/>
          <w:position w:val="-1"/>
        </w:rPr>
        <w:t>Attained age.</w:t>
      </w:r>
    </w:p>
    <w:p w14:paraId="0A8F72CF" w14:textId="77777777" w:rsidR="003129FE" w:rsidRPr="0059240B"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59240B">
        <w:rPr>
          <w:rFonts w:ascii="Times New Roman" w:eastAsia="Times New Roman" w:hAnsi="Times New Roman"/>
          <w:position w:val="-1"/>
        </w:rPr>
        <w:t>Contract duration.</w:t>
      </w:r>
    </w:p>
    <w:p w14:paraId="3C3437BB" w14:textId="77777777" w:rsidR="003129FE" w:rsidRPr="0059240B"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59240B">
        <w:rPr>
          <w:rFonts w:ascii="Times New Roman" w:eastAsia="Times New Roman" w:hAnsi="Times New Roman"/>
          <w:position w:val="-1"/>
        </w:rPr>
        <w:t>Asset-based charges.</w:t>
      </w:r>
    </w:p>
    <w:p w14:paraId="3A4AD42E" w14:textId="77777777" w:rsidR="003129FE" w:rsidRPr="0059240B"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59240B">
        <w:rPr>
          <w:rFonts w:ascii="Times New Roman" w:eastAsia="Times New Roman" w:hAnsi="Times New Roman"/>
          <w:position w:val="-1"/>
        </w:rPr>
        <w:t>90% of the ratio of account value to guaranteed value, determined in the aggregate for all contracts sharing the same product characteristics.</w:t>
      </w:r>
    </w:p>
    <w:p w14:paraId="63BABAFB" w14:textId="1941EF7D"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Tables of factors for </w:t>
      </w:r>
      <w:r w:rsidRPr="0059240B">
        <w:rPr>
          <w:rFonts w:ascii="Times New Roman" w:eastAsia="Times New Roman" w:hAnsi="Times New Roman"/>
          <w:i/>
        </w:rPr>
        <w:t>F, G, β</w:t>
      </w:r>
      <w:r w:rsidRPr="0059240B">
        <w:rPr>
          <w:rFonts w:ascii="Times New Roman" w:eastAsia="Times New Roman" w:hAnsi="Times New Roman"/>
          <w:i/>
          <w:vertAlign w:val="subscript"/>
        </w:rPr>
        <w:t>1</w:t>
      </w:r>
      <w:r w:rsidRPr="0059240B">
        <w:rPr>
          <w:rFonts w:ascii="Times New Roman" w:hAnsi="Times New Roman"/>
          <w:i/>
          <w:vertAlign w:val="subscript"/>
        </w:rPr>
        <w:t xml:space="preserve"> </w:t>
      </w:r>
      <w:r w:rsidRPr="0059240B">
        <w:rPr>
          <w:rFonts w:ascii="Times New Roman" w:eastAsia="Times New Roman" w:hAnsi="Times New Roman"/>
        </w:rPr>
        <w:t>and</w:t>
      </w:r>
      <w:r w:rsidRPr="0059240B">
        <w:rPr>
          <w:rFonts w:ascii="Times New Roman" w:hAnsi="Times New Roman"/>
          <w:i/>
        </w:rPr>
        <w:t xml:space="preserve"> </w:t>
      </w:r>
      <w:r w:rsidRPr="0059240B">
        <w:rPr>
          <w:rFonts w:ascii="Times New Roman" w:eastAsia="Times New Roman" w:hAnsi="Times New Roman"/>
          <w:i/>
        </w:rPr>
        <w:t>β</w:t>
      </w:r>
      <w:r w:rsidRPr="0059240B">
        <w:rPr>
          <w:rFonts w:ascii="Times New Roman" w:eastAsia="Times New Roman" w:hAnsi="Times New Roman"/>
          <w:i/>
          <w:vertAlign w:val="subscript"/>
        </w:rPr>
        <w:t>2</w:t>
      </w:r>
      <w:r w:rsidRPr="0059240B">
        <w:rPr>
          <w:rFonts w:ascii="Times New Roman" w:hAnsi="Times New Roman"/>
          <w:i/>
          <w:vertAlign w:val="subscript"/>
        </w:rPr>
        <w:t xml:space="preserve"> </w:t>
      </w:r>
      <w:r w:rsidRPr="0059240B">
        <w:rPr>
          <w:rFonts w:ascii="Times New Roman" w:eastAsia="Times New Roman" w:hAnsi="Times New Roman"/>
        </w:rPr>
        <w:t xml:space="preserve">values reflecting a 65% confidence interval and ignoring federal income tax are available from the NAIC. In calculating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59240B">
        <w:rPr>
          <w:rFonts w:ascii="Times New Roman" w:eastAsia="Times New Roman" w:hAnsi="Times New Roman"/>
        </w:rPr>
        <w:t xml:space="preserve"> directly from the linear function provided above, the margin ratio </w:t>
      </w:r>
      <w:r w:rsidRPr="0059240B">
        <w:rPr>
          <w:rFonts w:ascii="Times New Roman" w:eastAsia="Times New Roman" w:hAnsi="Times New Roman"/>
          <w:i/>
        </w:rPr>
        <w:t>W</w:t>
      </w:r>
      <w:r w:rsidRPr="0059240B">
        <w:rPr>
          <w:rFonts w:ascii="Times New Roman" w:eastAsia="Times New Roman" w:hAnsi="Times New Roman"/>
        </w:rPr>
        <w:t xml:space="preserve"> must be constrained to values greater than or equal to 0.2 and less than or equal to 0.6.</w:t>
      </w:r>
    </w:p>
    <w:p w14:paraId="0DA419F6"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Interpolated values of </w:t>
      </w:r>
      <w:r w:rsidRPr="0059240B">
        <w:rPr>
          <w:rFonts w:ascii="Times New Roman" w:eastAsia="Times New Roman" w:hAnsi="Times New Roman"/>
          <w:i/>
        </w:rPr>
        <w:t>F</w:t>
      </w:r>
      <w:r w:rsidRPr="0059240B">
        <w:rPr>
          <w:rFonts w:ascii="Times New Roman" w:eastAsia="Times New Roman" w:hAnsi="Times New Roman"/>
        </w:rPr>
        <w:t xml:space="preserve">, </w:t>
      </w:r>
      <w:r w:rsidRPr="0059240B">
        <w:rPr>
          <w:rFonts w:ascii="Times New Roman" w:eastAsia="Times New Roman" w:hAnsi="Times New Roman"/>
          <w:i/>
        </w:rPr>
        <w:t xml:space="preserve">G </w:t>
      </w:r>
      <w:r w:rsidRPr="0059240B">
        <w:rPr>
          <w:rFonts w:ascii="Times New Roman" w:eastAsia="Times New Roman" w:hAnsi="Times New Roman"/>
        </w:rPr>
        <w:t xml:space="preserve">and </w:t>
      </w:r>
      <w:r w:rsidRPr="0059240B">
        <w:rPr>
          <w:rFonts w:ascii="Times New Roman" w:eastAsia="Times New Roman" w:hAnsi="Times New Roman"/>
          <w:i/>
        </w:rPr>
        <w:t xml:space="preserve">R </w:t>
      </w:r>
      <w:r w:rsidRPr="0059240B">
        <w:rPr>
          <w:rFonts w:ascii="Times New Roman" w:eastAsia="Times New Roman" w:hAnsi="Times New Roman"/>
        </w:rPr>
        <w:t>(calculated using the linear function described above) for all contracts having the same product characteristics and asset class shall be derived from the pre-calculated values using multi-point linear interpolation over the following four contract-level attributes:</w:t>
      </w:r>
    </w:p>
    <w:p w14:paraId="6B849F9F" w14:textId="77777777" w:rsidR="003129FE" w:rsidRPr="0059240B"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Attained age.</w:t>
      </w:r>
    </w:p>
    <w:p w14:paraId="59EC8BE0" w14:textId="77777777" w:rsidR="003129FE" w:rsidRPr="0059240B"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Contract duration.</w:t>
      </w:r>
    </w:p>
    <w:p w14:paraId="62BEE69E" w14:textId="77777777" w:rsidR="003129FE" w:rsidRPr="0059240B"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Ratio of account value to GMDB.</w:t>
      </w:r>
    </w:p>
    <w:p w14:paraId="50A217DC" w14:textId="77777777" w:rsidR="003129FE" w:rsidRPr="0059240B" w:rsidRDefault="003129FE" w:rsidP="0021502F">
      <w:pPr>
        <w:tabs>
          <w:tab w:val="left" w:pos="2880"/>
        </w:tabs>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The total of all asset-based charges, including any fund management fees or allowances based on the underlying variable annuity funds received by the insurer.</w:t>
      </w:r>
    </w:p>
    <w:p w14:paraId="757A324D" w14:textId="51DC0EA1"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 xml:space="preserve">The gross asset-based charges for a product shall equal the sum of all contractual asset-based charges plus fund management fees or allowances based on the underlying variable annuity funds received by the insurer determined on a prudent estimate basis and revenue sharing described in Section 4.A.5. Net asset-based charges equal gross asset-based charges less any company expenses assumed to be incurred expressed as a percentage of account value. All expenses that would be assumed if a stochastic reserve </w:t>
      </w:r>
      <w:r w:rsidR="003C482A" w:rsidRPr="0059240B">
        <w:rPr>
          <w:rFonts w:ascii="Times New Roman" w:eastAsia="Times New Roman" w:hAnsi="Times New Roman"/>
        </w:rPr>
        <w:t>was</w:t>
      </w:r>
      <w:r w:rsidRPr="0059240B">
        <w:rPr>
          <w:rFonts w:ascii="Times New Roman" w:eastAsia="Times New Roman" w:hAnsi="Times New Roman"/>
        </w:rPr>
        <w:t xml:space="preserve"> being computed as described in Section 4.A.1 should be reflected either in the calculation of the net </w:t>
      </w:r>
      <w:r w:rsidR="003C482A" w:rsidRPr="0059240B">
        <w:rPr>
          <w:rFonts w:ascii="Times New Roman" w:eastAsia="Times New Roman" w:hAnsi="Times New Roman"/>
        </w:rPr>
        <w:t>asset-based</w:t>
      </w:r>
      <w:r w:rsidRPr="0059240B">
        <w:rPr>
          <w:rFonts w:ascii="Times New Roman" w:eastAsia="Times New Roman" w:hAnsi="Times New Roman"/>
        </w:rPr>
        <w:t xml:space="preserve"> charges or in the expenses reflected in the calculation of the amount </w:t>
      </w:r>
      <w:r w:rsidRPr="0059240B">
        <w:rPr>
          <w:rFonts w:ascii="Times New Roman" w:eastAsia="Times New Roman" w:hAnsi="Times New Roman"/>
          <w:i/>
        </w:rPr>
        <w:t>FE</w:t>
      </w:r>
      <w:r w:rsidRPr="0059240B">
        <w:rPr>
          <w:rFonts w:ascii="Times New Roman" w:eastAsia="Times New Roman" w:hAnsi="Times New Roman"/>
        </w:rPr>
        <w:t>.</w:t>
      </w:r>
    </w:p>
    <w:p w14:paraId="6BE8BCF0" w14:textId="77777777"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No adjustment is made for federal income taxes in any of the components listed above.</w:t>
      </w:r>
    </w:p>
    <w:p w14:paraId="5AA544E3" w14:textId="022A2829"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lastRenderedPageBreak/>
        <w:t>For purposes of determining the reserve using the Alternative Methodology, any interpretation and application of the requirements of these requirements shall follow the principles discussed in Section 1.B.</w:t>
      </w:r>
    </w:p>
    <w:p w14:paraId="1150A27E" w14:textId="77777777" w:rsidR="003129FE" w:rsidRPr="0059240B" w:rsidRDefault="003129FE" w:rsidP="0021502F">
      <w:pPr>
        <w:spacing w:after="220" w:line="240" w:lineRule="auto"/>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 xml:space="preserve">Calculation of </w:t>
      </w:r>
      <w:r w:rsidRPr="0059240B">
        <w:rPr>
          <w:rFonts w:ascii="Times New Roman" w:eastAsia="Times New Roman" w:hAnsi="Times New Roman"/>
          <w:i/>
        </w:rPr>
        <w:t xml:space="preserve">CA </w:t>
      </w:r>
      <w:r w:rsidRPr="0059240B">
        <w:rPr>
          <w:rFonts w:ascii="Times New Roman" w:eastAsia="Times New Roman" w:hAnsi="Times New Roman"/>
        </w:rPr>
        <w:t xml:space="preserve">and </w:t>
      </w:r>
      <w:r w:rsidRPr="0059240B">
        <w:rPr>
          <w:rFonts w:ascii="Times New Roman" w:eastAsia="Times New Roman" w:hAnsi="Times New Roman"/>
          <w:i/>
        </w:rPr>
        <w:t>FE</w:t>
      </w:r>
    </w:p>
    <w:p w14:paraId="5D767012" w14:textId="77777777"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General Description</w:t>
      </w:r>
    </w:p>
    <w:p w14:paraId="23B65A80"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Components </w:t>
      </w:r>
      <w:r w:rsidRPr="0059240B">
        <w:rPr>
          <w:rFonts w:ascii="Times New Roman" w:eastAsia="Times New Roman" w:hAnsi="Times New Roman"/>
          <w:i/>
        </w:rPr>
        <w:t xml:space="preserve">CA </w:t>
      </w:r>
      <w:r w:rsidRPr="0059240B">
        <w:rPr>
          <w:rFonts w:ascii="Times New Roman" w:eastAsia="Times New Roman" w:hAnsi="Times New Roman"/>
        </w:rPr>
        <w:t xml:space="preserve">and </w:t>
      </w:r>
      <w:r w:rsidRPr="0059240B">
        <w:rPr>
          <w:rFonts w:ascii="Times New Roman" w:eastAsia="Times New Roman" w:hAnsi="Times New Roman"/>
          <w:i/>
        </w:rPr>
        <w:t xml:space="preserve">FE </w:t>
      </w:r>
      <w:r w:rsidRPr="0059240B">
        <w:rPr>
          <w:rFonts w:ascii="Times New Roman" w:eastAsia="Times New Roman" w:hAnsi="Times New Roman"/>
        </w:rPr>
        <w:t>shall be calculated for each contract, thus reflecting the actual account value and GMDB, as of the valuation date, which is unique to each contract.</w:t>
      </w:r>
    </w:p>
    <w:p w14:paraId="25BAB2EC" w14:textId="650CEC0F" w:rsidR="003129FE" w:rsidRPr="0059240B" w:rsidRDefault="003129FE" w:rsidP="0021502F">
      <w:pPr>
        <w:spacing w:after="220" w:line="240" w:lineRule="auto"/>
        <w:ind w:left="1440" w:firstLine="14"/>
        <w:jc w:val="both"/>
        <w:rPr>
          <w:rFonts w:ascii="Times New Roman" w:eastAsia="Times New Roman" w:hAnsi="Times New Roman"/>
        </w:rPr>
      </w:pPr>
      <w:r w:rsidRPr="0059240B">
        <w:rPr>
          <w:rFonts w:ascii="Times New Roman" w:eastAsia="Times New Roman" w:hAnsi="Times New Roman"/>
        </w:rPr>
        <w:t xml:space="preserve">Components </w:t>
      </w:r>
      <w:r w:rsidRPr="0059240B">
        <w:rPr>
          <w:rFonts w:ascii="Times New Roman" w:eastAsia="Times New Roman" w:hAnsi="Times New Roman"/>
          <w:i/>
        </w:rPr>
        <w:t xml:space="preserve">CA </w:t>
      </w:r>
      <w:r w:rsidRPr="0059240B">
        <w:rPr>
          <w:rFonts w:ascii="Times New Roman" w:eastAsia="Times New Roman" w:hAnsi="Times New Roman"/>
        </w:rPr>
        <w:t xml:space="preserve">and </w:t>
      </w:r>
      <w:r w:rsidRPr="0059240B">
        <w:rPr>
          <w:rFonts w:ascii="Times New Roman" w:eastAsia="Times New Roman" w:hAnsi="Times New Roman"/>
          <w:i/>
        </w:rPr>
        <w:t xml:space="preserve">FE </w:t>
      </w:r>
      <w:r w:rsidRPr="0059240B">
        <w:rPr>
          <w:rFonts w:ascii="Times New Roman" w:eastAsia="Times New Roman" w:hAnsi="Times New Roman"/>
        </w:rPr>
        <w:t>are defined by deterministic “single-scenario” calculations that account for asset growth, interest and inflation at prescribed rates. Mortality is ignored for these two components. Lapse rates shall be determined on a prudent estimate basis. Lapse rates shall be adjusted by the formula shown below (the dynamic lapse multiplier), which bases the relationship of the GMDB (denoted as GV in the formula) to the account value (denoted as AV in the formula) on the valuation date. Thus, projected lapse rates are smaller when the GMDB is greater than the account value and larger when the GMDB is less than the account value.</w:t>
      </w:r>
    </w:p>
    <w:p w14:paraId="066EDA16" w14:textId="77777777" w:rsidR="003129FE" w:rsidRPr="0059240B" w:rsidRDefault="003129FE" w:rsidP="00F918A7">
      <w:pPr>
        <w:tabs>
          <w:tab w:val="left" w:pos="1440"/>
        </w:tabs>
        <w:spacing w:after="220" w:line="240" w:lineRule="auto"/>
        <w:jc w:val="both"/>
        <w:rPr>
          <w:rFonts w:ascii="TimesNewRomanPSMT" w:eastAsiaTheme="minorHAnsi" w:hAnsi="TimesNewRomanPSMT" w:cs="TimesNewRomanPSMT"/>
        </w:rPr>
      </w:pPr>
      <w:r w:rsidRPr="0059240B">
        <w:rPr>
          <w:rFonts w:ascii="Times New Roman" w:eastAsia="Times New Roman" w:hAnsi="Times New Roman"/>
          <w:sz w:val="20"/>
          <w:szCs w:val="20"/>
        </w:rPr>
        <w:tab/>
      </w:r>
      <w:r w:rsidR="00190B3A" w:rsidRPr="0059240B">
        <w:rPr>
          <w:rFonts w:ascii="Times New Roman" w:hAnsi="Times New Roman"/>
          <w:noProof/>
          <w:position w:val="-32"/>
          <w:sz w:val="20"/>
          <w:szCs w:val="20"/>
        </w:rPr>
        <w:object w:dxaOrig="4140" w:dyaOrig="760" w14:anchorId="2869A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8.5pt;height:36pt;mso-width-percent:0;mso-height-percent:0;mso-width-percent:0;mso-height-percent:0" o:ole="" fillcolor="window">
            <v:imagedata r:id="rId8" o:title=""/>
          </v:shape>
          <o:OLEObject Type="Embed" ProgID="Equation.3" ShapeID="_x0000_i1026" DrawAspect="Content" ObjectID="_1619594757" r:id="rId9"/>
        </w:object>
      </w:r>
      <w:r w:rsidRPr="0059240B">
        <w:rPr>
          <w:rFonts w:ascii="Times New Roman" w:hAnsi="Times New Roman"/>
          <w:sz w:val="20"/>
          <w:szCs w:val="20"/>
        </w:rPr>
        <w:t xml:space="preserve">, </w:t>
      </w:r>
      <w:r w:rsidRPr="0059240B">
        <w:rPr>
          <w:rFonts w:ascii="TimesNewRomanPSMT" w:eastAsiaTheme="minorHAnsi" w:hAnsi="TimesNewRomanPSMT" w:cs="TimesNewRomanPSMT"/>
        </w:rPr>
        <w:t xml:space="preserve">where </w:t>
      </w:r>
      <w:r w:rsidRPr="0059240B">
        <w:rPr>
          <w:rFonts w:ascii="Times New Roman" w:eastAsiaTheme="minorHAnsi" w:hAnsi="Times New Roman"/>
          <w:i/>
          <w:iCs/>
        </w:rPr>
        <w:t>U</w:t>
      </w:r>
      <w:r w:rsidRPr="0059240B">
        <w:rPr>
          <w:rFonts w:ascii="TimesNewRomanPSMT" w:eastAsiaTheme="minorHAnsi" w:hAnsi="TimesNewRomanPSMT" w:cs="TimesNewRomanPSMT"/>
        </w:rPr>
        <w:t xml:space="preserve">=1, </w:t>
      </w:r>
      <w:r w:rsidRPr="0059240B">
        <w:rPr>
          <w:rFonts w:ascii="Times New Roman" w:eastAsiaTheme="minorHAnsi" w:hAnsi="Times New Roman"/>
          <w:i/>
          <w:iCs/>
        </w:rPr>
        <w:t>L</w:t>
      </w:r>
      <w:r w:rsidRPr="0059240B">
        <w:rPr>
          <w:rFonts w:ascii="TimesNewRomanPSMT" w:eastAsiaTheme="minorHAnsi" w:hAnsi="TimesNewRomanPSMT" w:cs="TimesNewRomanPSMT"/>
        </w:rPr>
        <w:t xml:space="preserve">=0.5, </w:t>
      </w:r>
      <w:r w:rsidRPr="0059240B">
        <w:rPr>
          <w:rFonts w:ascii="Times New Roman" w:eastAsiaTheme="minorHAnsi" w:hAnsi="Times New Roman"/>
          <w:i/>
          <w:iCs/>
        </w:rPr>
        <w:t>M</w:t>
      </w:r>
      <w:r w:rsidRPr="0059240B">
        <w:rPr>
          <w:rFonts w:ascii="TimesNewRomanPSMT" w:eastAsiaTheme="minorHAnsi" w:hAnsi="TimesNewRomanPSMT" w:cs="TimesNewRomanPSMT"/>
        </w:rPr>
        <w:t xml:space="preserve">=1.25, and </w:t>
      </w:r>
      <w:r w:rsidRPr="0059240B">
        <w:rPr>
          <w:rFonts w:ascii="Times New Roman" w:eastAsiaTheme="minorHAnsi" w:hAnsi="Times New Roman"/>
          <w:i/>
          <w:iCs/>
        </w:rPr>
        <w:t>D</w:t>
      </w:r>
      <w:r w:rsidRPr="0059240B">
        <w:rPr>
          <w:rFonts w:ascii="TimesNewRomanPSMT" w:eastAsiaTheme="minorHAnsi" w:hAnsi="TimesNewRomanPSMT" w:cs="TimesNewRomanPSMT"/>
        </w:rPr>
        <w:t>=1.1.</w:t>
      </w:r>
    </w:p>
    <w:p w14:paraId="65B12301" w14:textId="77777777" w:rsidR="003129FE" w:rsidRPr="0059240B" w:rsidRDefault="003129FE" w:rsidP="00E0308F">
      <w:pPr>
        <w:autoSpaceDE w:val="0"/>
        <w:autoSpaceDN w:val="0"/>
        <w:adjustRightInd w:val="0"/>
        <w:ind w:left="1440"/>
        <w:jc w:val="both"/>
        <w:rPr>
          <w:rFonts w:ascii="Times New Roman" w:hAnsi="Times New Roman"/>
          <w:sz w:val="20"/>
          <w:szCs w:val="20"/>
        </w:rPr>
      </w:pPr>
      <w:r w:rsidRPr="0059240B">
        <w:rPr>
          <w:rFonts w:ascii="TimesNewRomanPSMT" w:eastAsiaTheme="minorHAnsi" w:hAnsi="TimesNewRomanPSMT" w:cs="TimesNewRomanPSMT"/>
        </w:rPr>
        <w:t>Present values shall be computed over the period from the valuation date to contract maturity at a discount rate of 5.75%.</w:t>
      </w:r>
    </w:p>
    <w:p w14:paraId="5798D339" w14:textId="50C88420"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hAnsi="Times New Roman"/>
          <w:noProof/>
          <w:sz w:val="20"/>
          <w:szCs w:val="20"/>
        </w:rPr>
        <w:fldChar w:fldCharType="begin"/>
      </w:r>
      <w:r w:rsidRPr="0059240B">
        <w:rPr>
          <w:rFonts w:ascii="Times New Roman" w:hAnsi="Times New Roman"/>
          <w:noProof/>
          <w:sz w:val="20"/>
          <w:szCs w:val="20"/>
        </w:rPr>
        <w:fldChar w:fldCharType="end"/>
      </w:r>
      <w:r w:rsidRPr="0059240B">
        <w:rPr>
          <w:rFonts w:ascii="Times New Roman" w:eastAsia="Times New Roman" w:hAnsi="Times New Roman"/>
        </w:rPr>
        <w:t xml:space="preserve">Projected fund performance underlying the account values is as shown in the table below. Unlike the </w:t>
      </w:r>
      <w:r w:rsidRPr="0059240B">
        <w:rPr>
          <w:rFonts w:ascii="Times New Roman" w:eastAsia="Times New Roman" w:hAnsi="Times New Roman"/>
          <w:i/>
        </w:rPr>
        <w:t xml:space="preserve">GC </w:t>
      </w:r>
      <w:r w:rsidRPr="0059240B">
        <w:rPr>
          <w:rFonts w:ascii="Times New Roman" w:eastAsia="Times New Roman" w:hAnsi="Times New Roman"/>
        </w:rPr>
        <w:t xml:space="preserve">component, which requires the entire account value to be mapped, using the fund categorization rules set forth in Section 7.D, to a single “equivalent” asset class (as described in Section 7.D.3), the </w:t>
      </w:r>
      <w:r w:rsidRPr="0059240B">
        <w:rPr>
          <w:rFonts w:ascii="Times New Roman" w:eastAsia="Times New Roman" w:hAnsi="Times New Roman"/>
          <w:i/>
        </w:rPr>
        <w:t xml:space="preserve">CA </w:t>
      </w:r>
      <w:r w:rsidRPr="0059240B">
        <w:rPr>
          <w:rFonts w:ascii="Times New Roman" w:eastAsia="Times New Roman" w:hAnsi="Times New Roman"/>
        </w:rPr>
        <w:t xml:space="preserve">and </w:t>
      </w:r>
      <w:r w:rsidRPr="0059240B">
        <w:rPr>
          <w:rFonts w:ascii="Times New Roman" w:eastAsia="Times New Roman" w:hAnsi="Times New Roman"/>
          <w:i/>
        </w:rPr>
        <w:t xml:space="preserve">FE </w:t>
      </w:r>
      <w:r w:rsidRPr="0059240B">
        <w:rPr>
          <w:rFonts w:ascii="Times New Roman" w:eastAsia="Times New Roman" w:hAnsi="Times New Roman"/>
        </w:rPr>
        <w:t>calculation separately projects each variable subaccount (as mapped to the eight prescribed categories shown in Section 7.D using the net asset returns shown in the following table). If surrender charges are based wholly on deposits or premiums as opposed to account value, use of this table may not be necessary.</w:t>
      </w:r>
    </w:p>
    <w:p w14:paraId="1CEC2732" w14:textId="613F3CB5" w:rsidR="003129FE" w:rsidRPr="0059240B" w:rsidRDefault="001A3D5B"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Table 7.1: Guaranteed Rates by Asset Class</w:t>
      </w: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1"/>
        <w:gridCol w:w="2835"/>
      </w:tblGrid>
      <w:tr w:rsidR="003129FE" w:rsidRPr="0059240B" w14:paraId="25327028" w14:textId="77777777" w:rsidTr="00063E8C">
        <w:trPr>
          <w:trHeight w:hRule="exact" w:val="377"/>
        </w:trPr>
        <w:tc>
          <w:tcPr>
            <w:tcW w:w="3241" w:type="dxa"/>
            <w:vAlign w:val="center"/>
          </w:tcPr>
          <w:p w14:paraId="2AA87BD0" w14:textId="3781993D"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b/>
                <w:bCs/>
                <w:sz w:val="20"/>
                <w:szCs w:val="20"/>
              </w:rPr>
              <w:t>Asset Class/Fund</w:t>
            </w:r>
          </w:p>
        </w:tc>
        <w:tc>
          <w:tcPr>
            <w:tcW w:w="2835" w:type="dxa"/>
            <w:vAlign w:val="center"/>
          </w:tcPr>
          <w:p w14:paraId="1CA29B74"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b/>
                <w:bCs/>
                <w:sz w:val="20"/>
                <w:szCs w:val="20"/>
              </w:rPr>
              <w:t>Net Annualized Return</w:t>
            </w:r>
          </w:p>
        </w:tc>
      </w:tr>
      <w:tr w:rsidR="003129FE" w:rsidRPr="0059240B" w14:paraId="40E6E1EA" w14:textId="77777777" w:rsidTr="00063E8C">
        <w:trPr>
          <w:trHeight w:hRule="exact" w:val="374"/>
        </w:trPr>
        <w:tc>
          <w:tcPr>
            <w:tcW w:w="3241" w:type="dxa"/>
            <w:vAlign w:val="center"/>
          </w:tcPr>
          <w:p w14:paraId="1B057F28"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Fixed Account</w:t>
            </w:r>
          </w:p>
        </w:tc>
        <w:tc>
          <w:tcPr>
            <w:tcW w:w="2835" w:type="dxa"/>
            <w:vAlign w:val="center"/>
          </w:tcPr>
          <w:p w14:paraId="3CEBE617"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Guaranteed Rate</w:t>
            </w:r>
          </w:p>
        </w:tc>
      </w:tr>
      <w:tr w:rsidR="003129FE" w:rsidRPr="0059240B" w14:paraId="7810D375" w14:textId="77777777" w:rsidTr="00063E8C">
        <w:trPr>
          <w:trHeight w:hRule="exact" w:val="374"/>
        </w:trPr>
        <w:tc>
          <w:tcPr>
            <w:tcW w:w="3241" w:type="dxa"/>
            <w:vAlign w:val="center"/>
          </w:tcPr>
          <w:p w14:paraId="74759483"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Money Market</w:t>
            </w:r>
          </w:p>
        </w:tc>
        <w:tc>
          <w:tcPr>
            <w:tcW w:w="2835" w:type="dxa"/>
            <w:vAlign w:val="center"/>
          </w:tcPr>
          <w:p w14:paraId="5DCF62DE"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0%</w:t>
            </w:r>
          </w:p>
        </w:tc>
      </w:tr>
      <w:tr w:rsidR="003129FE" w:rsidRPr="0059240B" w14:paraId="4D0006C7" w14:textId="77777777" w:rsidTr="00063E8C">
        <w:trPr>
          <w:trHeight w:hRule="exact" w:val="374"/>
        </w:trPr>
        <w:tc>
          <w:tcPr>
            <w:tcW w:w="3241" w:type="dxa"/>
            <w:vAlign w:val="center"/>
          </w:tcPr>
          <w:p w14:paraId="388D3687"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Fixed Income (Bond)</w:t>
            </w:r>
          </w:p>
        </w:tc>
        <w:tc>
          <w:tcPr>
            <w:tcW w:w="2835" w:type="dxa"/>
            <w:vAlign w:val="center"/>
          </w:tcPr>
          <w:p w14:paraId="1C7198CF"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0%</w:t>
            </w:r>
          </w:p>
        </w:tc>
      </w:tr>
      <w:tr w:rsidR="003129FE" w:rsidRPr="0059240B" w14:paraId="12BB82CC" w14:textId="77777777" w:rsidTr="00063E8C">
        <w:trPr>
          <w:trHeight w:hRule="exact" w:val="377"/>
        </w:trPr>
        <w:tc>
          <w:tcPr>
            <w:tcW w:w="3241" w:type="dxa"/>
            <w:vAlign w:val="center"/>
          </w:tcPr>
          <w:p w14:paraId="1510E85F"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Balanced</w:t>
            </w:r>
          </w:p>
        </w:tc>
        <w:tc>
          <w:tcPr>
            <w:tcW w:w="2835" w:type="dxa"/>
            <w:vAlign w:val="center"/>
          </w:tcPr>
          <w:p w14:paraId="44AF4374"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-1%</w:t>
            </w:r>
          </w:p>
        </w:tc>
      </w:tr>
      <w:tr w:rsidR="003129FE" w:rsidRPr="0059240B" w14:paraId="5F2886B4" w14:textId="77777777" w:rsidTr="00063E8C">
        <w:trPr>
          <w:trHeight w:hRule="exact" w:val="374"/>
        </w:trPr>
        <w:tc>
          <w:tcPr>
            <w:tcW w:w="3241" w:type="dxa"/>
            <w:vAlign w:val="center"/>
          </w:tcPr>
          <w:p w14:paraId="3E9594CA"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Diversified Equity</w:t>
            </w:r>
          </w:p>
        </w:tc>
        <w:tc>
          <w:tcPr>
            <w:tcW w:w="2835" w:type="dxa"/>
            <w:vAlign w:val="center"/>
          </w:tcPr>
          <w:p w14:paraId="0B79EA91" w14:textId="5DD193DB" w:rsidR="003129FE" w:rsidRPr="0059240B" w:rsidRDefault="008D4228" w:rsidP="00B508BD">
            <w:pPr>
              <w:spacing w:after="0" w:line="240" w:lineRule="auto"/>
              <w:ind w:left="81"/>
              <w:jc w:val="center"/>
              <w:rPr>
                <w:rFonts w:ascii="Times New Roman" w:eastAsia="Times New Roman" w:hAnsi="Times New Roman"/>
                <w:sz w:val="20"/>
                <w:szCs w:val="20"/>
              </w:rPr>
            </w:pPr>
            <w:r w:rsidRPr="0059240B">
              <w:rPr>
                <w:rFonts w:ascii="Times New Roman" w:eastAsia="Times New Roman" w:hAnsi="Times New Roman"/>
                <w:sz w:val="20"/>
                <w:szCs w:val="20"/>
              </w:rPr>
              <w:t>-</w:t>
            </w:r>
            <w:r w:rsidR="003129FE" w:rsidRPr="0059240B">
              <w:rPr>
                <w:rFonts w:ascii="Times New Roman" w:eastAsia="Times New Roman" w:hAnsi="Times New Roman"/>
                <w:sz w:val="20"/>
                <w:szCs w:val="20"/>
              </w:rPr>
              <w:t>2%</w:t>
            </w:r>
          </w:p>
        </w:tc>
      </w:tr>
      <w:tr w:rsidR="003129FE" w:rsidRPr="0059240B" w14:paraId="6E753164" w14:textId="77777777" w:rsidTr="00063E8C">
        <w:trPr>
          <w:trHeight w:hRule="exact" w:val="374"/>
        </w:trPr>
        <w:tc>
          <w:tcPr>
            <w:tcW w:w="3241" w:type="dxa"/>
            <w:vAlign w:val="center"/>
          </w:tcPr>
          <w:p w14:paraId="30C492EA"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Diversified International Equity</w:t>
            </w:r>
          </w:p>
        </w:tc>
        <w:tc>
          <w:tcPr>
            <w:tcW w:w="2835" w:type="dxa"/>
            <w:vAlign w:val="center"/>
          </w:tcPr>
          <w:p w14:paraId="0044E797" w14:textId="4C22340A" w:rsidR="003129FE" w:rsidRPr="0059240B" w:rsidRDefault="008D4228" w:rsidP="00B508BD">
            <w:pPr>
              <w:spacing w:after="0" w:line="240" w:lineRule="auto"/>
              <w:ind w:left="81"/>
              <w:jc w:val="center"/>
              <w:rPr>
                <w:rFonts w:ascii="Times New Roman" w:eastAsia="Times New Roman" w:hAnsi="Times New Roman"/>
                <w:sz w:val="20"/>
                <w:szCs w:val="20"/>
              </w:rPr>
            </w:pPr>
            <w:r w:rsidRPr="0059240B">
              <w:rPr>
                <w:rFonts w:ascii="Times New Roman" w:eastAsia="Times New Roman" w:hAnsi="Times New Roman"/>
                <w:sz w:val="20"/>
                <w:szCs w:val="20"/>
              </w:rPr>
              <w:t>-</w:t>
            </w:r>
            <w:r w:rsidR="003129FE" w:rsidRPr="0059240B">
              <w:rPr>
                <w:rFonts w:ascii="Times New Roman" w:eastAsia="Times New Roman" w:hAnsi="Times New Roman"/>
                <w:sz w:val="20"/>
                <w:szCs w:val="20"/>
              </w:rPr>
              <w:t>3%</w:t>
            </w:r>
          </w:p>
        </w:tc>
      </w:tr>
      <w:tr w:rsidR="003129FE" w:rsidRPr="0059240B" w14:paraId="63B681B7" w14:textId="77777777" w:rsidTr="00063E8C">
        <w:trPr>
          <w:trHeight w:hRule="exact" w:val="374"/>
        </w:trPr>
        <w:tc>
          <w:tcPr>
            <w:tcW w:w="3241" w:type="dxa"/>
            <w:vAlign w:val="center"/>
          </w:tcPr>
          <w:p w14:paraId="20F4C99C"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Intermediate Risk Equity</w:t>
            </w:r>
          </w:p>
        </w:tc>
        <w:tc>
          <w:tcPr>
            <w:tcW w:w="2835" w:type="dxa"/>
            <w:vAlign w:val="center"/>
          </w:tcPr>
          <w:p w14:paraId="69E72655" w14:textId="57334AA8" w:rsidR="003129FE" w:rsidRPr="0059240B" w:rsidRDefault="008D4228" w:rsidP="00B508BD">
            <w:pPr>
              <w:spacing w:after="0" w:line="240" w:lineRule="auto"/>
              <w:ind w:left="81"/>
              <w:jc w:val="center"/>
              <w:rPr>
                <w:rFonts w:ascii="Times New Roman" w:eastAsia="Times New Roman" w:hAnsi="Times New Roman"/>
                <w:sz w:val="20"/>
                <w:szCs w:val="20"/>
              </w:rPr>
            </w:pPr>
            <w:r w:rsidRPr="0059240B">
              <w:rPr>
                <w:rFonts w:ascii="Times New Roman" w:eastAsia="Times New Roman" w:hAnsi="Times New Roman"/>
                <w:sz w:val="20"/>
                <w:szCs w:val="20"/>
              </w:rPr>
              <w:t>-</w:t>
            </w:r>
            <w:r w:rsidR="003129FE" w:rsidRPr="0059240B">
              <w:rPr>
                <w:rFonts w:ascii="Times New Roman" w:eastAsia="Times New Roman" w:hAnsi="Times New Roman"/>
                <w:sz w:val="20"/>
                <w:szCs w:val="20"/>
              </w:rPr>
              <w:t>5%</w:t>
            </w:r>
          </w:p>
        </w:tc>
      </w:tr>
      <w:tr w:rsidR="003129FE" w:rsidRPr="0059240B" w14:paraId="677231AA" w14:textId="77777777" w:rsidTr="00063E8C">
        <w:trPr>
          <w:trHeight w:hRule="exact" w:val="377"/>
        </w:trPr>
        <w:tc>
          <w:tcPr>
            <w:tcW w:w="3241" w:type="dxa"/>
            <w:vAlign w:val="center"/>
          </w:tcPr>
          <w:p w14:paraId="6B9B2677" w14:textId="77777777" w:rsidR="003129FE" w:rsidRPr="0059240B" w:rsidRDefault="003129FE" w:rsidP="00B508BD">
            <w:pPr>
              <w:spacing w:after="0" w:line="240" w:lineRule="auto"/>
              <w:ind w:left="100"/>
              <w:jc w:val="center"/>
              <w:rPr>
                <w:rFonts w:ascii="Times New Roman" w:eastAsia="Times New Roman" w:hAnsi="Times New Roman"/>
                <w:sz w:val="20"/>
                <w:szCs w:val="20"/>
              </w:rPr>
            </w:pPr>
            <w:r w:rsidRPr="0059240B">
              <w:rPr>
                <w:rFonts w:ascii="Times New Roman" w:eastAsia="Times New Roman" w:hAnsi="Times New Roman"/>
                <w:sz w:val="20"/>
                <w:szCs w:val="20"/>
              </w:rPr>
              <w:t>Aggressive or Exotic Equity</w:t>
            </w:r>
          </w:p>
        </w:tc>
        <w:tc>
          <w:tcPr>
            <w:tcW w:w="2835" w:type="dxa"/>
            <w:vAlign w:val="center"/>
          </w:tcPr>
          <w:p w14:paraId="3A1F8D08" w14:textId="65C405DE" w:rsidR="003129FE" w:rsidRPr="0059240B" w:rsidRDefault="008D4228" w:rsidP="00B508BD">
            <w:pPr>
              <w:spacing w:after="0" w:line="240" w:lineRule="auto"/>
              <w:ind w:left="81"/>
              <w:jc w:val="center"/>
              <w:rPr>
                <w:rFonts w:ascii="Times New Roman" w:eastAsia="Times New Roman" w:hAnsi="Times New Roman"/>
                <w:sz w:val="20"/>
                <w:szCs w:val="20"/>
              </w:rPr>
            </w:pPr>
            <w:r w:rsidRPr="0059240B">
              <w:rPr>
                <w:rFonts w:ascii="Times New Roman" w:eastAsia="Times New Roman" w:hAnsi="Times New Roman"/>
                <w:sz w:val="20"/>
                <w:szCs w:val="20"/>
              </w:rPr>
              <w:t>-</w:t>
            </w:r>
            <w:r w:rsidR="003129FE" w:rsidRPr="0059240B">
              <w:rPr>
                <w:rFonts w:ascii="Times New Roman" w:eastAsia="Times New Roman" w:hAnsi="Times New Roman"/>
                <w:sz w:val="20"/>
                <w:szCs w:val="20"/>
              </w:rPr>
              <w:t>8%</w:t>
            </w:r>
          </w:p>
        </w:tc>
      </w:tr>
    </w:tbl>
    <w:p w14:paraId="22E824B8" w14:textId="77777777" w:rsidR="003129FE" w:rsidRPr="0059240B" w:rsidRDefault="003129FE" w:rsidP="0021502F">
      <w:pPr>
        <w:spacing w:after="0" w:line="240" w:lineRule="auto"/>
        <w:jc w:val="both"/>
        <w:rPr>
          <w:rFonts w:ascii="Times New Roman" w:hAnsi="Times New Roman"/>
        </w:rPr>
      </w:pPr>
    </w:p>
    <w:p w14:paraId="3ED57824" w14:textId="01E09C4B"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hAnsi="Times New Roman"/>
          <w:noProof/>
        </w:rPr>
        <w:drawing>
          <wp:anchor distT="0" distB="0" distL="114300" distR="114300" simplePos="0" relativeHeight="251669504" behindDoc="1" locked="0" layoutInCell="1" allowOverlap="1" wp14:anchorId="68DAE6BC" wp14:editId="30D29D81">
            <wp:simplePos x="0" y="0"/>
            <wp:positionH relativeFrom="page">
              <wp:posOffset>4083685</wp:posOffset>
            </wp:positionH>
            <wp:positionV relativeFrom="paragraph">
              <wp:posOffset>-1184275</wp:posOffset>
            </wp:positionV>
            <wp:extent cx="140335" cy="155575"/>
            <wp:effectExtent l="0" t="0" r="0" b="0"/>
            <wp:wrapNone/>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40B">
        <w:rPr>
          <w:rFonts w:ascii="Times New Roman" w:eastAsia="Times New Roman" w:hAnsi="Times New Roman"/>
        </w:rPr>
        <w:t>2.</w:t>
      </w:r>
      <w:r w:rsidRPr="0059240B">
        <w:rPr>
          <w:rFonts w:ascii="Times New Roman" w:eastAsia="Times New Roman" w:hAnsi="Times New Roman"/>
        </w:rPr>
        <w:tab/>
        <w:t xml:space="preserve">Component </w:t>
      </w:r>
      <w:r w:rsidRPr="0059240B">
        <w:rPr>
          <w:rFonts w:ascii="Times New Roman" w:eastAsia="Times New Roman" w:hAnsi="Times New Roman"/>
          <w:i/>
        </w:rPr>
        <w:t>CA</w:t>
      </w:r>
    </w:p>
    <w:p w14:paraId="1E6ED9FE"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lastRenderedPageBreak/>
        <w:t xml:space="preserve">Component </w:t>
      </w:r>
      <w:r w:rsidRPr="0059240B">
        <w:rPr>
          <w:rFonts w:ascii="Times New Roman" w:eastAsia="Times New Roman" w:hAnsi="Times New Roman"/>
          <w:i/>
        </w:rPr>
        <w:t xml:space="preserve">CA </w:t>
      </w:r>
      <w:r w:rsidRPr="0059240B">
        <w:rPr>
          <w:rFonts w:ascii="Times New Roman" w:eastAsia="Times New Roman" w:hAnsi="Times New Roman"/>
        </w:rPr>
        <w:t>is computed as the present value of the projected change in surrender charges plus the present value of an implied borrowing cost of 25 bps at the beginning of each future period applied to the surrender charge at such time.</w:t>
      </w:r>
    </w:p>
    <w:p w14:paraId="1DADA1BE" w14:textId="32CA4252"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hAnsi="Times New Roman"/>
          <w:noProof/>
        </w:rPr>
        <w:drawing>
          <wp:anchor distT="0" distB="0" distL="114300" distR="114300" simplePos="0" relativeHeight="251670528" behindDoc="1" locked="0" layoutInCell="1" allowOverlap="1" wp14:anchorId="2721A1A2" wp14:editId="50427D65">
            <wp:simplePos x="0" y="0"/>
            <wp:positionH relativeFrom="page">
              <wp:posOffset>6529070</wp:posOffset>
            </wp:positionH>
            <wp:positionV relativeFrom="paragraph">
              <wp:posOffset>576580</wp:posOffset>
            </wp:positionV>
            <wp:extent cx="135255" cy="161290"/>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40B">
        <w:rPr>
          <w:rFonts w:ascii="Times New Roman" w:eastAsia="Times New Roman" w:hAnsi="Times New Roman"/>
        </w:rPr>
        <w:t xml:space="preserve">This component can be interpreted as the “amount needed to amortize the unamortized surrender charge allowance for the </w:t>
      </w:r>
      <w:r w:rsidRPr="0059240B">
        <w:rPr>
          <w:rFonts w:ascii="Times New Roman" w:eastAsia="Times New Roman" w:hAnsi="Times New Roman"/>
          <w:i/>
        </w:rPr>
        <w:t xml:space="preserve">persisting </w:t>
      </w:r>
      <w:r w:rsidRPr="0059240B">
        <w:rPr>
          <w:rFonts w:ascii="Times New Roman" w:eastAsia="Times New Roman" w:hAnsi="Times New Roman"/>
        </w:rPr>
        <w:t>policies plus the implied borrowing cost.” 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both as described above, and the year-by-year amortization discounted also as described above. For simplicity, mortality is ignored in the calculations. Surrender charges and free partial withdrawal provisions are as specified in the contract. Lapse and withdrawal rates are determined on a prudent estimate basis and may vary according to the attributes of the business being valued including, but not limited to, attained age, contract duration, etc.</w:t>
      </w:r>
    </w:p>
    <w:p w14:paraId="2922BFE8" w14:textId="77777777" w:rsidR="003129FE" w:rsidRPr="0059240B" w:rsidRDefault="003129FE" w:rsidP="00E87EFC">
      <w:pPr>
        <w:pStyle w:val="ListParagraph"/>
        <w:numPr>
          <w:ilvl w:val="0"/>
          <w:numId w:val="20"/>
        </w:numPr>
        <w:spacing w:after="220" w:line="240" w:lineRule="auto"/>
        <w:ind w:left="1440" w:hanging="720"/>
        <w:contextualSpacing w:val="0"/>
        <w:jc w:val="both"/>
        <w:rPr>
          <w:rFonts w:ascii="Times New Roman" w:eastAsia="Times New Roman" w:hAnsi="Times New Roman"/>
        </w:rPr>
      </w:pPr>
      <w:r w:rsidRPr="0059240B">
        <w:rPr>
          <w:rFonts w:ascii="Times New Roman" w:eastAsia="Times New Roman" w:hAnsi="Times New Roman"/>
        </w:rPr>
        <w:t xml:space="preserve">Component </w:t>
      </w:r>
      <w:r w:rsidRPr="0059240B">
        <w:rPr>
          <w:rFonts w:ascii="Times New Roman" w:eastAsia="Times New Roman" w:hAnsi="Times New Roman"/>
          <w:i/>
        </w:rPr>
        <w:t>FE</w:t>
      </w:r>
    </w:p>
    <w:p w14:paraId="3528DE81"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Component </w:t>
      </w:r>
      <w:r w:rsidRPr="0059240B">
        <w:rPr>
          <w:rFonts w:ascii="Times New Roman" w:eastAsia="Times New Roman" w:hAnsi="Times New Roman"/>
          <w:i/>
        </w:rPr>
        <w:t xml:space="preserve">FE </w:t>
      </w:r>
      <w:r w:rsidRPr="0059240B">
        <w:rPr>
          <w:rFonts w:ascii="Times New Roman" w:eastAsia="Times New Roman" w:hAnsi="Times New Roman"/>
        </w:rPr>
        <w:t xml:space="preserve">establishes a provision for fixed dollar expenses (e.g., allocated costs, including overhead expressed as “per contract” </w:t>
      </w:r>
      <w:r w:rsidRPr="0059240B">
        <w:rPr>
          <w:rFonts w:ascii="Times New Roman" w:eastAsia="Times New Roman" w:hAnsi="Times New Roman"/>
          <w:i/>
        </w:rPr>
        <w:t xml:space="preserve">and </w:t>
      </w:r>
      <w:r w:rsidRPr="0059240B">
        <w:rPr>
          <w:rFonts w:ascii="Times New Roman" w:eastAsia="Times New Roman" w:hAnsi="Times New Roman"/>
        </w:rPr>
        <w:t xml:space="preserve">those expenses defined on a “per contract” basis) less any fixed dollar revenue (e.g., annual administrative charges or contract fees) through the earlier of contract maturity or 30 years. </w:t>
      </w:r>
      <w:r w:rsidRPr="0059240B">
        <w:rPr>
          <w:rFonts w:ascii="Times New Roman" w:eastAsia="Times New Roman" w:hAnsi="Times New Roman"/>
          <w:i/>
        </w:rPr>
        <w:t xml:space="preserve">FE </w:t>
      </w:r>
      <w:r w:rsidRPr="0059240B">
        <w:rPr>
          <w:rFonts w:ascii="Times New Roman" w:eastAsia="Times New Roman" w:hAnsi="Times New Roman"/>
        </w:rPr>
        <w:t>is computed as the present value of the company’s assumed fixed expenses projected at an assumed annual rate of inflation starting in the second projection year. This rate grades uniformly from the current inflation rate (CIR) into an ultimate inflation rate of 3% per annum in the 8th year after the valuation date. The CIR is the greater of 3% and the inflation rate assumed for expenses in the company’s most recent asset adequacy analysis for similar business.</w:t>
      </w:r>
    </w:p>
    <w:p w14:paraId="7BECCFAE" w14:textId="77777777" w:rsidR="003129FE" w:rsidRPr="0059240B" w:rsidRDefault="003129FE" w:rsidP="00E87EFC">
      <w:pPr>
        <w:pStyle w:val="ListParagraph"/>
        <w:numPr>
          <w:ilvl w:val="0"/>
          <w:numId w:val="21"/>
        </w:numPr>
        <w:spacing w:after="220" w:line="240" w:lineRule="auto"/>
        <w:ind w:left="720" w:hanging="720"/>
        <w:contextualSpacing w:val="0"/>
        <w:jc w:val="both"/>
        <w:rPr>
          <w:rFonts w:ascii="Times New Roman" w:eastAsia="Times New Roman" w:hAnsi="Times New Roman"/>
          <w:position w:val="-1"/>
        </w:rPr>
      </w:pPr>
      <w:r w:rsidRPr="0059240B">
        <w:rPr>
          <w:rFonts w:ascii="Times New Roman" w:eastAsia="Times New Roman" w:hAnsi="Times New Roman"/>
          <w:position w:val="-1"/>
        </w:rPr>
        <w:t xml:space="preserve">Calculation of the </w:t>
      </w:r>
      <w:r w:rsidRPr="0059240B">
        <w:rPr>
          <w:rFonts w:ascii="Times New Roman" w:eastAsia="Times New Roman" w:hAnsi="Times New Roman"/>
          <w:i/>
          <w:position w:val="-1"/>
        </w:rPr>
        <w:t xml:space="preserve">GC </w:t>
      </w:r>
      <w:r w:rsidRPr="0059240B">
        <w:rPr>
          <w:rFonts w:ascii="Times New Roman" w:eastAsia="Times New Roman" w:hAnsi="Times New Roman"/>
          <w:position w:val="-1"/>
        </w:rPr>
        <w:t>Component</w:t>
      </w:r>
    </w:p>
    <w:p w14:paraId="46E837BA" w14:textId="77777777" w:rsidR="003129FE" w:rsidRPr="0059240B"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59240B">
        <w:rPr>
          <w:rFonts w:ascii="Times New Roman" w:eastAsia="Times New Roman" w:hAnsi="Times New Roman"/>
          <w:i/>
          <w:position w:val="-1"/>
        </w:rPr>
        <w:t>GC</w:t>
      </w:r>
      <w:r w:rsidRPr="0059240B">
        <w:rPr>
          <w:rFonts w:ascii="Times New Roman" w:eastAsia="Times New Roman" w:hAnsi="Times New Roman"/>
          <w:position w:val="-1"/>
        </w:rPr>
        <w:t xml:space="preserve"> Factors</w:t>
      </w:r>
    </w:p>
    <w:p w14:paraId="55AEBB9A" w14:textId="25751C7D" w:rsidR="003129FE" w:rsidRPr="0059240B" w:rsidRDefault="003129FE" w:rsidP="0021502F">
      <w:pPr>
        <w:pStyle w:val="ListParagraph"/>
        <w:spacing w:after="220" w:line="240" w:lineRule="auto"/>
        <w:ind w:left="1440"/>
        <w:contextualSpacing w:val="0"/>
        <w:jc w:val="both"/>
        <w:rPr>
          <w:rFonts w:ascii="Times New Roman" w:eastAsia="Times New Roman" w:hAnsi="Times New Roman"/>
          <w:position w:val="-1"/>
        </w:rPr>
      </w:pPr>
      <w:r w:rsidRPr="0059240B">
        <w:rPr>
          <w:rFonts w:ascii="Times New Roman" w:eastAsia="Times New Roman" w:hAnsi="Times New Roman"/>
          <w:i/>
          <w:position w:val="-1"/>
        </w:rPr>
        <w:t>GC</w:t>
      </w:r>
      <w:r w:rsidRPr="0059240B">
        <w:rPr>
          <w:rFonts w:ascii="Times New Roman" w:eastAsia="Times New Roman" w:hAnsi="Times New Roman"/>
          <w:position w:val="-1"/>
        </w:rPr>
        <w:t xml:space="preserve"> is calculated as </w:t>
      </w:r>
      <w:r w:rsidRPr="0059240B">
        <w:rPr>
          <w:rFonts w:ascii="Times New Roman" w:eastAsia="Times New Roman" w:hAnsi="Times New Roman"/>
          <w:i/>
          <w:position w:val="-1"/>
        </w:rPr>
        <w:t>F×GV-G×AV×R</w:t>
      </w:r>
      <w:r w:rsidRPr="0059240B">
        <w:rPr>
          <w:rFonts w:ascii="Times New Roman" w:eastAsia="Times New Roman" w:hAnsi="Times New Roman"/>
          <w:position w:val="-1"/>
        </w:rPr>
        <w:t>,</w:t>
      </w:r>
      <w:r w:rsidRPr="0059240B">
        <w:rPr>
          <w:noProof/>
        </w:rPr>
        <w:fldChar w:fldCharType="begin"/>
      </w:r>
      <w:r w:rsidRPr="0059240B">
        <w:rPr>
          <w:noProof/>
        </w:rPr>
        <w:fldChar w:fldCharType="end"/>
      </w:r>
      <w:r w:rsidRPr="0059240B">
        <w:rPr>
          <w:rFonts w:ascii="Times New Roman" w:eastAsia="Times New Roman" w:hAnsi="Times New Roman"/>
          <w:position w:val="-1"/>
        </w:rPr>
        <w:t xml:space="preserve"> where </w:t>
      </w:r>
      <w:r w:rsidRPr="0059240B">
        <w:rPr>
          <w:rFonts w:ascii="Times New Roman" w:eastAsia="Times New Roman" w:hAnsi="Times New Roman"/>
          <w:i/>
          <w:position w:val="-1"/>
        </w:rPr>
        <w:t>GV</w:t>
      </w:r>
      <w:r w:rsidRPr="0059240B">
        <w:rPr>
          <w:rFonts w:ascii="Times New Roman" w:eastAsia="Times New Roman" w:hAnsi="Times New Roman"/>
          <w:position w:val="-1"/>
        </w:rPr>
        <w:t xml:space="preserve"> is the amount of the GMDB and </w:t>
      </w:r>
      <w:r w:rsidRPr="0059240B">
        <w:rPr>
          <w:rFonts w:ascii="Times New Roman" w:eastAsia="Times New Roman" w:hAnsi="Times New Roman"/>
          <w:i/>
          <w:position w:val="-1"/>
        </w:rPr>
        <w:t>AV</w:t>
      </w:r>
      <w:r w:rsidRPr="0059240B">
        <w:rPr>
          <w:rFonts w:ascii="Times New Roman" w:eastAsia="Times New Roman" w:hAnsi="Times New Roman"/>
          <w:position w:val="-1"/>
        </w:rPr>
        <w:t xml:space="preserve"> is the contract account value, both as of the valuation date. </w:t>
      </w:r>
      <w:r w:rsidRPr="0059240B">
        <w:rPr>
          <w:rFonts w:ascii="Times New Roman" w:eastAsia="Times New Roman" w:hAnsi="Times New Roman"/>
          <w:i/>
          <w:position w:val="-1"/>
        </w:rPr>
        <w:t>F</w:t>
      </w:r>
      <w:r w:rsidRPr="0059240B">
        <w:rPr>
          <w:rFonts w:ascii="Times New Roman" w:eastAsia="Times New Roman" w:hAnsi="Times New Roman"/>
          <w:position w:val="-1"/>
        </w:rPr>
        <w:t xml:space="preserve">, </w:t>
      </w:r>
      <w:r w:rsidRPr="0059240B">
        <w:rPr>
          <w:rFonts w:ascii="Times New Roman" w:eastAsia="Times New Roman" w:hAnsi="Times New Roman"/>
          <w:i/>
          <w:position w:val="-1"/>
        </w:rPr>
        <w:t>G</w:t>
      </w:r>
      <w:r w:rsidRPr="0059240B">
        <w:rPr>
          <w:rFonts w:ascii="Times New Roman" w:eastAsia="Times New Roman" w:hAnsi="Times New Roman"/>
          <w:position w:val="-1"/>
        </w:rPr>
        <w:t xml:space="preserve"> and the slope and intercept for the linear function used to determine </w:t>
      </w:r>
      <w:r w:rsidRPr="0059240B">
        <w:rPr>
          <w:rFonts w:ascii="Times New Roman" w:eastAsia="Times New Roman" w:hAnsi="Times New Roman"/>
          <w:i/>
          <w:position w:val="-1"/>
        </w:rPr>
        <w:t>R</w:t>
      </w:r>
      <w:r w:rsidRPr="0059240B">
        <w:rPr>
          <w:rFonts w:ascii="Times New Roman" w:eastAsia="Times New Roman" w:hAnsi="Times New Roman"/>
          <w:position w:val="-1"/>
        </w:rPr>
        <w:t xml:space="preserve"> (identified symbolically as </w:t>
      </w:r>
      <w:r w:rsidRPr="0059240B">
        <w:t>β</w:t>
      </w:r>
      <w:r w:rsidRPr="0059240B">
        <w:rPr>
          <w:vertAlign w:val="subscript"/>
        </w:rPr>
        <w:t xml:space="preserve">1 </w:t>
      </w:r>
      <w:r w:rsidRPr="0059240B">
        <w:t>and β</w:t>
      </w:r>
      <w:r w:rsidRPr="0059240B">
        <w:rPr>
          <w:vertAlign w:val="subscript"/>
        </w:rPr>
        <w:t>2</w:t>
      </w:r>
      <w:r w:rsidRPr="0059240B">
        <w:rPr>
          <w:rFonts w:ascii="Times New Roman" w:eastAsia="Times New Roman" w:hAnsi="Times New Roman"/>
          <w:position w:val="-1"/>
        </w:rPr>
        <w:t>) are pre-calculated factors available from the NAIC and known herein as the “pre-calculated factors.” The factors shall be interpolated as described in Section 7.C.6 and modified as necessary as described in Section 7.C.7 and Section 7.C.8.</w:t>
      </w:r>
    </w:p>
    <w:p w14:paraId="2B5FE567" w14:textId="77777777" w:rsidR="003129FE" w:rsidRPr="0059240B"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59240B">
        <w:rPr>
          <w:rFonts w:ascii="Times New Roman" w:eastAsia="Times New Roman" w:hAnsi="Times New Roman"/>
          <w:position w:val="-1"/>
        </w:rPr>
        <w:t>Five Steps</w:t>
      </w:r>
    </w:p>
    <w:p w14:paraId="18F06DD2" w14:textId="77777777" w:rsidR="003129FE" w:rsidRPr="0059240B" w:rsidRDefault="003129FE" w:rsidP="0021502F">
      <w:pPr>
        <w:pStyle w:val="ListParagraph"/>
        <w:spacing w:after="220" w:line="240" w:lineRule="auto"/>
        <w:ind w:left="1440"/>
        <w:contextualSpacing w:val="0"/>
        <w:jc w:val="both"/>
        <w:rPr>
          <w:rFonts w:ascii="Times New Roman" w:eastAsia="Times New Roman" w:hAnsi="Times New Roman"/>
        </w:rPr>
      </w:pPr>
      <w:r w:rsidRPr="0059240B">
        <w:rPr>
          <w:rFonts w:ascii="Times New Roman" w:eastAsia="Times New Roman" w:hAnsi="Times New Roman"/>
          <w:position w:val="-1"/>
        </w:rPr>
        <w:t xml:space="preserve">There are five major steps in determining the </w:t>
      </w:r>
      <w:r w:rsidRPr="0059240B">
        <w:rPr>
          <w:rFonts w:ascii="Times New Roman" w:eastAsia="Times New Roman" w:hAnsi="Times New Roman"/>
          <w:i/>
          <w:position w:val="-1"/>
        </w:rPr>
        <w:t xml:space="preserve">GC </w:t>
      </w:r>
      <w:r w:rsidRPr="0059240B">
        <w:rPr>
          <w:rFonts w:ascii="Times New Roman" w:eastAsia="Times New Roman" w:hAnsi="Times New Roman"/>
          <w:position w:val="-1"/>
        </w:rPr>
        <w:t>component for a given contract:</w:t>
      </w:r>
    </w:p>
    <w:p w14:paraId="5AB1DD1D" w14:textId="18D2A754" w:rsidR="003129FE" w:rsidRPr="0059240B" w:rsidRDefault="003129FE" w:rsidP="0021502F">
      <w:pPr>
        <w:widowControl w:val="0"/>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Classifying the asset exposure, as specified in Section 7.C.3.</w:t>
      </w:r>
    </w:p>
    <w:p w14:paraId="747C9AD7" w14:textId="4F8F69F4" w:rsidR="003129FE" w:rsidRPr="0059240B" w:rsidRDefault="003129FE" w:rsidP="0021502F">
      <w:pPr>
        <w:widowControl w:val="0"/>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Determining the risk attributes, as specified in Section 7.C.4 and Section 7.C.5.</w:t>
      </w:r>
    </w:p>
    <w:p w14:paraId="6B4D2D3A" w14:textId="4BE09BB1" w:rsidR="003129FE" w:rsidRPr="0059240B" w:rsidRDefault="003129FE" w:rsidP="0021502F">
      <w:pPr>
        <w:widowControl w:val="0"/>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Retrieving the appropriate nodal factors from the factor grid, as described in Section 7.C.5.</w:t>
      </w:r>
    </w:p>
    <w:p w14:paraId="0ACD057B" w14:textId="02C1BE48" w:rsidR="003129FE" w:rsidRPr="0059240B" w:rsidRDefault="003129FE" w:rsidP="0021502F">
      <w:pPr>
        <w:widowControl w:val="0"/>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 xml:space="preserve">Interpolating the nodal factors, where applicable (optional), as described in Section 7.C.6. </w:t>
      </w:r>
    </w:p>
    <w:p w14:paraId="7657F973" w14:textId="77777777" w:rsidR="003129FE" w:rsidRPr="0059240B" w:rsidRDefault="003129FE" w:rsidP="0021502F">
      <w:pPr>
        <w:widowControl w:val="0"/>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Applying the factors to the contract values.</w:t>
      </w:r>
    </w:p>
    <w:p w14:paraId="2809B2B4" w14:textId="77777777" w:rsidR="003129FE" w:rsidRPr="0059240B" w:rsidRDefault="003129FE" w:rsidP="0021502F">
      <w:pPr>
        <w:widowControl w:val="0"/>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Classifying Asset Exposure</w:t>
      </w:r>
    </w:p>
    <w:p w14:paraId="17197C09" w14:textId="61A0320E" w:rsidR="003129FE" w:rsidRPr="0059240B" w:rsidRDefault="003129FE" w:rsidP="0021502F">
      <w:pPr>
        <w:widowControl w:val="0"/>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For purposes of calculating </w:t>
      </w:r>
      <w:r w:rsidRPr="0059240B">
        <w:rPr>
          <w:rFonts w:ascii="Times New Roman" w:eastAsia="Times New Roman" w:hAnsi="Times New Roman"/>
          <w:i/>
        </w:rPr>
        <w:t xml:space="preserve">GC </w:t>
      </w:r>
      <w:r w:rsidRPr="0059240B">
        <w:rPr>
          <w:rFonts w:ascii="Times New Roman" w:eastAsia="Times New Roman" w:hAnsi="Times New Roman"/>
        </w:rPr>
        <w:t xml:space="preserve">(unlike what is done for components </w:t>
      </w:r>
      <w:r w:rsidRPr="0059240B">
        <w:rPr>
          <w:rFonts w:ascii="Times New Roman" w:eastAsia="Times New Roman" w:hAnsi="Times New Roman"/>
          <w:i/>
        </w:rPr>
        <w:t xml:space="preserve">CA </w:t>
      </w:r>
      <w:r w:rsidRPr="0059240B">
        <w:rPr>
          <w:rFonts w:ascii="Times New Roman" w:eastAsia="Times New Roman" w:hAnsi="Times New Roman"/>
        </w:rPr>
        <w:t xml:space="preserve">and </w:t>
      </w:r>
      <w:r w:rsidRPr="0059240B">
        <w:rPr>
          <w:rFonts w:ascii="Times New Roman" w:eastAsia="Times New Roman" w:hAnsi="Times New Roman"/>
          <w:i/>
        </w:rPr>
        <w:t>FE</w:t>
      </w:r>
      <w:r w:rsidRPr="0059240B">
        <w:rPr>
          <w:rFonts w:ascii="Times New Roman" w:eastAsia="Times New Roman" w:hAnsi="Times New Roman"/>
        </w:rPr>
        <w:t xml:space="preserve">), the entire account </w:t>
      </w:r>
      <w:r w:rsidRPr="0059240B">
        <w:rPr>
          <w:rFonts w:ascii="Times New Roman" w:eastAsia="Times New Roman" w:hAnsi="Times New Roman"/>
        </w:rPr>
        <w:lastRenderedPageBreak/>
        <w:t>value for each contract must be assigned to one of the eight prescribed fund classes shown in Section 7.D, using the fund categorization rules in Section 7.D.</w:t>
      </w:r>
    </w:p>
    <w:p w14:paraId="47B8142D" w14:textId="77777777" w:rsidR="003129FE" w:rsidRPr="0059240B" w:rsidRDefault="003129FE" w:rsidP="00063E8C">
      <w:pPr>
        <w:pStyle w:val="ListParagraph"/>
        <w:numPr>
          <w:ilvl w:val="0"/>
          <w:numId w:val="52"/>
        </w:numPr>
        <w:spacing w:after="220" w:line="240" w:lineRule="auto"/>
        <w:ind w:left="1440" w:hanging="720"/>
        <w:contextualSpacing w:val="0"/>
        <w:jc w:val="both"/>
        <w:rPr>
          <w:rFonts w:ascii="Times New Roman" w:eastAsia="Times New Roman" w:hAnsi="Times New Roman"/>
        </w:rPr>
      </w:pPr>
      <w:r w:rsidRPr="0059240B">
        <w:rPr>
          <w:rFonts w:ascii="Times New Roman" w:eastAsia="Times New Roman" w:hAnsi="Times New Roman"/>
        </w:rPr>
        <w:t>Product Designs</w:t>
      </w:r>
    </w:p>
    <w:p w14:paraId="7BEAD0F2" w14:textId="5C20601B" w:rsidR="003129FE" w:rsidRPr="0059240B" w:rsidRDefault="003129FE" w:rsidP="00063E8C">
      <w:pPr>
        <w:pStyle w:val="ListParagraph"/>
        <w:spacing w:after="220" w:line="240" w:lineRule="auto"/>
        <w:ind w:left="1440"/>
        <w:contextualSpacing w:val="0"/>
        <w:rPr>
          <w:rFonts w:ascii="Times New Roman" w:eastAsia="Times New Roman" w:hAnsi="Times New Roman"/>
        </w:rPr>
      </w:pPr>
      <w:r w:rsidRPr="0059240B">
        <w:rPr>
          <w:rFonts w:ascii="Times New Roman" w:eastAsia="Times New Roman" w:hAnsi="Times New Roman"/>
        </w:rPr>
        <w:t xml:space="preserve">Factors </w:t>
      </w:r>
      <w:r w:rsidRPr="0059240B">
        <w:rPr>
          <w:rFonts w:ascii="Times New Roman" w:eastAsia="Times New Roman" w:hAnsi="Times New Roman"/>
          <w:i/>
        </w:rPr>
        <w:t xml:space="preserve">F, G </w:t>
      </w:r>
      <w:r w:rsidRPr="0059240B">
        <w:rPr>
          <w:rFonts w:ascii="Times New Roman" w:eastAsia="Times New Roman" w:hAnsi="Times New Roman"/>
        </w:rPr>
        <w:t xml:space="preserve">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59240B">
        <w:rPr>
          <w:rFonts w:ascii="Times New Roman" w:hAnsi="Times New Roman"/>
        </w:rPr>
        <w:t xml:space="preserve"> </w:t>
      </w:r>
      <w:r w:rsidRPr="0059240B">
        <w:rPr>
          <w:rFonts w:ascii="Times New Roman" w:eastAsia="Times New Roman" w:hAnsi="Times New Roman"/>
        </w:rPr>
        <w:t>are available with the pre-calculated factors for the following GMDB product designs:</w:t>
      </w:r>
    </w:p>
    <w:p w14:paraId="7A5EC281"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Return of premium (ROP).</w:t>
      </w:r>
    </w:p>
    <w:p w14:paraId="2058D2F7" w14:textId="0303E73D"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Premiums less withdrawals accumulated at 3% per annum, capped at 2.5 times premiums less withdrawals, with no further increase beyond age 80 (ROLL3).</w:t>
      </w:r>
    </w:p>
    <w:p w14:paraId="0AA20A34" w14:textId="307F30E5"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Premiums less withdrawals accumulated at 5% per annum, capped at 2.5 times premiums less withdrawals, with no further increase beyond age 80 (ROLL5).</w:t>
      </w:r>
    </w:p>
    <w:p w14:paraId="056E1069" w14:textId="27A23080"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An annual ratchet design (maximum anniversary value), for which the guaranteed benefit never decreases and is increased to equal the previous contract anniversary account value, if larger, with no further increases beyond age 80 (MAV).</w:t>
      </w:r>
    </w:p>
    <w:p w14:paraId="6A78435D" w14:textId="6E062F85"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A design having a guaranteed benefit equal to the larger of the benefits in designs c and d, above (HIGH).</w:t>
      </w:r>
    </w:p>
    <w:p w14:paraId="22BD41F8" w14:textId="0BE72EB6"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t>An enhanced death benefit (EDB) equal to 40% of the net earnings on the account (i.e., 40% of account value less total premiums paid plus withdrawals made), with this latter benefit capped at 40% of premiums less withdrawals.</w:t>
      </w:r>
    </w:p>
    <w:p w14:paraId="5198923F" w14:textId="77777777" w:rsidR="003129FE" w:rsidRPr="0059240B" w:rsidRDefault="003129FE" w:rsidP="0021502F">
      <w:pPr>
        <w:spacing w:after="220" w:line="240" w:lineRule="auto"/>
        <w:ind w:left="1440" w:hanging="720"/>
        <w:jc w:val="both"/>
        <w:rPr>
          <w:rFonts w:ascii="Times New Roman" w:eastAsia="Times New Roman" w:hAnsi="Times New Roman"/>
          <w:position w:val="3"/>
        </w:rPr>
      </w:pPr>
      <w:r w:rsidRPr="0059240B">
        <w:rPr>
          <w:rFonts w:ascii="Times New Roman" w:eastAsia="Times New Roman" w:hAnsi="Times New Roman"/>
          <w:position w:val="3"/>
          <w:u w:color="000000"/>
        </w:rPr>
        <w:t>5.</w:t>
      </w:r>
      <w:r w:rsidRPr="0059240B">
        <w:rPr>
          <w:rFonts w:ascii="Times New Roman" w:eastAsia="Times New Roman" w:hAnsi="Times New Roman"/>
          <w:position w:val="3"/>
          <w:u w:color="000000"/>
        </w:rPr>
        <w:tab/>
      </w:r>
      <w:r w:rsidRPr="0059240B">
        <w:rPr>
          <w:rFonts w:ascii="Times New Roman" w:eastAsia="Times New Roman" w:hAnsi="Times New Roman"/>
          <w:position w:val="3"/>
        </w:rPr>
        <w:t>Other Attributes</w:t>
      </w:r>
    </w:p>
    <w:p w14:paraId="652F5BD8" w14:textId="4DBA7601" w:rsidR="003129FE" w:rsidRPr="0059240B" w:rsidRDefault="003129FE" w:rsidP="00063E8C">
      <w:pPr>
        <w:spacing w:after="0" w:line="240" w:lineRule="auto"/>
        <w:ind w:left="1440"/>
        <w:jc w:val="both"/>
        <w:rPr>
          <w:rFonts w:ascii="Times New Roman" w:hAnsi="Times New Roman"/>
          <w:position w:val="-1"/>
        </w:rPr>
      </w:pPr>
      <w:r w:rsidRPr="0059240B">
        <w:rPr>
          <w:rFonts w:ascii="Times New Roman" w:eastAsia="Times New Roman" w:hAnsi="Times New Roman"/>
          <w:position w:val="3"/>
        </w:rPr>
        <w:t xml:space="preserve">Factors </w:t>
      </w:r>
      <w:r w:rsidRPr="0059240B">
        <w:rPr>
          <w:rFonts w:ascii="Times New Roman" w:eastAsia="Times New Roman" w:hAnsi="Times New Roman"/>
          <w:i/>
          <w:position w:val="3"/>
        </w:rPr>
        <w:t>F</w:t>
      </w:r>
      <w:r w:rsidRPr="0059240B">
        <w:rPr>
          <w:rFonts w:ascii="Times New Roman" w:eastAsia="Times New Roman" w:hAnsi="Times New Roman"/>
          <w:position w:val="3"/>
        </w:rPr>
        <w:t xml:space="preserve">, </w:t>
      </w:r>
      <w:r w:rsidRPr="0059240B">
        <w:rPr>
          <w:rFonts w:ascii="Times New Roman" w:eastAsia="Times New Roman" w:hAnsi="Times New Roman"/>
          <w:i/>
          <w:position w:val="3"/>
        </w:rPr>
        <w:t xml:space="preserve">G </w:t>
      </w:r>
      <w:r w:rsidRPr="0059240B">
        <w:rPr>
          <w:rFonts w:ascii="Times New Roman" w:eastAsia="Times New Roman" w:hAnsi="Times New Roman"/>
          <w:position w:val="3"/>
        </w:rPr>
        <w:t xml:space="preserve">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59240B">
        <w:rPr>
          <w:rFonts w:ascii="Times New Roman" w:eastAsia="Times New Roman" w:hAnsi="Times New Roman"/>
        </w:rPr>
        <w:t xml:space="preserve"> </w:t>
      </w:r>
      <w:r w:rsidRPr="0059240B">
        <w:rPr>
          <w:rFonts w:ascii="Times New Roman" w:eastAsia="Times New Roman" w:hAnsi="Times New Roman"/>
          <w:position w:val="3"/>
        </w:rPr>
        <w:t>are available within the pre-calculated factors for the following set of attributes:</w:t>
      </w:r>
      <w:r w:rsidRPr="0059240B">
        <w:rPr>
          <w:rFonts w:ascii="Times New Roman" w:eastAsia="Times New Roman" w:hAnsi="Times New Roman"/>
          <w:position w:val="-1"/>
        </w:rPr>
        <w:t xml:space="preserve"> </w:t>
      </w:r>
    </w:p>
    <w:p w14:paraId="7E72B086" w14:textId="16C848C6"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Two partial withdrawal rules—one for contracts having a pro-rata reduction in the GMDB and another for contracts having a dollar-for-dollar reduction.</w:t>
      </w:r>
    </w:p>
    <w:p w14:paraId="10EAF680" w14:textId="1C9C8CF4"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The eight asset classes described in Section 7.D.2.</w:t>
      </w:r>
    </w:p>
    <w:p w14:paraId="20FF3CAE"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Eight attained ages, with a five-year age setback for females.</w:t>
      </w:r>
    </w:p>
    <w:p w14:paraId="7AC7B12E"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Five contract durations.</w:t>
      </w:r>
    </w:p>
    <w:p w14:paraId="59E526F9"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 xml:space="preserve">Seven values of </w:t>
      </w:r>
      <w:r w:rsidRPr="0059240B">
        <w:rPr>
          <w:rFonts w:ascii="Times New Roman" w:hAnsi="Times New Roman"/>
          <w:i/>
        </w:rPr>
        <w:t>GV</w:t>
      </w:r>
      <w:r w:rsidRPr="0059240B">
        <w:rPr>
          <w:rFonts w:ascii="Times New Roman" w:eastAsia="Times New Roman" w:hAnsi="Times New Roman"/>
        </w:rPr>
        <w:t>/</w:t>
      </w:r>
      <w:r w:rsidRPr="0059240B">
        <w:rPr>
          <w:rFonts w:ascii="Times New Roman" w:hAnsi="Times New Roman"/>
          <w:i/>
        </w:rPr>
        <w:t>AV</w:t>
      </w:r>
      <w:r w:rsidRPr="0059240B">
        <w:rPr>
          <w:rFonts w:ascii="Times New Roman" w:eastAsia="Times New Roman" w:hAnsi="Times New Roman"/>
        </w:rPr>
        <w:t>.</w:t>
      </w:r>
    </w:p>
    <w:p w14:paraId="471502A3"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t>Three levels of asset-based income.</w:t>
      </w:r>
    </w:p>
    <w:p w14:paraId="0C12FB70" w14:textId="72284CD4" w:rsidR="003129FE" w:rsidRPr="0059240B" w:rsidRDefault="003129FE" w:rsidP="00063E8C">
      <w:pPr>
        <w:spacing w:after="220" w:line="240" w:lineRule="auto"/>
        <w:ind w:left="1440" w:hanging="720"/>
        <w:rPr>
          <w:rFonts w:ascii="Times New Roman" w:eastAsia="Times New Roman" w:hAnsi="Times New Roman"/>
        </w:rPr>
      </w:pPr>
      <w:r w:rsidRPr="0059240B">
        <w:rPr>
          <w:rFonts w:ascii="Times New Roman" w:eastAsia="Times New Roman" w:hAnsi="Times New Roman"/>
        </w:rPr>
        <w:t>6.</w:t>
      </w:r>
      <w:r w:rsidRPr="0059240B">
        <w:rPr>
          <w:rFonts w:ascii="Times New Roman" w:eastAsia="Times New Roman" w:hAnsi="Times New Roman"/>
        </w:rPr>
        <w:tab/>
        <w:t xml:space="preserve">Interpolation of </w:t>
      </w:r>
      <w:r w:rsidRPr="0059240B">
        <w:rPr>
          <w:rFonts w:ascii="Times New Roman" w:eastAsia="Times New Roman" w:hAnsi="Times New Roman"/>
          <w:i/>
        </w:rPr>
        <w:t>F, G</w:t>
      </w:r>
      <w:r w:rsidRPr="0059240B">
        <w:rPr>
          <w:rFonts w:ascii="Times New Roman" w:eastAsia="Times New Roman" w:hAnsi="Times New Roman"/>
        </w:rPr>
        <w:t xml:space="preserve"> 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p>
    <w:p w14:paraId="4F44B175" w14:textId="7BF90D60"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Apply to a contract having the product characteristics listed in Section 7.E.1 and shall be determined by selecting values for the appropriate partial withdrawal rule and asset class and then using multipoint linear interpolation among published values for the last four attributes shown in Section 7.C.5.</w:t>
      </w:r>
    </w:p>
    <w:p w14:paraId="1958B112" w14:textId="6CA53F56"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 xml:space="preserve">Interpolation over all four dimensions is not required, but if not performed over one or more dimensions, the factor used must result in a conservative (higher) value of </w:t>
      </w:r>
      <w:r w:rsidRPr="0059240B">
        <w:rPr>
          <w:rFonts w:ascii="Times New Roman" w:eastAsia="Times New Roman" w:hAnsi="Times New Roman"/>
          <w:i/>
        </w:rPr>
        <w:t>GC</w:t>
      </w:r>
      <w:r w:rsidRPr="0059240B">
        <w:rPr>
          <w:rFonts w:ascii="Times New Roman" w:eastAsia="Times New Roman" w:hAnsi="Times New Roman"/>
        </w:rPr>
        <w:t xml:space="preserve">. However, simple linear interpolation using the </w:t>
      </w:r>
      <w:r w:rsidRPr="0059240B">
        <w:rPr>
          <w:rFonts w:ascii="Times New Roman" w:eastAsia="Times New Roman" w:hAnsi="Times New Roman"/>
          <w:i/>
        </w:rPr>
        <w:t>AV</w:t>
      </w:r>
      <m:oMath>
        <m:r>
          <w:rPr>
            <w:rFonts w:ascii="Cambria Math" w:eastAsia="Times New Roman" w:hAnsi="Cambria Math"/>
          </w:rPr>
          <m:t>÷</m:t>
        </m:r>
      </m:oMath>
      <w:r w:rsidRPr="0059240B">
        <w:rPr>
          <w:rFonts w:ascii="Times New Roman" w:eastAsia="Times New Roman" w:hAnsi="Times New Roman"/>
          <w:i/>
        </w:rPr>
        <w:t xml:space="preserve">GV </w:t>
      </w:r>
      <w:r w:rsidRPr="0059240B">
        <w:rPr>
          <w:rFonts w:ascii="Times New Roman" w:eastAsia="Times New Roman" w:hAnsi="Times New Roman"/>
        </w:rPr>
        <w:t xml:space="preserve">ratio is mandatory. In this case, the company must choose nodes for the other three dimensions according to the following </w:t>
      </w:r>
      <w:r w:rsidRPr="0059240B">
        <w:rPr>
          <w:rFonts w:ascii="Times New Roman" w:eastAsia="Times New Roman" w:hAnsi="Times New Roman"/>
        </w:rPr>
        <w:lastRenderedPageBreak/>
        <w:t>rules: next highest attained age, nearest duration and nearest annualized account charge differential, as listed in Section 7.E.3 (i.e., capped at +100 and floored at –100 bps).</w:t>
      </w:r>
    </w:p>
    <w:p w14:paraId="7A8DB1AA" w14:textId="261752EC"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 xml:space="preserve">For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59240B">
        <w:rPr>
          <w:rFonts w:ascii="Times New Roman" w:eastAsia="Times New Roman" w:hAnsi="Times New Roman"/>
        </w:rPr>
        <w:t xml:space="preserve">, the interpolation should be performed on the scaling factors </w:t>
      </w:r>
      <w:r w:rsidRPr="0059240B">
        <w:rPr>
          <w:rFonts w:ascii="Times New Roman" w:eastAsia="Times New Roman" w:hAnsi="Times New Roman"/>
          <w:i/>
        </w:rPr>
        <w:t>R</w:t>
      </w:r>
      <w:r w:rsidRPr="0059240B">
        <w:rPr>
          <w:rFonts w:ascii="Times New Roman" w:eastAsia="Times New Roman" w:hAnsi="Times New Roman"/>
        </w:rPr>
        <w:t xml:space="preserve"> calculated using </w:t>
      </w:r>
      <w:r w:rsidRPr="0059240B">
        <w:rPr>
          <w:rFonts w:ascii="Times New Roman" w:hAnsi="Times New Roman"/>
        </w:rPr>
        <w:t>β</w:t>
      </w:r>
      <w:r w:rsidRPr="0059240B">
        <w:rPr>
          <w:rFonts w:ascii="Times New Roman" w:hAnsi="Times New Roman"/>
          <w:vertAlign w:val="subscript"/>
        </w:rPr>
        <w:t>1</w:t>
      </w:r>
      <w:r w:rsidRPr="0059240B">
        <w:rPr>
          <w:rFonts w:ascii="Times New Roman" w:hAnsi="Times New Roman"/>
        </w:rPr>
        <w:t>, β</w:t>
      </w:r>
      <w:r w:rsidRPr="0059240B">
        <w:rPr>
          <w:rFonts w:ascii="Times New Roman" w:hAnsi="Times New Roman"/>
          <w:vertAlign w:val="subscript"/>
        </w:rPr>
        <w:t>2</w:t>
      </w:r>
      <w:r w:rsidRPr="0059240B">
        <w:rPr>
          <w:rFonts w:ascii="Times New Roman" w:eastAsia="Times New Roman" w:hAnsi="Times New Roman"/>
        </w:rPr>
        <w:t>, using the ratio of margin offset to total asset charges (</w:t>
      </w:r>
      <w:r w:rsidRPr="0059240B">
        <w:rPr>
          <w:rFonts w:ascii="Times New Roman" w:eastAsia="Times New Roman" w:hAnsi="Times New Roman"/>
          <w:i/>
        </w:rPr>
        <w:t>W</w:t>
      </w:r>
      <w:r w:rsidRPr="0059240B">
        <w:rPr>
          <w:rFonts w:ascii="Times New Roman" w:eastAsia="Times New Roman" w:hAnsi="Times New Roman"/>
        </w:rPr>
        <w:t xml:space="preserve">), not on the factors </w:t>
      </w:r>
      <w:r w:rsidRPr="0059240B">
        <w:rPr>
          <w:rFonts w:ascii="Times New Roman" w:hAnsi="Times New Roman"/>
        </w:rPr>
        <w:t>β</w:t>
      </w:r>
      <w:r w:rsidRPr="0059240B">
        <w:rPr>
          <w:rFonts w:ascii="Times New Roman" w:hAnsi="Times New Roman"/>
          <w:vertAlign w:val="subscript"/>
        </w:rPr>
        <w:t xml:space="preserve">1 </w:t>
      </w:r>
      <w:r w:rsidRPr="0059240B">
        <w:rPr>
          <w:rFonts w:ascii="Times New Roman" w:eastAsia="Times New Roman" w:hAnsi="Times New Roman"/>
        </w:rPr>
        <w:t xml:space="preserve">and </w:t>
      </w:r>
      <w:r w:rsidRPr="0059240B">
        <w:rPr>
          <w:rFonts w:ascii="Times New Roman" w:hAnsi="Times New Roman"/>
        </w:rPr>
        <w:t>β</w:t>
      </w:r>
      <w:r w:rsidRPr="0059240B">
        <w:rPr>
          <w:rFonts w:ascii="Times New Roman" w:hAnsi="Times New Roman"/>
          <w:vertAlign w:val="subscript"/>
        </w:rPr>
        <w:t>2</w:t>
      </w:r>
      <w:r w:rsidRPr="0059240B">
        <w:rPr>
          <w:rFonts w:ascii="Times New Roman" w:eastAsia="Times New Roman" w:hAnsi="Times New Roman"/>
        </w:rPr>
        <w:t xml:space="preserve"> themselves.</w:t>
      </w:r>
    </w:p>
    <w:p w14:paraId="5D37503C" w14:textId="096EC59D" w:rsidR="00FB1D77" w:rsidRPr="0059240B" w:rsidRDefault="00FB1D77" w:rsidP="00FB1D77">
      <w:pPr>
        <w:spacing w:after="220" w:line="240" w:lineRule="auto"/>
        <w:ind w:left="2160" w:hanging="720"/>
        <w:rPr>
          <w:rFonts w:ascii="Times New Roman" w:eastAsia="Times New Roman" w:hAnsi="Times New Roman"/>
        </w:rPr>
      </w:pPr>
    </w:p>
    <w:p w14:paraId="0F489CFC" w14:textId="3395B073" w:rsidR="003129FE" w:rsidRPr="0059240B" w:rsidRDefault="001A3D5B"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003129FE" w:rsidRPr="0059240B">
        <w:rPr>
          <w:rFonts w:ascii="Times New Roman" w:eastAsia="Times New Roman" w:hAnsi="Times New Roman"/>
        </w:rPr>
        <w:t>.</w:t>
      </w:r>
      <w:r w:rsidR="003129FE" w:rsidRPr="0059240B">
        <w:rPr>
          <w:rFonts w:ascii="Times New Roman" w:eastAsia="Times New Roman" w:hAnsi="Times New Roman"/>
        </w:rPr>
        <w:tab/>
      </w:r>
      <w:r w:rsidRPr="0059240B">
        <w:rPr>
          <w:rFonts w:ascii="Times New Roman" w:eastAsia="Times New Roman" w:hAnsi="Times New Roman"/>
        </w:rPr>
        <w:t xml:space="preserve">The instructions referenced in Section 7.A.1.f above include guidance on determining the correct values and performing the multipoint linear interpolation. </w:t>
      </w:r>
      <w:r w:rsidR="003129FE" w:rsidRPr="0059240B">
        <w:rPr>
          <w:rFonts w:ascii="Times New Roman" w:eastAsia="Times New Roman" w:hAnsi="Times New Roman"/>
        </w:rPr>
        <w:t xml:space="preserve">Alternatively, published documentation can be referenced on performing multipoint linear interpolation and the required 16 values determined using a key that is documented in the table </w:t>
      </w:r>
      <w:r w:rsidR="003129FE" w:rsidRPr="0059240B">
        <w:rPr>
          <w:rFonts w:ascii="Times New Roman" w:eastAsia="Times New Roman" w:hAnsi="Times New Roman"/>
          <w:i/>
        </w:rPr>
        <w:t>Components of Key Used for GC Factor Look-Up</w:t>
      </w:r>
      <w:r w:rsidR="003129FE" w:rsidRPr="0059240B">
        <w:rPr>
          <w:rFonts w:ascii="Times New Roman" w:eastAsia="Times New Roman" w:hAnsi="Times New Roman"/>
        </w:rPr>
        <w:t xml:space="preserve"> located in </w:t>
      </w:r>
      <w:r w:rsidR="00434A2D" w:rsidRPr="0059240B">
        <w:rPr>
          <w:rFonts w:ascii="Times New Roman" w:eastAsia="Times New Roman" w:hAnsi="Times New Roman"/>
        </w:rPr>
        <w:t xml:space="preserve">Table </w:t>
      </w:r>
      <w:r w:rsidR="003129FE" w:rsidRPr="0059240B">
        <w:rPr>
          <w:rFonts w:ascii="Times New Roman" w:eastAsia="Times New Roman" w:hAnsi="Times New Roman"/>
        </w:rPr>
        <w:t>7.</w:t>
      </w:r>
      <w:r w:rsidR="00AD6FC0" w:rsidRPr="0059240B">
        <w:rPr>
          <w:rFonts w:ascii="Times New Roman" w:eastAsia="Times New Roman" w:hAnsi="Times New Roman"/>
        </w:rPr>
        <w:t>6</w:t>
      </w:r>
      <w:r w:rsidR="00434A2D" w:rsidRPr="0059240B">
        <w:rPr>
          <w:rFonts w:ascii="Times New Roman" w:eastAsia="Times New Roman" w:hAnsi="Times New Roman"/>
        </w:rPr>
        <w:t xml:space="preserve"> below</w:t>
      </w:r>
      <w:r w:rsidR="003129FE" w:rsidRPr="0059240B">
        <w:rPr>
          <w:rFonts w:ascii="Times New Roman" w:eastAsia="Times New Roman" w:hAnsi="Times New Roman"/>
        </w:rPr>
        <w:t>.</w:t>
      </w:r>
    </w:p>
    <w:p w14:paraId="6FBB3707" w14:textId="109EFB6E" w:rsidR="003129FE" w:rsidRPr="0059240B" w:rsidRDefault="003129FE" w:rsidP="0021502F">
      <w:pPr>
        <w:keepNext/>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7.</w:t>
      </w:r>
      <w:r w:rsidRPr="0059240B">
        <w:rPr>
          <w:rFonts w:ascii="Times New Roman" w:eastAsia="Times New Roman" w:hAnsi="Times New Roman"/>
        </w:rPr>
        <w:tab/>
        <w:t xml:space="preserve">Adjustments to </w:t>
      </w:r>
      <w:r w:rsidRPr="0059240B">
        <w:rPr>
          <w:rFonts w:ascii="Times New Roman" w:eastAsia="Times New Roman" w:hAnsi="Times New Roman"/>
          <w:i/>
        </w:rPr>
        <w:t xml:space="preserve">GC </w:t>
      </w:r>
      <w:r w:rsidRPr="0059240B">
        <w:rPr>
          <w:rFonts w:ascii="Times New Roman" w:eastAsia="Times New Roman" w:hAnsi="Times New Roman"/>
        </w:rPr>
        <w:t>for Product Variations and Risk Mitigation/Transfer</w:t>
      </w:r>
    </w:p>
    <w:p w14:paraId="7C3AEC51" w14:textId="77777777" w:rsidR="003129FE" w:rsidRPr="0059240B" w:rsidRDefault="003129FE" w:rsidP="0021502F">
      <w:pPr>
        <w:keepNext/>
        <w:spacing w:after="220" w:line="240" w:lineRule="auto"/>
        <w:ind w:left="1440"/>
        <w:jc w:val="both"/>
        <w:rPr>
          <w:rFonts w:ascii="Times New Roman" w:eastAsia="Times New Roman" w:hAnsi="Times New Roman"/>
        </w:rPr>
      </w:pPr>
      <w:r w:rsidRPr="0059240B">
        <w:rPr>
          <w:rFonts w:ascii="Times New Roman" w:eastAsia="Times New Roman" w:hAnsi="Times New Roman"/>
        </w:rPr>
        <w:t>In some cases, it may be necessary to make adjustments to the published factors due to:</w:t>
      </w:r>
    </w:p>
    <w:p w14:paraId="7B88EB77" w14:textId="7AB80C81"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A variation in product form wherein the definition of the guaranteed benefit is materially different from those for which factors are available. (See Section 7.C.8.)</w:t>
      </w:r>
    </w:p>
    <w:p w14:paraId="4EBE20CD"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A risk mitigation or other management strategy, other than a hedging strategy, that cannot be accommodated through a straightforward and direct adjustment to the published values.</w:t>
      </w:r>
    </w:p>
    <w:p w14:paraId="6EFD39F4" w14:textId="77777777"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 xml:space="preserve">Adjustments may not be made to </w:t>
      </w:r>
      <w:r w:rsidRPr="0059240B">
        <w:rPr>
          <w:rFonts w:ascii="Times New Roman" w:eastAsia="Times New Roman" w:hAnsi="Times New Roman"/>
          <w:i/>
        </w:rPr>
        <w:t xml:space="preserve">GC </w:t>
      </w:r>
      <w:r w:rsidRPr="0059240B">
        <w:rPr>
          <w:rFonts w:ascii="Times New Roman" w:eastAsia="Times New Roman" w:hAnsi="Times New Roman"/>
        </w:rPr>
        <w:t>for hedging strategies.</w:t>
      </w:r>
    </w:p>
    <w:p w14:paraId="03A52B8C" w14:textId="77777777"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Any adjustments to the published factors must be fully documented and supported through stochastic analysis. Such analysis may require stochastic simulations, but would not ordinarily be based on full in-force projections. Instead, a representative “model office” should be sufficient. Use of these adjusted factors must be supported by a periodic review of the appropriateness of the assumptions and methods used to perform the adjustments, with changes made to the adjustments when deemed necessary by such review.</w:t>
      </w:r>
    </w:p>
    <w:p w14:paraId="72844E88" w14:textId="77777777"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 xml:space="preserve">Note that minor variations in product design do not necessarily require additional effort. In some cases, it may be reasonable to use the factors/formulas for a different product form (e.g., for a roll-up GMDB near or beyond the maximum reset age or amount, the ROP GMDB factors/formulas shall be used, possibly adjusting the guaranteed value to reflect further resets, if any). In other cases, the reserves may be based on two different guarantee definitions and the results interpolated to obtain an appropriate value for the given contract/cell. 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t>
      </w:r>
      <w:r w:rsidRPr="0059240B">
        <w:rPr>
          <w:rFonts w:ascii="Times New Roman" w:eastAsia="Times New Roman" w:hAnsi="Times New Roman"/>
          <w:i/>
        </w:rPr>
        <w:t xml:space="preserve">GC </w:t>
      </w:r>
      <w:r w:rsidRPr="0059240B">
        <w:rPr>
          <w:rFonts w:ascii="Times New Roman" w:eastAsia="Times New Roman" w:hAnsi="Times New Roman"/>
        </w:rPr>
        <w:t>results).</w:t>
      </w:r>
    </w:p>
    <w:p w14:paraId="58C5ABD8" w14:textId="01C4A502"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However, if the contract design is sufficiently different from those provided and/or the risk mitigation strategy is nonlinear in its impact on the reserve,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t>
      </w:r>
    </w:p>
    <w:p w14:paraId="325E61CD" w14:textId="77777777"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8.</w:t>
      </w:r>
      <w:r w:rsidRPr="0059240B">
        <w:rPr>
          <w:rFonts w:ascii="Times New Roman" w:eastAsia="Times New Roman" w:hAnsi="Times New Roman"/>
        </w:rPr>
        <w:tab/>
        <w:t xml:space="preserve">Adjusting </w:t>
      </w:r>
      <w:r w:rsidRPr="0059240B">
        <w:rPr>
          <w:rFonts w:ascii="Times New Roman" w:eastAsia="Times New Roman" w:hAnsi="Times New Roman"/>
          <w:i/>
        </w:rPr>
        <w:t xml:space="preserve">F </w:t>
      </w:r>
      <w:r w:rsidRPr="0059240B">
        <w:rPr>
          <w:rFonts w:ascii="Times New Roman" w:eastAsia="Times New Roman" w:hAnsi="Times New Roman"/>
        </w:rPr>
        <w:t xml:space="preserve">and </w:t>
      </w:r>
      <w:r w:rsidRPr="0059240B">
        <w:rPr>
          <w:rFonts w:ascii="Times New Roman" w:eastAsia="Times New Roman" w:hAnsi="Times New Roman"/>
          <w:i/>
        </w:rPr>
        <w:t xml:space="preserve">G </w:t>
      </w:r>
      <w:r w:rsidRPr="0059240B">
        <w:rPr>
          <w:rFonts w:ascii="Times New Roman" w:eastAsia="Times New Roman" w:hAnsi="Times New Roman"/>
        </w:rPr>
        <w:t>for Product Design Variations</w:t>
      </w:r>
    </w:p>
    <w:p w14:paraId="69DAB143"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lastRenderedPageBreak/>
        <w:t xml:space="preserve">This subsection describes the typical process for adjusting </w:t>
      </w:r>
      <w:r w:rsidRPr="0059240B">
        <w:rPr>
          <w:rFonts w:ascii="Times New Roman" w:eastAsia="Times New Roman" w:hAnsi="Times New Roman"/>
          <w:i/>
        </w:rPr>
        <w:t xml:space="preserve">F </w:t>
      </w:r>
      <w:r w:rsidRPr="0059240B">
        <w:rPr>
          <w:rFonts w:ascii="Times New Roman" w:eastAsia="Times New Roman" w:hAnsi="Times New Roman"/>
        </w:rPr>
        <w:t xml:space="preserve">and </w:t>
      </w:r>
      <w:r w:rsidRPr="0059240B">
        <w:rPr>
          <w:rFonts w:ascii="Times New Roman" w:eastAsia="Times New Roman" w:hAnsi="Times New Roman"/>
          <w:i/>
        </w:rPr>
        <w:t xml:space="preserve">G </w:t>
      </w:r>
      <w:r w:rsidRPr="0059240B">
        <w:rPr>
          <w:rFonts w:ascii="Times New Roman" w:eastAsia="Times New Roman" w:hAnsi="Times New Roman"/>
        </w:rPr>
        <w:t xml:space="preserve">factors due to a variation in product design. Note that </w:t>
      </w:r>
      <w:r w:rsidRPr="0059240B">
        <w:rPr>
          <w:rFonts w:ascii="Times New Roman" w:eastAsia="Times New Roman" w:hAnsi="Times New Roman"/>
          <w:i/>
        </w:rPr>
        <w:t xml:space="preserve">R </w:t>
      </w:r>
      <w:r w:rsidRPr="0059240B">
        <w:rPr>
          <w:rFonts w:ascii="Times New Roman" w:eastAsia="Times New Roman" w:hAnsi="Times New Roman"/>
        </w:rPr>
        <w:t>(as determined by the slope and intercept terms in the factor table) would not be adjusted.</w:t>
      </w:r>
    </w:p>
    <w:p w14:paraId="05CF5599" w14:textId="4EB35EDE"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r>
      <w:r w:rsidRPr="0059240B">
        <w:rPr>
          <w:rFonts w:ascii="Times New Roman" w:eastAsia="Times New Roman" w:hAnsi="Times New Roman"/>
          <w:spacing w:val="-2"/>
        </w:rPr>
        <w:t xml:space="preserve">Select a contract design among those described in Section 7.C.4 that is similar to the product being valued. Execute cash-flow projections using the documented assumptions (see table of </w:t>
      </w:r>
      <w:r w:rsidRPr="0059240B">
        <w:rPr>
          <w:rFonts w:ascii="Times New Roman" w:eastAsia="Times New Roman" w:hAnsi="Times New Roman"/>
          <w:i/>
          <w:spacing w:val="-2"/>
        </w:rPr>
        <w:t xml:space="preserve">Liability Modeling Assumptions &amp; Product Characteristics </w:t>
      </w:r>
      <w:r w:rsidRPr="0059240B">
        <w:rPr>
          <w:rFonts w:ascii="Times New Roman" w:eastAsia="Times New Roman" w:hAnsi="Times New Roman"/>
          <w:spacing w:val="-2"/>
        </w:rPr>
        <w:t xml:space="preserve">in Section 7.E.1 and table of </w:t>
      </w:r>
      <w:r w:rsidRPr="0059240B">
        <w:rPr>
          <w:rFonts w:ascii="Times New Roman" w:eastAsia="Times New Roman" w:hAnsi="Times New Roman"/>
          <w:i/>
          <w:spacing w:val="-2"/>
        </w:rPr>
        <w:t xml:space="preserve">Asset-Based Fund Charges </w:t>
      </w:r>
      <w:r w:rsidRPr="0059240B">
        <w:rPr>
          <w:rFonts w:ascii="Times New Roman" w:eastAsia="Times New Roman" w:hAnsi="Times New Roman"/>
          <w:spacing w:val="-2"/>
        </w:rPr>
        <w:t>in Section 7.E.2) and the scenarios from the prescribed generator for a set of representative cells (combinations of attained age, contract duration, asset class, AV/GMDB ratio and asset-based charges). These cells should correspond to nodes in the table of precalculated factors. Rank (order) the sample distribution of results for the present value of net cost. Determine those scenarios that comprise CTE (65).</w:t>
      </w:r>
    </w:p>
    <w:p w14:paraId="7E138487" w14:textId="77777777" w:rsidR="003129FE" w:rsidRPr="0059240B" w:rsidRDefault="003129FE" w:rsidP="0021502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Present value of net cost = PV [guaranteed benefit claims in excess of account value] – PV [margin offset]. The discounting includes cash flows in all future years (i.e., to the earlier of contract maturity and the end of the horizon).</w:t>
      </w:r>
    </w:p>
    <w:p w14:paraId="4DD026DA" w14:textId="77777777" w:rsidR="003129FE" w:rsidRPr="0059240B" w:rsidRDefault="003129FE" w:rsidP="0021502F">
      <w:pPr>
        <w:spacing w:after="220" w:line="240" w:lineRule="auto"/>
        <w:ind w:left="2160" w:hanging="720"/>
        <w:jc w:val="both"/>
        <w:rPr>
          <w:rFonts w:ascii="Times New Roman" w:eastAsia="Times New Roman" w:hAnsi="Times New Roman"/>
          <w:i/>
          <w:position w:val="-1"/>
        </w:rPr>
      </w:pPr>
      <w:r w:rsidRPr="0059240B">
        <w:rPr>
          <w:rFonts w:ascii="Times New Roman" w:eastAsia="Times New Roman" w:hAnsi="Times New Roman"/>
          <w:position w:val="-1"/>
        </w:rPr>
        <w:t>b.</w:t>
      </w:r>
      <w:r w:rsidRPr="0059240B">
        <w:rPr>
          <w:rFonts w:ascii="Times New Roman" w:eastAsia="Times New Roman" w:hAnsi="Times New Roman"/>
          <w:position w:val="-1"/>
        </w:rPr>
        <w:tab/>
        <w:t xml:space="preserve">Using the results from step 1, average the present value of cost for the CTE (65) scenarios and divide by the current guaranteed value. For the </w:t>
      </w:r>
      <w:r w:rsidRPr="0059240B">
        <w:rPr>
          <w:rFonts w:ascii="Times New Roman" w:eastAsia="Times New Roman" w:hAnsi="Times New Roman"/>
          <w:i/>
          <w:position w:val="-1"/>
        </w:rPr>
        <w:t>J</w:t>
      </w:r>
      <w:r w:rsidRPr="0059240B">
        <w:rPr>
          <w:rFonts w:ascii="Times New Roman" w:eastAsia="Times New Roman" w:hAnsi="Times New Roman"/>
          <w:i/>
          <w:position w:val="-1"/>
          <w:vertAlign w:val="superscript"/>
        </w:rPr>
        <w:t>th</w:t>
      </w:r>
      <w:r w:rsidRPr="0059240B">
        <w:rPr>
          <w:rFonts w:ascii="Times New Roman" w:eastAsia="Times New Roman" w:hAnsi="Times New Roman"/>
          <w:i/>
          <w:position w:val="-1"/>
        </w:rPr>
        <w:t xml:space="preserve"> </w:t>
      </w:r>
      <w:r w:rsidRPr="0059240B">
        <w:rPr>
          <w:rFonts w:ascii="Times New Roman" w:eastAsia="Times New Roman" w:hAnsi="Times New Roman"/>
          <w:position w:val="-1"/>
        </w:rPr>
        <w:t xml:space="preserve">cell, denote this value by </w:t>
      </w:r>
      <w:r w:rsidRPr="0059240B">
        <w:rPr>
          <w:rFonts w:ascii="Times New Roman" w:eastAsia="Times New Roman" w:hAnsi="Times New Roman"/>
          <w:i/>
          <w:position w:val="-1"/>
        </w:rPr>
        <w:t>F</w:t>
      </w:r>
      <w:r w:rsidRPr="0059240B">
        <w:rPr>
          <w:rFonts w:ascii="Times New Roman" w:eastAsia="Times New Roman" w:hAnsi="Times New Roman"/>
          <w:i/>
          <w:position w:val="-1"/>
          <w:vertAlign w:val="subscript"/>
        </w:rPr>
        <w:t>J</w:t>
      </w:r>
      <w:r w:rsidRPr="0059240B">
        <w:rPr>
          <w:rFonts w:ascii="Times New Roman" w:hAnsi="Times New Roman"/>
          <w:i/>
          <w:position w:val="-1"/>
        </w:rPr>
        <w:t xml:space="preserve">. </w:t>
      </w:r>
      <w:r w:rsidRPr="0059240B">
        <w:rPr>
          <w:rFonts w:ascii="Times New Roman" w:eastAsia="Times New Roman" w:hAnsi="Times New Roman"/>
          <w:position w:val="-1"/>
        </w:rPr>
        <w:t xml:space="preserve">Similarly, average the present value of the margin offset revenue for the same subset of scenarios and divide by account value. For the </w:t>
      </w:r>
      <w:r w:rsidRPr="0059240B">
        <w:rPr>
          <w:rFonts w:ascii="Times New Roman" w:eastAsia="Times New Roman" w:hAnsi="Times New Roman"/>
          <w:i/>
          <w:position w:val="-1"/>
        </w:rPr>
        <w:t>J</w:t>
      </w:r>
      <w:r w:rsidRPr="0059240B">
        <w:rPr>
          <w:rFonts w:ascii="Times New Roman" w:eastAsia="Times New Roman" w:hAnsi="Times New Roman"/>
          <w:i/>
          <w:position w:val="-1"/>
          <w:vertAlign w:val="superscript"/>
        </w:rPr>
        <w:t>th</w:t>
      </w:r>
      <w:r w:rsidRPr="0059240B">
        <w:rPr>
          <w:rFonts w:ascii="Times New Roman" w:eastAsia="Times New Roman" w:hAnsi="Times New Roman"/>
          <w:i/>
          <w:position w:val="-1"/>
        </w:rPr>
        <w:t xml:space="preserve"> </w:t>
      </w:r>
      <w:r w:rsidRPr="0059240B">
        <w:rPr>
          <w:rFonts w:ascii="Times New Roman" w:eastAsia="Times New Roman" w:hAnsi="Times New Roman"/>
          <w:position w:val="-1"/>
        </w:rPr>
        <w:t xml:space="preserve">cell, denote this value by </w:t>
      </w:r>
      <w:r w:rsidRPr="0059240B">
        <w:rPr>
          <w:rFonts w:ascii="Times New Roman" w:eastAsia="Times New Roman" w:hAnsi="Times New Roman"/>
          <w:i/>
          <w:position w:val="-1"/>
        </w:rPr>
        <w:t>G</w:t>
      </w:r>
      <w:r w:rsidRPr="0059240B">
        <w:rPr>
          <w:rFonts w:ascii="Times New Roman" w:eastAsia="Times New Roman" w:hAnsi="Times New Roman"/>
          <w:i/>
          <w:position w:val="-1"/>
          <w:vertAlign w:val="subscript"/>
        </w:rPr>
        <w:t>J</w:t>
      </w:r>
      <w:r w:rsidRPr="0059240B">
        <w:rPr>
          <w:rFonts w:ascii="Times New Roman" w:eastAsia="Times New Roman" w:hAnsi="Times New Roman"/>
          <w:i/>
          <w:position w:val="-1"/>
        </w:rPr>
        <w:t>.</w:t>
      </w:r>
    </w:p>
    <w:p w14:paraId="456F641E" w14:textId="524B4E4D" w:rsidR="003129FE" w:rsidRPr="0059240B" w:rsidRDefault="003129FE" w:rsidP="0021502F">
      <w:pPr>
        <w:spacing w:after="220" w:line="240" w:lineRule="auto"/>
        <w:ind w:left="2160" w:hanging="720"/>
        <w:jc w:val="both"/>
        <w:rPr>
          <w:rFonts w:ascii="Times New Roman" w:eastAsia="Times New Roman" w:hAnsi="Times New Roman"/>
          <w:position w:val="-1"/>
        </w:rPr>
      </w:pPr>
      <w:r w:rsidRPr="0059240B">
        <w:rPr>
          <w:rFonts w:ascii="Times New Roman" w:eastAsia="Times New Roman" w:hAnsi="Times New Roman"/>
          <w:position w:val="-1"/>
        </w:rPr>
        <w:t>c.</w:t>
      </w:r>
      <w:r w:rsidRPr="0059240B">
        <w:rPr>
          <w:rFonts w:ascii="Times New Roman" w:eastAsia="Times New Roman" w:hAnsi="Times New Roman"/>
          <w:position w:val="-1"/>
        </w:rPr>
        <w:tab/>
      </w:r>
      <w:r w:rsidRPr="0059240B">
        <w:rPr>
          <w:rFonts w:ascii="Times New Roman" w:eastAsia="Times New Roman" w:hAnsi="Times New Roman"/>
          <w:spacing w:val="-4"/>
          <w:position w:val="-1"/>
        </w:rPr>
        <w:t>Extract the corresponding precalculated factors. For each cell, calibrate to the published tables by defining a “model adjustment factor” (denoted by asterisk) separately for the “cost” and “margin offset” components:</w:t>
      </w:r>
    </w:p>
    <w:p w14:paraId="5D60B474" w14:textId="77777777" w:rsidR="003129FE" w:rsidRPr="0059240B" w:rsidRDefault="00B76878" w:rsidP="0021502F">
      <w:pPr>
        <w:spacing w:after="220" w:line="240" w:lineRule="auto"/>
        <w:ind w:left="2160"/>
        <w:jc w:val="both"/>
        <w:rPr>
          <w:rFonts w:ascii="Times New Roman" w:hAnsi="Times New Roman"/>
          <w:position w:val="-27"/>
          <w:sz w:val="20"/>
          <w:szCs w:val="20"/>
        </w:rPr>
      </w:pPr>
      <m:oMath>
        <m:sSubSup>
          <m:sSubSupPr>
            <m:ctrlPr>
              <w:rPr>
                <w:rFonts w:ascii="Cambria Math" w:eastAsia="Times New Roman" w:hAnsi="Cambria Math"/>
                <w:i/>
                <w:position w:val="-1"/>
                <w:sz w:val="24"/>
                <w:szCs w:val="28"/>
              </w:rPr>
            </m:ctrlPr>
          </m:sSubSupPr>
          <m:e>
            <m:r>
              <w:rPr>
                <w:rFonts w:ascii="Cambria Math" w:eastAsia="Times New Roman" w:hAnsi="Cambria Math"/>
                <w:position w:val="-1"/>
                <w:sz w:val="24"/>
                <w:szCs w:val="28"/>
              </w:rPr>
              <m:t>F</m:t>
            </m:r>
          </m:e>
          <m:sub>
            <m:r>
              <w:rPr>
                <w:rFonts w:ascii="Cambria Math" w:eastAsia="Times New Roman" w:hAnsi="Cambria Math"/>
                <w:position w:val="-1"/>
                <w:sz w:val="24"/>
                <w:szCs w:val="28"/>
              </w:rPr>
              <m:t>J</m:t>
            </m:r>
          </m:sub>
          <m:sup>
            <m:r>
              <w:rPr>
                <w:rFonts w:ascii="Cambria Math" w:eastAsia="Times New Roman" w:hAnsi="Cambria Math"/>
                <w:position w:val="-1"/>
                <w:sz w:val="24"/>
                <w:szCs w:val="28"/>
              </w:rPr>
              <m:t>*</m:t>
            </m:r>
          </m:sup>
        </m:sSubSup>
        <m:r>
          <w:rPr>
            <w:rFonts w:ascii="Cambria Math" w:eastAsia="Times New Roman" w:hAnsi="Cambria Math"/>
            <w:position w:val="-1"/>
            <w:sz w:val="24"/>
            <w:szCs w:val="28"/>
          </w:rPr>
          <m:t>=</m:t>
        </m:r>
        <m:f>
          <m:fPr>
            <m:ctrlPr>
              <w:rPr>
                <w:rFonts w:ascii="Cambria Math" w:eastAsia="Times New Roman" w:hAnsi="Cambria Math"/>
                <w:i/>
                <w:position w:val="-1"/>
                <w:sz w:val="24"/>
                <w:szCs w:val="28"/>
              </w:rPr>
            </m:ctrlPr>
          </m:fPr>
          <m:num>
            <m:r>
              <w:rPr>
                <w:rFonts w:ascii="Cambria Math" w:eastAsia="Times New Roman" w:hAnsi="Cambria Math"/>
                <w:position w:val="-1"/>
                <w:sz w:val="24"/>
                <w:szCs w:val="28"/>
              </w:rPr>
              <m:t>f(</m:t>
            </m:r>
            <m:acc>
              <m:accPr>
                <m:chr m:val="̃"/>
                <m:ctrlPr>
                  <w:rPr>
                    <w:rFonts w:ascii="Cambria Math" w:eastAsia="Times New Roman" w:hAnsi="Cambria Math"/>
                    <w:i/>
                    <w:position w:val="-1"/>
                    <w:sz w:val="24"/>
                    <w:szCs w:val="28"/>
                  </w:rPr>
                </m:ctrlPr>
              </m:accPr>
              <m:e>
                <m:r>
                  <w:rPr>
                    <w:rFonts w:ascii="Cambria Math" w:eastAsia="Times New Roman" w:hAnsi="Cambria Math"/>
                    <w:position w:val="-1"/>
                    <w:sz w:val="24"/>
                    <w:szCs w:val="28"/>
                  </w:rPr>
                  <m:t>θ</m:t>
                </m:r>
              </m:e>
            </m:acc>
            <m:r>
              <w:rPr>
                <w:rFonts w:ascii="Cambria Math" w:eastAsia="Times New Roman" w:hAnsi="Cambria Math"/>
                <w:position w:val="-1"/>
                <w:sz w:val="24"/>
                <w:szCs w:val="28"/>
              </w:rPr>
              <m:t>)</m:t>
            </m:r>
          </m:num>
          <m:den>
            <m:sSub>
              <m:sSubPr>
                <m:ctrlPr>
                  <w:rPr>
                    <w:rFonts w:ascii="Cambria Math" w:eastAsia="Times New Roman" w:hAnsi="Cambria Math"/>
                    <w:i/>
                    <w:position w:val="-1"/>
                    <w:sz w:val="24"/>
                    <w:szCs w:val="28"/>
                  </w:rPr>
                </m:ctrlPr>
              </m:sSubPr>
              <m:e>
                <m:r>
                  <w:rPr>
                    <w:rFonts w:ascii="Cambria Math" w:eastAsia="Times New Roman" w:hAnsi="Cambria Math"/>
                    <w:position w:val="-1"/>
                    <w:sz w:val="24"/>
                    <w:szCs w:val="28"/>
                  </w:rPr>
                  <m:t>F</m:t>
                </m:r>
              </m:e>
              <m:sub>
                <m:r>
                  <w:rPr>
                    <w:rFonts w:ascii="Cambria Math" w:eastAsia="Times New Roman" w:hAnsi="Cambria Math"/>
                    <w:position w:val="-1"/>
                    <w:sz w:val="24"/>
                    <w:szCs w:val="28"/>
                  </w:rPr>
                  <m:t>J</m:t>
                </m:r>
              </m:sub>
            </m:sSub>
          </m:den>
        </m:f>
      </m:oMath>
      <w:r w:rsidR="003129FE" w:rsidRPr="0059240B">
        <w:rPr>
          <w:rFonts w:ascii="Times New Roman" w:eastAsia="Times New Roman" w:hAnsi="Times New Roman"/>
          <w:position w:val="-1"/>
          <w:sz w:val="20"/>
          <w:szCs w:val="20"/>
        </w:rPr>
        <w:t xml:space="preserve">  and </w:t>
      </w:r>
      <m:oMath>
        <m:sSubSup>
          <m:sSubSupPr>
            <m:ctrlPr>
              <w:rPr>
                <w:rFonts w:ascii="Cambria Math" w:hAnsi="Cambria Math"/>
                <w:i/>
                <w:sz w:val="24"/>
              </w:rPr>
            </m:ctrlPr>
          </m:sSubSupPr>
          <m:e>
            <m:r>
              <w:rPr>
                <w:rFonts w:ascii="Cambria Math" w:hAnsi="Cambria Math"/>
                <w:sz w:val="24"/>
              </w:rPr>
              <m:t xml:space="preserve"> G</m:t>
            </m:r>
          </m:e>
          <m:sub>
            <m:r>
              <w:rPr>
                <w:rFonts w:ascii="Cambria Math" w:hAnsi="Cambria Math"/>
                <w:sz w:val="24"/>
              </w:rPr>
              <m:t>J</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acc>
              <m:accPr>
                <m:ctrlPr>
                  <w:rPr>
                    <w:rFonts w:ascii="Cambria Math" w:hAnsi="Cambria Math"/>
                    <w:i/>
                    <w:sz w:val="24"/>
                  </w:rPr>
                </m:ctrlPr>
              </m:accPr>
              <m:e>
                <m:r>
                  <w:rPr>
                    <w:rFonts w:ascii="Cambria Math" w:hAnsi="Cambria Math"/>
                    <w:sz w:val="24"/>
                  </w:rPr>
                  <m:t>g</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num>
          <m:den>
            <m:sSub>
              <m:sSubPr>
                <m:ctrlPr>
                  <w:rPr>
                    <w:rFonts w:ascii="Cambria Math" w:hAnsi="Cambria Math"/>
                    <w:i/>
                    <w:sz w:val="24"/>
                  </w:rPr>
                </m:ctrlPr>
              </m:sSubPr>
              <m:e>
                <m:r>
                  <w:rPr>
                    <w:rFonts w:ascii="Cambria Math" w:hAnsi="Cambria Math"/>
                    <w:sz w:val="24"/>
                  </w:rPr>
                  <m:t>G</m:t>
                </m:r>
              </m:e>
              <m:sub>
                <m:r>
                  <w:rPr>
                    <w:rFonts w:ascii="Cambria Math" w:hAnsi="Cambria Math"/>
                    <w:sz w:val="24"/>
                  </w:rPr>
                  <m:t>J</m:t>
                </m:r>
              </m:sub>
            </m:sSub>
          </m:den>
        </m:f>
      </m:oMath>
    </w:p>
    <w:p w14:paraId="61F7B302" w14:textId="11FBBF34" w:rsidR="003129FE" w:rsidRPr="0059240B"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 xml:space="preserve">Execute “product specific” cash-flow projections using the documented assumptions and scenarios </w:t>
      </w:r>
      <w:r w:rsidRPr="0059240B">
        <w:rPr>
          <w:rFonts w:ascii="Times New Roman" w:eastAsia="Times New Roman" w:hAnsi="Times New Roman"/>
          <w:spacing w:val="-2"/>
        </w:rPr>
        <w:t>from the prescribed generator</w:t>
      </w:r>
      <w:r w:rsidRPr="0059240B">
        <w:rPr>
          <w:rFonts w:ascii="Times New Roman" w:hAnsi="Times New Roman"/>
          <w:spacing w:val="-2"/>
        </w:rPr>
        <w:t xml:space="preserve"> </w:t>
      </w:r>
      <w:r w:rsidRPr="0059240B">
        <w:rPr>
          <w:rFonts w:ascii="Times New Roman" w:eastAsia="Times New Roman" w:hAnsi="Times New Roman"/>
        </w:rPr>
        <w:t>for the same set of representative cells. Here, the company should model the actual product design. Rank (order) the sample distribution of results for the present value of net cost. Determine those scenarios that comprise CTE (65).</w:t>
      </w:r>
    </w:p>
    <w:p w14:paraId="769B5101" w14:textId="5BF14067" w:rsidR="003129FE" w:rsidRPr="0059240B" w:rsidRDefault="003129FE" w:rsidP="00063E8C">
      <w:pPr>
        <w:pStyle w:val="ListParagraph"/>
        <w:numPr>
          <w:ilvl w:val="1"/>
          <w:numId w:val="17"/>
        </w:numPr>
        <w:spacing w:after="220" w:line="240" w:lineRule="auto"/>
        <w:ind w:left="2160" w:hanging="720"/>
        <w:contextualSpacing w:val="0"/>
        <w:rPr>
          <w:rFonts w:ascii="Times New Roman" w:eastAsia="Times New Roman" w:hAnsi="Times New Roman"/>
        </w:rPr>
      </w:pPr>
      <w:r w:rsidRPr="0059240B">
        <w:rPr>
          <w:rFonts w:ascii="Times New Roman" w:eastAsia="Times New Roman" w:hAnsi="Times New Roman"/>
        </w:rPr>
        <w:t xml:space="preserve">Using the results from step d, average the present value of cost for the CTE (65) scenarios and divide by the current guaranteed value. For the </w:t>
      </w:r>
      <w:r w:rsidRPr="0059240B">
        <w:rPr>
          <w:rFonts w:ascii="Times New Roman" w:eastAsia="Times New Roman" w:hAnsi="Times New Roman"/>
          <w:i/>
        </w:rPr>
        <w:t>J</w:t>
      </w:r>
      <w:r w:rsidRPr="0059240B">
        <w:rPr>
          <w:rFonts w:ascii="Times New Roman" w:eastAsia="Times New Roman" w:hAnsi="Times New Roman"/>
          <w:i/>
          <w:vertAlign w:val="superscript"/>
        </w:rPr>
        <w:t xml:space="preserve">th </w:t>
      </w:r>
      <w:r w:rsidRPr="0059240B">
        <w:rPr>
          <w:rFonts w:ascii="Times New Roman" w:eastAsia="Times New Roman" w:hAnsi="Times New Roman"/>
        </w:rPr>
        <w:t xml:space="preserve">cell, denote this value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J</m:t>
            </m:r>
          </m:sub>
        </m:sSub>
      </m:oMath>
      <w:r w:rsidRPr="0059240B">
        <w:rPr>
          <w:rFonts w:ascii="Times New Roman" w:eastAsia="Times New Roman" w:hAnsi="Times New Roman"/>
        </w:rPr>
        <w:t xml:space="preserve">. Similarly, average the present value of margin offset revenue for the same subset of scenarios and divide by account value. For the </w:t>
      </w:r>
      <w:r w:rsidRPr="0059240B">
        <w:rPr>
          <w:rFonts w:ascii="Times New Roman" w:eastAsia="Times New Roman" w:hAnsi="Times New Roman"/>
          <w:i/>
        </w:rPr>
        <w:t>J</w:t>
      </w:r>
      <w:r w:rsidRPr="0059240B">
        <w:rPr>
          <w:rFonts w:ascii="Times New Roman" w:eastAsia="Times New Roman" w:hAnsi="Times New Roman"/>
          <w:i/>
          <w:vertAlign w:val="superscript"/>
        </w:rPr>
        <w:t>th</w:t>
      </w:r>
      <w:r w:rsidRPr="0059240B">
        <w:rPr>
          <w:rFonts w:ascii="Times New Roman" w:eastAsia="Times New Roman" w:hAnsi="Times New Roman"/>
        </w:rPr>
        <w:t xml:space="preserve"> cell, denote this value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J</m:t>
            </m:r>
          </m:sub>
        </m:sSub>
        <m:r>
          <w:rPr>
            <w:rFonts w:ascii="Cambria Math" w:hAnsi="Cambria Math"/>
          </w:rPr>
          <m:t>.</m:t>
        </m:r>
      </m:oMath>
    </w:p>
    <w:p w14:paraId="3F7F882D" w14:textId="35EB42C1" w:rsidR="003129FE" w:rsidRPr="0059240B"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 xml:space="preserve">To calculate the reserve for the specific product in question, the company should implement the Alternative Methodology as documented, but use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J</m:t>
            </m:r>
          </m:sub>
          <m:sup>
            <m:r>
              <w:rPr>
                <w:rFonts w:ascii="Cambria Math" w:hAnsi="Cambria Math"/>
              </w:rPr>
              <m:t>*</m:t>
            </m:r>
          </m:sup>
        </m:sSubSup>
      </m:oMath>
      <w:r w:rsidRPr="0059240B">
        <w:rPr>
          <w:rFonts w:ascii="Times New Roman" w:eastAsia="Times New Roman" w:hAnsi="Times New Roman"/>
        </w:rPr>
        <w:t xml:space="preserve"> in place of </w:t>
      </w:r>
      <w:r w:rsidRPr="0059240B">
        <w:rPr>
          <w:rFonts w:ascii="Times New Roman" w:eastAsia="Times New Roman" w:hAnsi="Times New Roman"/>
          <w:i/>
        </w:rPr>
        <w:t>F</w:t>
      </w:r>
      <w:r w:rsidRPr="0059240B">
        <w:rPr>
          <w:rFonts w:ascii="Times New Roman" w:eastAsia="Times New Roman" w:hAnsi="Times New Roman"/>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J</m:t>
            </m:r>
          </m:sub>
          <m:sup>
            <m:r>
              <w:rPr>
                <w:rFonts w:ascii="Cambria Math" w:hAnsi="Cambria Math"/>
              </w:rPr>
              <m:t>*</m:t>
            </m:r>
          </m:sup>
        </m:sSubSup>
      </m:oMath>
      <w:r w:rsidRPr="0059240B">
        <w:rPr>
          <w:rFonts w:eastAsiaTheme="minorEastAsia"/>
        </w:rPr>
        <w:t xml:space="preserve"> </w:t>
      </w:r>
      <w:r w:rsidRPr="0059240B">
        <w:rPr>
          <w:rFonts w:ascii="Times New Roman" w:eastAsia="Times New Roman" w:hAnsi="Times New Roman"/>
        </w:rPr>
        <w:t xml:space="preserve"> instead of </w:t>
      </w:r>
      <w:r w:rsidRPr="0059240B">
        <w:rPr>
          <w:rFonts w:ascii="Times New Roman" w:eastAsia="Times New Roman" w:hAnsi="Times New Roman"/>
          <w:i/>
        </w:rPr>
        <w:t>G</w:t>
      </w:r>
      <w:r w:rsidRPr="0059240B">
        <w:rPr>
          <w:rFonts w:ascii="Times New Roman" w:eastAsia="Times New Roman" w:hAnsi="Times New Roman"/>
        </w:rPr>
        <w:t xml:space="preserve">. The same </w:t>
      </w:r>
      <w:r w:rsidRPr="0059240B">
        <w:rPr>
          <w:rFonts w:ascii="Times New Roman" w:eastAsia="Times New Roman" w:hAnsi="Times New Roman"/>
          <w:i/>
        </w:rPr>
        <w:t>R</w:t>
      </w:r>
      <w:r w:rsidRPr="0059240B">
        <w:rPr>
          <w:rFonts w:ascii="Times New Roman" w:eastAsia="Times New Roman" w:hAnsi="Times New Roman"/>
        </w:rPr>
        <w:t xml:space="preserve"> factors as appropriate for the product evaluated in step 1 shall be used for this step (i.e., the product used to calibrate the cash-flow model).</w:t>
      </w:r>
    </w:p>
    <w:p w14:paraId="1A980715" w14:textId="77777777"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9.</w:t>
      </w:r>
      <w:r w:rsidRPr="0059240B">
        <w:rPr>
          <w:rFonts w:ascii="Times New Roman" w:eastAsia="Times New Roman" w:hAnsi="Times New Roman"/>
        </w:rPr>
        <w:tab/>
        <w:t xml:space="preserve">Adjusting </w:t>
      </w:r>
      <w:r w:rsidRPr="0059240B">
        <w:rPr>
          <w:rFonts w:ascii="Times New Roman" w:eastAsia="Times New Roman" w:hAnsi="Times New Roman"/>
          <w:i/>
        </w:rPr>
        <w:t xml:space="preserve">GC </w:t>
      </w:r>
      <w:r w:rsidRPr="0059240B">
        <w:rPr>
          <w:rFonts w:ascii="Times New Roman" w:eastAsia="Times New Roman" w:hAnsi="Times New Roman"/>
        </w:rPr>
        <w:t>for Mortality Experience</w:t>
      </w:r>
    </w:p>
    <w:p w14:paraId="55547736" w14:textId="77D4BD8B"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 xml:space="preserve">The factors that have been developed for use in determining </w:t>
      </w:r>
      <w:r w:rsidRPr="0059240B">
        <w:rPr>
          <w:rFonts w:ascii="Times New Roman" w:eastAsia="Times New Roman" w:hAnsi="Times New Roman"/>
          <w:i/>
        </w:rPr>
        <w:t xml:space="preserve">GC </w:t>
      </w:r>
      <w:r w:rsidRPr="0059240B">
        <w:rPr>
          <w:rFonts w:ascii="Times New Roman" w:eastAsia="Times New Roman" w:hAnsi="Times New Roman"/>
        </w:rPr>
        <w:t>assume male mortality at 100% of the 1994 Variable Annuity MGDB ALB Mortality Table. Companies electing to use the Alternative Methodology that have not conducted an evaluation of their mortality experience shall use these factors. Other companies should use the procedure described below to adjust for the actuary’s prudent estimate of mortality. The development of prudent estimate mortality shall follow the requirements and guidance of Section 1</w:t>
      </w:r>
      <w:r w:rsidR="0049014F" w:rsidRPr="0059240B">
        <w:rPr>
          <w:rFonts w:ascii="Times New Roman" w:eastAsia="Times New Roman" w:hAnsi="Times New Roman"/>
        </w:rPr>
        <w:t>1</w:t>
      </w:r>
      <w:r w:rsidRPr="0059240B">
        <w:rPr>
          <w:rFonts w:ascii="Times New Roman" w:eastAsia="Times New Roman" w:hAnsi="Times New Roman"/>
        </w:rPr>
        <w:t xml:space="preserve">. Once a company uses the modified method for a block of business, the option to use the unadjusted factors is no longer available for that part of its </w:t>
      </w:r>
      <w:r w:rsidRPr="0059240B">
        <w:rPr>
          <w:rFonts w:ascii="Times New Roman" w:eastAsia="Times New Roman" w:hAnsi="Times New Roman"/>
        </w:rPr>
        <w:lastRenderedPageBreak/>
        <w:t>business. In applying the factors to actual in-force business, a five-year age setback should be used for female annuitants.</w:t>
      </w:r>
    </w:p>
    <w:p w14:paraId="246E3081" w14:textId="791F4981"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Develop a set of mortality assumptions based on prudent estimate. In setting these assumptions, the actuary shall be guided by the definition of prudent estimate and the principles discussed in Sections 10 and 11.</w:t>
      </w:r>
    </w:p>
    <w:p w14:paraId="32478F31" w14:textId="4053D9D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Calculate two sets of NSPs at each attained age: one valued using 100% of the 1994 Variable Annuity MGDB Age Last Birthday (ALB) Mortality Table (with the aforementioned five-year age setback for females) and the other using prudent estimate mortality. These calculations shall assume an interest rate of 3.75% and a lapse rate of 7% per year.</w:t>
      </w:r>
    </w:p>
    <w:p w14:paraId="7E4D2BD4"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 xml:space="preserve">The </w:t>
      </w:r>
      <w:r w:rsidRPr="0059240B">
        <w:rPr>
          <w:rFonts w:ascii="Times New Roman" w:eastAsia="Times New Roman" w:hAnsi="Times New Roman"/>
          <w:i/>
        </w:rPr>
        <w:t xml:space="preserve">GC </w:t>
      </w:r>
      <w:r w:rsidRPr="0059240B">
        <w:rPr>
          <w:rFonts w:ascii="Times New Roman" w:eastAsia="Times New Roman" w:hAnsi="Times New Roman"/>
        </w:rPr>
        <w:t>factor is multiplied by the ratio, for the specific attained age being valued, of the NSP calculated using the prudent estimate mortality to the NSP calculated using the 1994 Variable Annuity MGDB ALB Mortality Table (with the aforementioned five-year age setback for females).</w:t>
      </w:r>
    </w:p>
    <w:p w14:paraId="71976CD5" w14:textId="77777777" w:rsidR="003129FE" w:rsidRPr="0059240B" w:rsidRDefault="003129FE" w:rsidP="0021502F">
      <w:pPr>
        <w:keepNext/>
        <w:spacing w:after="220" w:line="240" w:lineRule="auto"/>
        <w:ind w:left="72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Fund Categorization</w:t>
      </w:r>
    </w:p>
    <w:p w14:paraId="59371B4B" w14:textId="77777777" w:rsidR="003129FE" w:rsidRPr="0059240B" w:rsidRDefault="003129FE" w:rsidP="0021502F">
      <w:pPr>
        <w:keepNext/>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Criteria</w:t>
      </w:r>
    </w:p>
    <w:p w14:paraId="321EE616"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The following criteria should be used to select the appropriate factors, parameters and formulas for the exposure represented by a specified guaranteed benefit. When available, the volatility of the long-term annualized total return for the fund(s)—or an appropriate benchmark—should conform to the limits presented. For this purpose, “long-term” is defined as twice the average projection period that would be applied to test the product in a stochastic model (generally, at least 30 years).</w:t>
      </w:r>
    </w:p>
    <w:p w14:paraId="666DABA9"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 – ask) effects, short selling and speculative positions.</w:t>
      </w:r>
    </w:p>
    <w:p w14:paraId="185F7226" w14:textId="77777777"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Asset Classes</w:t>
      </w:r>
    </w:p>
    <w:p w14:paraId="20AAEA08" w14:textId="77777777" w:rsidR="003129FE" w:rsidRPr="0059240B" w:rsidRDefault="003129FE" w:rsidP="0021502F">
      <w:pPr>
        <w:pStyle w:val="ListParagraph"/>
        <w:spacing w:after="220" w:line="240" w:lineRule="auto"/>
        <w:ind w:left="1440"/>
        <w:contextualSpacing w:val="0"/>
        <w:jc w:val="both"/>
        <w:rPr>
          <w:rFonts w:ascii="Times New Roman" w:eastAsia="Times New Roman" w:hAnsi="Times New Roman"/>
        </w:rPr>
      </w:pPr>
      <w:r w:rsidRPr="0059240B">
        <w:rPr>
          <w:rFonts w:ascii="Times New Roman" w:eastAsia="Times New Roman" w:hAnsi="Times New Roman"/>
        </w:rPr>
        <w:t xml:space="preserve">Variable subaccounts must be categorized into one of the following eight asset classes. For purposes of calculating </w:t>
      </w:r>
      <w:r w:rsidRPr="0059240B">
        <w:rPr>
          <w:rFonts w:ascii="Times New Roman" w:eastAsia="Times New Roman" w:hAnsi="Times New Roman"/>
          <w:i/>
        </w:rPr>
        <w:t xml:space="preserve">CA </w:t>
      </w:r>
      <w:r w:rsidRPr="0059240B">
        <w:rPr>
          <w:rFonts w:ascii="Times New Roman" w:eastAsia="Times New Roman" w:hAnsi="Times New Roman"/>
        </w:rPr>
        <w:t xml:space="preserve">or </w:t>
      </w:r>
      <w:r w:rsidRPr="0059240B">
        <w:rPr>
          <w:rFonts w:ascii="Times New Roman" w:eastAsia="Times New Roman" w:hAnsi="Times New Roman"/>
          <w:i/>
        </w:rPr>
        <w:t>FE</w:t>
      </w:r>
      <w:r w:rsidRPr="0059240B">
        <w:rPr>
          <w:rFonts w:ascii="Times New Roman" w:eastAsia="Times New Roman" w:hAnsi="Times New Roman"/>
        </w:rPr>
        <w:t xml:space="preserve">, each contract will have one or more of the following asset classes represented, whereas for component </w:t>
      </w:r>
      <w:r w:rsidRPr="0059240B">
        <w:rPr>
          <w:rFonts w:ascii="Times New Roman" w:eastAsia="Times New Roman" w:hAnsi="Times New Roman"/>
          <w:i/>
        </w:rPr>
        <w:t>GC</w:t>
      </w:r>
      <w:r w:rsidRPr="0059240B">
        <w:rPr>
          <w:rFonts w:ascii="Times New Roman" w:eastAsia="Times New Roman" w:hAnsi="Times New Roman"/>
        </w:rPr>
        <w:t>, all subaccounts will be mapped into a single asset class.</w:t>
      </w:r>
    </w:p>
    <w:p w14:paraId="57E100A8"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Fixed account: This class is credited interest at guaranteed rates for a specified term or according to a “portfolio rate” or “benchmark” index. This class offers a minimum positive guaranteed rate that is periodically adjusted according to company policy and market conditions.</w:t>
      </w:r>
    </w:p>
    <w:p w14:paraId="6DE31F5F"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Money market/short-term: This class is invested in money market instruments with an average remaining term-to-maturity of less than 365 days.</w:t>
      </w:r>
    </w:p>
    <w:p w14:paraId="3D376065"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Fixed income: This class is invested primarily in investment grade fixed income securities. Up to 25% of the funds within this class may be invested in diversified equities or high-yield bonds. The expected volatility of the returns for this class will be lower than the balanced fund class.</w:t>
      </w:r>
    </w:p>
    <w:p w14:paraId="1079D74A" w14:textId="6BD8F03C"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 xml:space="preserve">Balanced: This class is a combination of fixed income securities with a larger equity component. The fixed income component should exceed 25% of the portfolio. Additionally, any aggressive or “exotic” equity component should not exceed one-third </w:t>
      </w:r>
      <w:r w:rsidRPr="0059240B">
        <w:rPr>
          <w:rFonts w:ascii="Times New Roman" w:eastAsia="Times New Roman" w:hAnsi="Times New Roman"/>
        </w:rPr>
        <w:lastRenderedPageBreak/>
        <w:t>(33.3%) of the total equities held. Should the fund violate either of these constraints, it should be categorized as an equity fund. This class usually has a long-term volatility in the range of 8%–13%.</w:t>
      </w:r>
    </w:p>
    <w:p w14:paraId="2D44E822"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Diversified equity: This class is invested in a broad-based mix of U.S. and foreign equities. The foreign equity component (maximum 25% of total holdings) must be comprised of liquid securities in well-developed markets. Funds in this class would exhibit long-term volatility comparable to that of the S&amp;P 500. These funds should usually have a long-term volatility in the range of 13%–18%.</w:t>
      </w:r>
    </w:p>
    <w:p w14:paraId="478A274F"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t>Diversified international equity: This class is similar to the diversified equity class, except that the majority of fund holdings are in foreign securities. This class should usually have a long-term volatility in the range of 14%–19%.</w:t>
      </w:r>
    </w:p>
    <w:p w14:paraId="1A12DC11"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g.</w:t>
      </w:r>
      <w:r w:rsidRPr="0059240B">
        <w:rPr>
          <w:rFonts w:ascii="Times New Roman" w:eastAsia="Times New Roman" w:hAnsi="Times New Roman"/>
        </w:rPr>
        <w:tab/>
        <w:t>Intermediate risk equity: This class has a mix of characteristics from both the diversified and aggressive equity classes. This class has a long-term volatility in the range of 19%–25%.</w:t>
      </w:r>
    </w:p>
    <w:p w14:paraId="60912DE6" w14:textId="77777777" w:rsidR="003129FE" w:rsidRPr="0059240B" w:rsidRDefault="003129FE" w:rsidP="0021502F">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h.</w:t>
      </w:r>
      <w:r w:rsidRPr="0059240B">
        <w:rPr>
          <w:rFonts w:ascii="Times New Roman" w:eastAsia="Times New Roman" w:hAnsi="Times New Roman"/>
        </w:rPr>
        <w:tab/>
        <w:t>Aggressive or exotic equity: 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3C9AB376" w14:textId="77777777"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Selecting Appropriate Investment Classes</w:t>
      </w:r>
    </w:p>
    <w:p w14:paraId="15E386B8"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contract where the “grouped holdings” fit within the categories listed and to classify the associated assets on this basis.</w:t>
      </w:r>
    </w:p>
    <w:p w14:paraId="54B3F3F2" w14:textId="77777777"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16A2601C" w14:textId="7C85138C" w:rsidR="003129FE" w:rsidRPr="0059240B" w:rsidRDefault="003129FE" w:rsidP="0021502F">
      <w:pPr>
        <w:spacing w:after="220" w:line="240" w:lineRule="auto"/>
        <w:ind w:left="1440"/>
        <w:jc w:val="both"/>
        <w:rPr>
          <w:rFonts w:ascii="Times New Roman" w:eastAsia="Times New Roman" w:hAnsi="Times New Roman"/>
        </w:rPr>
      </w:pPr>
      <w:r w:rsidRPr="0059240B">
        <w:rPr>
          <w:rFonts w:ascii="Times New Roman" w:eastAsia="Times New Roman" w:hAnsi="Times New Roman"/>
        </w:rPr>
        <w:t>In summary, mapping the benefit exposure (i.e., the asset exposure that applies to the calculation of the guaranteed minimum death benefits) to one of the prescribed asset classes is a multistep process:</w:t>
      </w:r>
    </w:p>
    <w:p w14:paraId="6E4DD9CD" w14:textId="77777777" w:rsidR="003129FE" w:rsidRPr="0059240B"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Map each separate and/or general account investment option to one of the prescribed asset classes. For some funds, this mapping will be obvious, but for others, it will involve a review of the fund’s investment policy, performance benchmarks, composition and expected long-term volatility.</w:t>
      </w:r>
    </w:p>
    <w:p w14:paraId="3BA98030" w14:textId="184BD57A" w:rsidR="003129FE" w:rsidRPr="0059240B"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Combine the mapped exposure to determine the expected long-term “volatility of current fund holdings.” This will require a calculation based on the expected long-term volatility for each fund and the correlations between the prescribed asset classes as given in the table “</w:t>
      </w:r>
      <w:r w:rsidRPr="0059240B">
        <w:rPr>
          <w:rFonts w:ascii="Times New Roman" w:eastAsia="Times New Roman" w:hAnsi="Times New Roman"/>
          <w:i/>
        </w:rPr>
        <w:t>Correlation Matrix for Prescribed Asset Classes</w:t>
      </w:r>
      <w:r w:rsidRPr="0059240B">
        <w:rPr>
          <w:rFonts w:ascii="Times New Roman" w:eastAsia="Times New Roman" w:hAnsi="Times New Roman"/>
        </w:rPr>
        <w:t>” in Section 7.D.4.</w:t>
      </w:r>
    </w:p>
    <w:p w14:paraId="70A78EDF" w14:textId="77777777" w:rsidR="003129FE" w:rsidRPr="0059240B"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lastRenderedPageBreak/>
        <w:t>Evaluate the asset composition and expected volatility (as calculated in step b) of current holdings to determine the single asset class that best represents the exposure, with due consideration to the constraints and guidelines presented earlier in this section.</w:t>
      </w:r>
    </w:p>
    <w:p w14:paraId="6720EE41" w14:textId="77777777" w:rsidR="003129FE" w:rsidRPr="0059240B"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In step a, the company should use the fund’s actual experience (i.e., historical performance, inclusive of reinvestment) only as a guide in determining the expected long-term volatility. Due to limited data and changes in investment objectives, style and/or management (e.g., fund mergers, revised investment policy, different fund managers, etc.), 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5612D85" w14:textId="0B0C3DAE" w:rsidR="003129FE" w:rsidRPr="0059240B"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 xml:space="preserve">In step b, the company should calculate the “volatility of current fund holdings” (for the exposure being </w:t>
      </w:r>
      <w:r w:rsidRPr="0059240B">
        <w:rPr>
          <w:rFonts w:ascii="Times New Roman" w:eastAsia="Times New Roman" w:hAnsi="Times New Roman"/>
          <w:position w:val="-1"/>
        </w:rPr>
        <w:t>categorized) by the following formula:</w:t>
      </w:r>
    </w:p>
    <w:p w14:paraId="2C1C3576" w14:textId="77777777" w:rsidR="003129FE" w:rsidRPr="0059240B" w:rsidRDefault="00190B3A" w:rsidP="0021502F">
      <w:pPr>
        <w:pStyle w:val="ListParagraph"/>
        <w:spacing w:after="220" w:line="240" w:lineRule="auto"/>
        <w:ind w:left="1440" w:firstLine="720"/>
        <w:contextualSpacing w:val="0"/>
        <w:jc w:val="both"/>
        <w:rPr>
          <w:rFonts w:ascii="Times New Roman" w:eastAsia="Times New Roman" w:hAnsi="Times New Roman"/>
          <w:sz w:val="20"/>
          <w:szCs w:val="20"/>
        </w:rPr>
      </w:pPr>
      <w:r w:rsidRPr="0059240B">
        <w:rPr>
          <w:rFonts w:ascii="Times New Roman" w:hAnsi="Times New Roman"/>
          <w:noProof/>
          <w:position w:val="-28"/>
          <w:sz w:val="20"/>
          <w:szCs w:val="20"/>
        </w:rPr>
        <w:object w:dxaOrig="2100" w:dyaOrig="680" w14:anchorId="395A8322">
          <v:shape id="_x0000_i1028" type="#_x0000_t75" alt="" style="width:108pt;height:36pt;mso-width-percent:0;mso-height-percent:0;mso-width-percent:0;mso-height-percent:0" o:ole="" fillcolor="window">
            <v:imagedata r:id="rId11" o:title=""/>
          </v:shape>
          <o:OLEObject Type="Embed" ProgID="Equation.3" ShapeID="_x0000_i1028" DrawAspect="Content" ObjectID="_1619594758" r:id="rId12"/>
        </w:object>
      </w:r>
    </w:p>
    <w:p w14:paraId="513BCA4E" w14:textId="5B9B8DDD"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Using the volatilities and correlations in the following table where</w:t>
      </w:r>
    </w:p>
    <w:p w14:paraId="7DCCF563" w14:textId="71FB47F8" w:rsidR="003129FE" w:rsidRPr="0059240B" w:rsidRDefault="003129FE" w:rsidP="0021502F">
      <w:pPr>
        <w:spacing w:after="220" w:line="240" w:lineRule="auto"/>
        <w:ind w:left="1080"/>
        <w:jc w:val="both"/>
        <w:rPr>
          <w:rFonts w:ascii="Times New Roman" w:eastAsia="Times New Roman" w:hAnsi="Times New Roman"/>
          <w:sz w:val="20"/>
          <w:szCs w:val="20"/>
        </w:rPr>
      </w:pPr>
      <w:r w:rsidRPr="0059240B">
        <w:rPr>
          <w:rFonts w:ascii="Times New Roman" w:eastAsia="Times New Roman" w:hAnsi="Times New Roman"/>
          <w:sz w:val="20"/>
          <w:szCs w:val="20"/>
        </w:rPr>
        <w:t xml:space="preserve"> </w:t>
      </w:r>
      <w:r w:rsidRPr="0059240B">
        <w:rPr>
          <w:rFonts w:ascii="Times New Roman" w:eastAsia="Times New Roman" w:hAnsi="Times New Roman"/>
          <w:sz w:val="20"/>
          <w:szCs w:val="20"/>
        </w:rPr>
        <w:tab/>
      </w:r>
      <w:r w:rsidRPr="0059240B">
        <w:rPr>
          <w:rFonts w:ascii="Times New Roman" w:eastAsia="Times New Roman" w:hAnsi="Times New Roman"/>
          <w:sz w:val="20"/>
          <w:szCs w:val="20"/>
        </w:rPr>
        <w:tab/>
      </w:r>
      <w:r w:rsidRPr="0059240B">
        <w:rPr>
          <w:rFonts w:ascii="Times New Roman" w:eastAsia="Times New Roman" w:hAnsi="Times New Roman"/>
          <w:sz w:val="20"/>
          <w:szCs w:val="20"/>
        </w:rPr>
        <w:tab/>
      </w:r>
      <w:r w:rsidR="00190B3A" w:rsidRPr="0059240B">
        <w:rPr>
          <w:rFonts w:ascii="Times New Roman" w:hAnsi="Times New Roman"/>
          <w:noProof/>
          <w:position w:val="-40"/>
          <w:sz w:val="20"/>
          <w:szCs w:val="20"/>
        </w:rPr>
        <w:object w:dxaOrig="1100" w:dyaOrig="740" w14:anchorId="46283E9C">
          <v:shape id="_x0000_i1030" type="#_x0000_t75" alt="" style="width:57.75pt;height:36pt;mso-width-percent:0;mso-height-percent:0;mso-width-percent:0;mso-height-percent:0" o:ole="" fillcolor="window">
            <v:imagedata r:id="rId13" o:title=""/>
          </v:shape>
          <o:OLEObject Type="Embed" ProgID="Equation.3" ShapeID="_x0000_i1030" DrawAspect="Content" ObjectID="_1619594759" r:id="rId14"/>
        </w:object>
      </w:r>
      <w:r w:rsidRPr="0059240B">
        <w:rPr>
          <w:rFonts w:ascii="Times New Roman" w:eastAsia="Times New Roman" w:hAnsi="Times New Roman"/>
          <w:sz w:val="20"/>
          <w:szCs w:val="20"/>
        </w:rPr>
        <w:t xml:space="preserve"> </w:t>
      </w:r>
    </w:p>
    <w:p w14:paraId="3AEEDC1D" w14:textId="680144D7" w:rsidR="003129FE" w:rsidRPr="0059240B" w:rsidRDefault="003129FE" w:rsidP="0021502F">
      <w:pPr>
        <w:spacing w:after="220" w:line="240" w:lineRule="auto"/>
        <w:ind w:left="2160"/>
        <w:jc w:val="both"/>
        <w:rPr>
          <w:rFonts w:ascii="Times New Roman" w:eastAsia="Times New Roman" w:hAnsi="Times New Roman"/>
        </w:rPr>
      </w:pPr>
      <w:r w:rsidRPr="0059240B">
        <w:rPr>
          <w:rFonts w:ascii="Times New Roman" w:eastAsia="Times New Roman" w:hAnsi="Times New Roman"/>
        </w:rPr>
        <w:t xml:space="preserve">is the relative value of fund i expressed as a proportion of total contract value, </w:t>
      </w:r>
      <w:r w:rsidR="00190B3A" w:rsidRPr="0059240B">
        <w:rPr>
          <w:rFonts w:ascii="Times New Roman" w:hAnsi="Times New Roman"/>
          <w:noProof/>
          <w:position w:val="-14"/>
        </w:rPr>
        <w:object w:dxaOrig="300" w:dyaOrig="340" w14:anchorId="5B9B14A9">
          <v:shape id="_x0000_i1032" type="#_x0000_t75" alt="" style="width:21.75pt;height:21.75pt;mso-width-percent:0;mso-height-percent:0;mso-width-percent:0;mso-height-percent:0" o:ole="" fillcolor="window">
            <v:imagedata r:id="rId15" o:title=""/>
          </v:shape>
          <o:OLEObject Type="Embed" ProgID="Equation.3" ShapeID="_x0000_i1032" DrawAspect="Content" ObjectID="_1619594760" r:id="rId16"/>
        </w:object>
      </w:r>
      <w:r w:rsidRPr="0059240B">
        <w:rPr>
          <w:rFonts w:ascii="Times New Roman" w:hAnsi="Times New Roman"/>
          <w:lang w:val="en-CA"/>
        </w:rPr>
        <w:t xml:space="preserve"> </w:t>
      </w:r>
      <w:r w:rsidRPr="0059240B">
        <w:rPr>
          <w:rFonts w:ascii="Times New Roman" w:eastAsia="Times New Roman" w:hAnsi="Times New Roman"/>
        </w:rPr>
        <w:t xml:space="preserve">is the correlation between asset classes i and j, and </w:t>
      </w:r>
      <w:r w:rsidR="00190B3A" w:rsidRPr="0059240B">
        <w:rPr>
          <w:rFonts w:ascii="Times New Roman" w:hAnsi="Times New Roman"/>
          <w:noProof/>
          <w:position w:val="-12"/>
        </w:rPr>
        <w:object w:dxaOrig="279" w:dyaOrig="360" w14:anchorId="55BCC75B">
          <v:shape id="_x0000_i1034" type="#_x0000_t75" alt="" style="width:14.25pt;height:21.75pt;mso-width-percent:0;mso-height-percent:0;mso-width-percent:0;mso-height-percent:0" o:ole="" fillcolor="window">
            <v:imagedata r:id="rId17" o:title=""/>
          </v:shape>
          <o:OLEObject Type="Embed" ProgID="Equation.3" ShapeID="_x0000_i1034" DrawAspect="Content" ObjectID="_1619594761" r:id="rId18"/>
        </w:object>
      </w:r>
      <w:r w:rsidRPr="0059240B">
        <w:rPr>
          <w:rFonts w:ascii="Times New Roman" w:eastAsia="Times New Roman" w:hAnsi="Times New Roman"/>
        </w:rPr>
        <w:t xml:space="preserve"> is the volatility of asset class i. An example is provided after the table.</w:t>
      </w:r>
    </w:p>
    <w:p w14:paraId="787F15D4" w14:textId="13BACDAA" w:rsidR="003129FE" w:rsidRPr="0059240B" w:rsidRDefault="003129FE">
      <w:pPr>
        <w:rPr>
          <w:rFonts w:ascii="Times New Roman" w:eastAsia="Times New Roman" w:hAnsi="Times New Roman"/>
        </w:rPr>
      </w:pPr>
    </w:p>
    <w:p w14:paraId="3E75694A" w14:textId="77777777" w:rsidR="003129FE" w:rsidRPr="0059240B" w:rsidRDefault="003129FE" w:rsidP="0021502F">
      <w:pPr>
        <w:spacing w:after="220" w:line="240" w:lineRule="auto"/>
        <w:ind w:left="2160"/>
        <w:jc w:val="both"/>
        <w:rPr>
          <w:rFonts w:ascii="Times New Roman" w:eastAsia="Times New Roman" w:hAnsi="Times New Roman"/>
        </w:rPr>
      </w:pPr>
    </w:p>
    <w:p w14:paraId="39551EB7" w14:textId="77777777" w:rsidR="003129FE" w:rsidRPr="0059240B" w:rsidRDefault="003129FE" w:rsidP="0021502F">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position w:val="-1"/>
        </w:rPr>
        <w:t>4.</w:t>
      </w:r>
      <w:r w:rsidRPr="0059240B">
        <w:rPr>
          <w:rFonts w:ascii="Times New Roman" w:eastAsia="Times New Roman" w:hAnsi="Times New Roman"/>
          <w:position w:val="-1"/>
        </w:rPr>
        <w:tab/>
        <w:t>Correlation Matrix for Prescribed Asset Classes</w:t>
      </w:r>
    </w:p>
    <w:p w14:paraId="11881C5D" w14:textId="3350EA79" w:rsidR="003129FE" w:rsidRPr="0059240B" w:rsidRDefault="00434A2D" w:rsidP="00434A2D">
      <w:pPr>
        <w:keepNext/>
        <w:spacing w:after="0" w:line="240" w:lineRule="auto"/>
        <w:ind w:left="720"/>
        <w:jc w:val="both"/>
        <w:rPr>
          <w:rFonts w:ascii="Times New Roman" w:hAnsi="Times New Roman"/>
          <w:szCs w:val="12"/>
        </w:rPr>
      </w:pPr>
      <w:r w:rsidRPr="0059240B">
        <w:rPr>
          <w:rFonts w:ascii="Times New Roman" w:hAnsi="Times New Roman"/>
          <w:szCs w:val="12"/>
        </w:rPr>
        <w:t>Table 7.2: Correlation Matrix for Prescribed Asset Classes</w:t>
      </w:r>
    </w:p>
    <w:p w14:paraId="512083C8" w14:textId="77777777" w:rsidR="00434A2D" w:rsidRPr="0059240B" w:rsidRDefault="00434A2D" w:rsidP="0021502F">
      <w:pPr>
        <w:keepNext/>
        <w:spacing w:after="0" w:line="240" w:lineRule="auto"/>
        <w:jc w:val="both"/>
        <w:rPr>
          <w:rFonts w:ascii="Times New Roman" w:hAnsi="Times New Roman"/>
          <w:sz w:val="12"/>
          <w:szCs w:val="12"/>
        </w:rPr>
      </w:pPr>
    </w:p>
    <w:tbl>
      <w:tblPr>
        <w:tblW w:w="8370" w:type="dxa"/>
        <w:tblInd w:w="365" w:type="dxa"/>
        <w:tblLayout w:type="fixed"/>
        <w:tblCellMar>
          <w:left w:w="0" w:type="dxa"/>
          <w:right w:w="0" w:type="dxa"/>
        </w:tblCellMar>
        <w:tblLook w:val="01E0" w:firstRow="1" w:lastRow="1" w:firstColumn="1" w:lastColumn="1" w:noHBand="0" w:noVBand="0"/>
      </w:tblPr>
      <w:tblGrid>
        <w:gridCol w:w="837"/>
        <w:gridCol w:w="837"/>
        <w:gridCol w:w="837"/>
        <w:gridCol w:w="837"/>
        <w:gridCol w:w="837"/>
        <w:gridCol w:w="837"/>
        <w:gridCol w:w="837"/>
        <w:gridCol w:w="837"/>
        <w:gridCol w:w="837"/>
        <w:gridCol w:w="837"/>
      </w:tblGrid>
      <w:tr w:rsidR="003129FE" w:rsidRPr="0059240B" w14:paraId="5CAA5891" w14:textId="77777777" w:rsidTr="00B508BD">
        <w:trPr>
          <w:trHeight w:hRule="exact" w:val="438"/>
        </w:trPr>
        <w:tc>
          <w:tcPr>
            <w:tcW w:w="837" w:type="dxa"/>
            <w:tcBorders>
              <w:top w:val="single" w:sz="4" w:space="0" w:color="000000"/>
              <w:left w:val="single" w:sz="4" w:space="0" w:color="000000"/>
              <w:bottom w:val="single" w:sz="8" w:space="0" w:color="000000"/>
              <w:right w:val="single" w:sz="4" w:space="0" w:color="000000"/>
            </w:tcBorders>
            <w:vAlign w:val="center"/>
          </w:tcPr>
          <w:p w14:paraId="2DB4D30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Annual Volatility</w:t>
            </w:r>
          </w:p>
        </w:tc>
        <w:tc>
          <w:tcPr>
            <w:tcW w:w="837" w:type="dxa"/>
            <w:tcBorders>
              <w:top w:val="single" w:sz="4" w:space="0" w:color="000000"/>
              <w:left w:val="single" w:sz="4" w:space="0" w:color="000000"/>
              <w:bottom w:val="single" w:sz="8" w:space="0" w:color="000000"/>
              <w:right w:val="single" w:sz="8" w:space="0" w:color="000000"/>
            </w:tcBorders>
            <w:vAlign w:val="center"/>
          </w:tcPr>
          <w:p w14:paraId="0D0FC88C" w14:textId="77777777" w:rsidR="003129FE" w:rsidRPr="0059240B" w:rsidRDefault="003129FE" w:rsidP="00B508BD">
            <w:pPr>
              <w:spacing w:after="0" w:line="240" w:lineRule="auto"/>
              <w:jc w:val="center"/>
              <w:rPr>
                <w:rFonts w:ascii="Times New Roman" w:hAnsi="Times New Roman"/>
                <w:sz w:val="18"/>
                <w:szCs w:val="18"/>
              </w:rPr>
            </w:pP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318D6E0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Fixed Account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19C24A0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Money Market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4D9F89D9"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Fixed Income</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7C781B5A"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26BE3D8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Diverse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6B4AA121"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Intl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2914675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Interm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ECCAA34"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Aggr Equity</w:t>
            </w:r>
          </w:p>
        </w:tc>
      </w:tr>
      <w:tr w:rsidR="003129FE" w:rsidRPr="0059240B" w14:paraId="204E6833" w14:textId="77777777" w:rsidTr="00B508BD">
        <w:trPr>
          <w:trHeight w:hRule="exact" w:val="452"/>
        </w:trPr>
        <w:tc>
          <w:tcPr>
            <w:tcW w:w="837" w:type="dxa"/>
            <w:tcBorders>
              <w:top w:val="single" w:sz="8" w:space="0" w:color="000000"/>
              <w:left w:val="single" w:sz="4" w:space="0" w:color="000000"/>
              <w:bottom w:val="single" w:sz="4" w:space="0" w:color="000000"/>
              <w:right w:val="single" w:sz="4" w:space="0" w:color="000000"/>
            </w:tcBorders>
            <w:vAlign w:val="center"/>
          </w:tcPr>
          <w:p w14:paraId="0E149E0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1.0%</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4800175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Fixed Account</w:t>
            </w:r>
          </w:p>
        </w:tc>
        <w:tc>
          <w:tcPr>
            <w:tcW w:w="837" w:type="dxa"/>
            <w:tcBorders>
              <w:top w:val="single" w:sz="8" w:space="0" w:color="000000"/>
              <w:left w:val="single" w:sz="8" w:space="0" w:color="000000"/>
              <w:bottom w:val="single" w:sz="4" w:space="0" w:color="000000"/>
              <w:right w:val="single" w:sz="4" w:space="0" w:color="000000"/>
            </w:tcBorders>
            <w:vAlign w:val="center"/>
          </w:tcPr>
          <w:p w14:paraId="468D1EE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EE869A1"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0.50</w:t>
            </w:r>
          </w:p>
        </w:tc>
        <w:tc>
          <w:tcPr>
            <w:tcW w:w="837" w:type="dxa"/>
            <w:tcBorders>
              <w:top w:val="single" w:sz="8" w:space="0" w:color="000000"/>
              <w:left w:val="single" w:sz="4" w:space="0" w:color="000000"/>
              <w:bottom w:val="single" w:sz="4" w:space="0" w:color="000000"/>
              <w:right w:val="single" w:sz="4" w:space="0" w:color="000000"/>
            </w:tcBorders>
            <w:vAlign w:val="center"/>
          </w:tcPr>
          <w:p w14:paraId="2528FECF"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0.15</w:t>
            </w:r>
          </w:p>
        </w:tc>
        <w:tc>
          <w:tcPr>
            <w:tcW w:w="837" w:type="dxa"/>
            <w:tcBorders>
              <w:top w:val="single" w:sz="8" w:space="0" w:color="000000"/>
              <w:left w:val="single" w:sz="4" w:space="0" w:color="000000"/>
              <w:bottom w:val="single" w:sz="4" w:space="0" w:color="000000"/>
              <w:right w:val="single" w:sz="8" w:space="0" w:color="000000"/>
            </w:tcBorders>
            <w:vAlign w:val="center"/>
          </w:tcPr>
          <w:p w14:paraId="30C42351"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8" w:space="0" w:color="000000"/>
              <w:left w:val="single" w:sz="8" w:space="0" w:color="000000"/>
              <w:bottom w:val="single" w:sz="4" w:space="0" w:color="000000"/>
              <w:right w:val="single" w:sz="4" w:space="0" w:color="000000"/>
            </w:tcBorders>
            <w:vAlign w:val="center"/>
          </w:tcPr>
          <w:p w14:paraId="6F8BA547"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B50803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3A549048"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92FF81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r>
      <w:tr w:rsidR="003129FE" w:rsidRPr="0059240B" w14:paraId="76D51F42"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B00231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F4E72BB"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Money Market</w:t>
            </w:r>
          </w:p>
        </w:tc>
        <w:tc>
          <w:tcPr>
            <w:tcW w:w="837" w:type="dxa"/>
            <w:tcBorders>
              <w:top w:val="single" w:sz="4" w:space="0" w:color="000000"/>
              <w:left w:val="single" w:sz="8" w:space="0" w:color="000000"/>
              <w:bottom w:val="single" w:sz="4" w:space="0" w:color="000000"/>
              <w:right w:val="single" w:sz="4" w:space="0" w:color="000000"/>
            </w:tcBorders>
            <w:vAlign w:val="center"/>
          </w:tcPr>
          <w:p w14:paraId="0F946041"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4A3D5BC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2EF7BE89"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8" w:space="0" w:color="000000"/>
            </w:tcBorders>
            <w:vAlign w:val="center"/>
          </w:tcPr>
          <w:p w14:paraId="7155594B"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8" w:space="0" w:color="000000"/>
              <w:bottom w:val="single" w:sz="4" w:space="0" w:color="000000"/>
              <w:right w:val="single" w:sz="4" w:space="0" w:color="000000"/>
            </w:tcBorders>
            <w:vAlign w:val="center"/>
          </w:tcPr>
          <w:p w14:paraId="724F960B"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23C1150"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05712AD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186436A"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r>
      <w:tr w:rsidR="003129FE" w:rsidRPr="0059240B" w14:paraId="66DBB835"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691D1A70"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5.0%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8C377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Fixed Income</w:t>
            </w:r>
          </w:p>
        </w:tc>
        <w:tc>
          <w:tcPr>
            <w:tcW w:w="837" w:type="dxa"/>
            <w:tcBorders>
              <w:top w:val="single" w:sz="4" w:space="0" w:color="000000"/>
              <w:left w:val="single" w:sz="8" w:space="0" w:color="000000"/>
              <w:bottom w:val="single" w:sz="4" w:space="0" w:color="000000"/>
              <w:right w:val="single" w:sz="4" w:space="0" w:color="000000"/>
            </w:tcBorders>
            <w:vAlign w:val="center"/>
          </w:tcPr>
          <w:p w14:paraId="4A37D47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0.15</w:t>
            </w:r>
          </w:p>
        </w:tc>
        <w:tc>
          <w:tcPr>
            <w:tcW w:w="837" w:type="dxa"/>
            <w:tcBorders>
              <w:top w:val="single" w:sz="4" w:space="0" w:color="000000"/>
              <w:left w:val="single" w:sz="4" w:space="0" w:color="000000"/>
              <w:bottom w:val="single" w:sz="4" w:space="0" w:color="000000"/>
              <w:right w:val="single" w:sz="4" w:space="0" w:color="000000"/>
            </w:tcBorders>
            <w:vAlign w:val="center"/>
          </w:tcPr>
          <w:p w14:paraId="5ADE16EB"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4" w:space="0" w:color="000000"/>
            </w:tcBorders>
            <w:vAlign w:val="center"/>
          </w:tcPr>
          <w:p w14:paraId="152218BB"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8" w:space="0" w:color="000000"/>
            </w:tcBorders>
            <w:vAlign w:val="center"/>
          </w:tcPr>
          <w:p w14:paraId="581B6BD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0.30</w:t>
            </w:r>
          </w:p>
        </w:tc>
        <w:tc>
          <w:tcPr>
            <w:tcW w:w="837" w:type="dxa"/>
            <w:tcBorders>
              <w:top w:val="single" w:sz="4" w:space="0" w:color="000000"/>
              <w:left w:val="single" w:sz="8" w:space="0" w:color="000000"/>
              <w:bottom w:val="single" w:sz="4" w:space="0" w:color="000000"/>
              <w:right w:val="single" w:sz="4" w:space="0" w:color="000000"/>
            </w:tcBorders>
            <w:vAlign w:val="center"/>
          </w:tcPr>
          <w:p w14:paraId="2F05E46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10178169"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70CC4BA5"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687EE31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0.05</w:t>
            </w:r>
          </w:p>
        </w:tc>
      </w:tr>
      <w:tr w:rsidR="003129FE" w:rsidRPr="0059240B" w14:paraId="4854D30B" w14:textId="77777777" w:rsidTr="00B508BD">
        <w:trPr>
          <w:trHeight w:hRule="exact" w:val="446"/>
        </w:trPr>
        <w:tc>
          <w:tcPr>
            <w:tcW w:w="837" w:type="dxa"/>
            <w:tcBorders>
              <w:top w:val="single" w:sz="4" w:space="0" w:color="000000"/>
              <w:left w:val="single" w:sz="4" w:space="0" w:color="000000"/>
              <w:bottom w:val="single" w:sz="8" w:space="0" w:color="000000"/>
              <w:right w:val="single" w:sz="4" w:space="0" w:color="000000"/>
            </w:tcBorders>
            <w:vAlign w:val="center"/>
          </w:tcPr>
          <w:p w14:paraId="1636BFF1"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10.0%</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4D6E4F9A"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vAlign w:val="center"/>
          </w:tcPr>
          <w:p w14:paraId="1BF092A0"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7735C92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6572025A"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0.30</w:t>
            </w:r>
          </w:p>
        </w:tc>
        <w:tc>
          <w:tcPr>
            <w:tcW w:w="837" w:type="dxa"/>
            <w:tcBorders>
              <w:top w:val="single" w:sz="4" w:space="0" w:color="000000"/>
              <w:left w:val="single" w:sz="4" w:space="0" w:color="000000"/>
              <w:bottom w:val="single" w:sz="8" w:space="0" w:color="000000"/>
              <w:right w:val="single" w:sz="8" w:space="0" w:color="000000"/>
            </w:tcBorders>
            <w:vAlign w:val="center"/>
          </w:tcPr>
          <w:p w14:paraId="61D13134"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c>
          <w:tcPr>
            <w:tcW w:w="837" w:type="dxa"/>
            <w:tcBorders>
              <w:top w:val="single" w:sz="4" w:space="0" w:color="000000"/>
              <w:left w:val="single" w:sz="8" w:space="0" w:color="000000"/>
              <w:bottom w:val="single" w:sz="8" w:space="0" w:color="000000"/>
              <w:right w:val="single" w:sz="4" w:space="0" w:color="000000"/>
            </w:tcBorders>
            <w:vAlign w:val="center"/>
          </w:tcPr>
          <w:p w14:paraId="3159710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0.95</w:t>
            </w:r>
          </w:p>
        </w:tc>
        <w:tc>
          <w:tcPr>
            <w:tcW w:w="837" w:type="dxa"/>
            <w:tcBorders>
              <w:top w:val="single" w:sz="4" w:space="0" w:color="000000"/>
              <w:left w:val="single" w:sz="4" w:space="0" w:color="000000"/>
              <w:bottom w:val="single" w:sz="8" w:space="0" w:color="000000"/>
              <w:right w:val="single" w:sz="4" w:space="0" w:color="000000"/>
            </w:tcBorders>
            <w:vAlign w:val="center"/>
          </w:tcPr>
          <w:p w14:paraId="4F5305C5"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c>
          <w:tcPr>
            <w:tcW w:w="837" w:type="dxa"/>
            <w:tcBorders>
              <w:top w:val="single" w:sz="4" w:space="0" w:color="000000"/>
              <w:left w:val="single" w:sz="4" w:space="0" w:color="000000"/>
              <w:bottom w:val="single" w:sz="8" w:space="0" w:color="000000"/>
              <w:right w:val="single" w:sz="4" w:space="0" w:color="000000"/>
            </w:tcBorders>
            <w:vAlign w:val="center"/>
          </w:tcPr>
          <w:p w14:paraId="3F112EAF"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0.75</w:t>
            </w:r>
          </w:p>
        </w:tc>
        <w:tc>
          <w:tcPr>
            <w:tcW w:w="837" w:type="dxa"/>
            <w:tcBorders>
              <w:top w:val="single" w:sz="4" w:space="0" w:color="000000"/>
              <w:left w:val="single" w:sz="4" w:space="0" w:color="000000"/>
              <w:bottom w:val="single" w:sz="8" w:space="0" w:color="000000"/>
              <w:right w:val="single" w:sz="4" w:space="0" w:color="000000"/>
            </w:tcBorders>
            <w:vAlign w:val="center"/>
          </w:tcPr>
          <w:p w14:paraId="1138BA6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r>
      <w:tr w:rsidR="003129FE" w:rsidRPr="0059240B" w14:paraId="26667AB0" w14:textId="77777777" w:rsidTr="00B508BD">
        <w:trPr>
          <w:trHeight w:hRule="exact" w:val="449"/>
        </w:trPr>
        <w:tc>
          <w:tcPr>
            <w:tcW w:w="837" w:type="dxa"/>
            <w:tcBorders>
              <w:top w:val="single" w:sz="8" w:space="0" w:color="000000"/>
              <w:left w:val="single" w:sz="4" w:space="0" w:color="000000"/>
              <w:bottom w:val="single" w:sz="4" w:space="0" w:color="000000"/>
              <w:right w:val="single" w:sz="4" w:space="0" w:color="000000"/>
            </w:tcBorders>
            <w:vAlign w:val="center"/>
          </w:tcPr>
          <w:p w14:paraId="793138F7"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15.5%</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7063521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Diverse Equity</w:t>
            </w:r>
          </w:p>
        </w:tc>
        <w:tc>
          <w:tcPr>
            <w:tcW w:w="837" w:type="dxa"/>
            <w:tcBorders>
              <w:top w:val="single" w:sz="8" w:space="0" w:color="000000"/>
              <w:left w:val="single" w:sz="8" w:space="0" w:color="000000"/>
              <w:bottom w:val="single" w:sz="4" w:space="0" w:color="000000"/>
              <w:right w:val="single" w:sz="4" w:space="0" w:color="000000"/>
            </w:tcBorders>
            <w:vAlign w:val="center"/>
          </w:tcPr>
          <w:p w14:paraId="2D522270"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42FFFEE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71E3949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0.10</w:t>
            </w:r>
          </w:p>
        </w:tc>
        <w:tc>
          <w:tcPr>
            <w:tcW w:w="837" w:type="dxa"/>
            <w:tcBorders>
              <w:top w:val="single" w:sz="8" w:space="0" w:color="000000"/>
              <w:left w:val="single" w:sz="4" w:space="0" w:color="000000"/>
              <w:bottom w:val="single" w:sz="4" w:space="0" w:color="000000"/>
              <w:right w:val="single" w:sz="8" w:space="0" w:color="000000"/>
            </w:tcBorders>
            <w:vAlign w:val="center"/>
          </w:tcPr>
          <w:p w14:paraId="42C7BA5F"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0.95</w:t>
            </w:r>
          </w:p>
        </w:tc>
        <w:tc>
          <w:tcPr>
            <w:tcW w:w="837" w:type="dxa"/>
            <w:tcBorders>
              <w:top w:val="single" w:sz="8" w:space="0" w:color="000000"/>
              <w:left w:val="single" w:sz="8" w:space="0" w:color="000000"/>
              <w:bottom w:val="single" w:sz="4" w:space="0" w:color="000000"/>
              <w:right w:val="single" w:sz="4" w:space="0" w:color="000000"/>
            </w:tcBorders>
            <w:vAlign w:val="center"/>
          </w:tcPr>
          <w:p w14:paraId="0345A8C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2699598"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c>
          <w:tcPr>
            <w:tcW w:w="837" w:type="dxa"/>
            <w:tcBorders>
              <w:top w:val="single" w:sz="8" w:space="0" w:color="000000"/>
              <w:left w:val="single" w:sz="4" w:space="0" w:color="000000"/>
              <w:bottom w:val="single" w:sz="4" w:space="0" w:color="000000"/>
              <w:right w:val="single" w:sz="4" w:space="0" w:color="000000"/>
            </w:tcBorders>
            <w:vAlign w:val="center"/>
          </w:tcPr>
          <w:p w14:paraId="479CA8E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0.80</w:t>
            </w:r>
          </w:p>
        </w:tc>
        <w:tc>
          <w:tcPr>
            <w:tcW w:w="837" w:type="dxa"/>
            <w:tcBorders>
              <w:top w:val="single" w:sz="8" w:space="0" w:color="000000"/>
              <w:left w:val="single" w:sz="4" w:space="0" w:color="000000"/>
              <w:bottom w:val="single" w:sz="4" w:space="0" w:color="000000"/>
              <w:right w:val="single" w:sz="4" w:space="0" w:color="000000"/>
            </w:tcBorders>
            <w:vAlign w:val="center"/>
          </w:tcPr>
          <w:p w14:paraId="6007CD9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0.70</w:t>
            </w:r>
          </w:p>
        </w:tc>
      </w:tr>
      <w:tr w:rsidR="003129FE" w:rsidRPr="0059240B" w14:paraId="453362B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447D763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17.5%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2C4837"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Intl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69DB169B"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4FF3418"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D7E32E5"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0D733B2F"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18B2323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073C83E1"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379C0EC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78F0B3EC"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r>
      <w:tr w:rsidR="003129FE" w:rsidRPr="0059240B" w14:paraId="0AC05F5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F5DE0D0"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21.5%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2F867477"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Interm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42EB818"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F5959C5"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41D5A75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3C82A1F5"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0.75</w:t>
            </w:r>
          </w:p>
        </w:tc>
        <w:tc>
          <w:tcPr>
            <w:tcW w:w="837" w:type="dxa"/>
            <w:tcBorders>
              <w:top w:val="single" w:sz="4" w:space="0" w:color="000000"/>
              <w:left w:val="single" w:sz="8" w:space="0" w:color="000000"/>
              <w:bottom w:val="single" w:sz="4" w:space="0" w:color="000000"/>
              <w:right w:val="single" w:sz="4" w:space="0" w:color="000000"/>
            </w:tcBorders>
            <w:vAlign w:val="center"/>
          </w:tcPr>
          <w:p w14:paraId="7A8C018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0.80</w:t>
            </w:r>
          </w:p>
        </w:tc>
        <w:tc>
          <w:tcPr>
            <w:tcW w:w="837" w:type="dxa"/>
            <w:tcBorders>
              <w:top w:val="single" w:sz="4" w:space="0" w:color="000000"/>
              <w:left w:val="single" w:sz="4" w:space="0" w:color="000000"/>
              <w:bottom w:val="single" w:sz="4" w:space="0" w:color="000000"/>
              <w:right w:val="single" w:sz="4" w:space="0" w:color="000000"/>
            </w:tcBorders>
            <w:vAlign w:val="center"/>
          </w:tcPr>
          <w:p w14:paraId="68247E59"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5B100D8C"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F4F"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0.70</w:t>
            </w:r>
          </w:p>
        </w:tc>
      </w:tr>
      <w:tr w:rsidR="003129FE" w:rsidRPr="0059240B" w14:paraId="55D6C04B" w14:textId="77777777" w:rsidTr="00B508BD">
        <w:trPr>
          <w:trHeight w:hRule="exact" w:val="424"/>
        </w:trPr>
        <w:tc>
          <w:tcPr>
            <w:tcW w:w="837" w:type="dxa"/>
            <w:tcBorders>
              <w:top w:val="single" w:sz="4" w:space="0" w:color="000000"/>
              <w:left w:val="single" w:sz="4" w:space="0" w:color="000000"/>
              <w:bottom w:val="single" w:sz="4" w:space="0" w:color="000000"/>
              <w:right w:val="single" w:sz="4" w:space="0" w:color="000000"/>
            </w:tcBorders>
            <w:vAlign w:val="center"/>
          </w:tcPr>
          <w:p w14:paraId="111529BA"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26.0%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73EE77BE"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Aggr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1E74B68D"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E8C02E1"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5C5772C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0.05</w:t>
            </w:r>
          </w:p>
        </w:tc>
        <w:tc>
          <w:tcPr>
            <w:tcW w:w="837" w:type="dxa"/>
            <w:tcBorders>
              <w:top w:val="single" w:sz="4" w:space="0" w:color="000000"/>
              <w:left w:val="single" w:sz="4" w:space="0" w:color="000000"/>
              <w:bottom w:val="single" w:sz="4" w:space="0" w:color="000000"/>
              <w:right w:val="single" w:sz="8" w:space="0" w:color="000000"/>
            </w:tcBorders>
            <w:vAlign w:val="center"/>
          </w:tcPr>
          <w:p w14:paraId="21DA9AF4"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5A773CA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2B5E0352"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50B22CEA"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5E71FBD3" w14:textId="77777777" w:rsidR="003129FE" w:rsidRPr="0059240B" w:rsidRDefault="003129FE" w:rsidP="00B508BD">
            <w:pPr>
              <w:spacing w:after="0" w:line="240" w:lineRule="auto"/>
              <w:jc w:val="center"/>
              <w:rPr>
                <w:rFonts w:ascii="Times New Roman" w:eastAsia="Times New Roman" w:hAnsi="Times New Roman"/>
                <w:sz w:val="18"/>
                <w:szCs w:val="18"/>
              </w:rPr>
            </w:pPr>
            <w:r w:rsidRPr="0059240B">
              <w:rPr>
                <w:rFonts w:ascii="Times New Roman" w:eastAsia="Times New Roman" w:hAnsi="Times New Roman"/>
                <w:b/>
                <w:bCs/>
                <w:sz w:val="18"/>
                <w:szCs w:val="18"/>
              </w:rPr>
              <w:t>1</w:t>
            </w:r>
          </w:p>
        </w:tc>
      </w:tr>
    </w:tbl>
    <w:p w14:paraId="2A9BD3A4" w14:textId="77777777" w:rsidR="003129FE" w:rsidRPr="0059240B" w:rsidRDefault="003129FE" w:rsidP="0021502F">
      <w:pPr>
        <w:keepNext/>
        <w:spacing w:after="220" w:line="240" w:lineRule="auto"/>
        <w:ind w:left="1440" w:hanging="720"/>
        <w:jc w:val="both"/>
        <w:rPr>
          <w:rFonts w:ascii="Times New Roman" w:eastAsia="Times New Roman" w:hAnsi="Times New Roman"/>
        </w:rPr>
      </w:pPr>
    </w:p>
    <w:p w14:paraId="3712FE9D" w14:textId="77777777" w:rsidR="003129FE" w:rsidRPr="0059240B" w:rsidRDefault="003129FE">
      <w:pPr>
        <w:rPr>
          <w:rFonts w:ascii="Times New Roman" w:eastAsia="Times New Roman" w:hAnsi="Times New Roman"/>
        </w:rPr>
      </w:pPr>
      <w:r w:rsidRPr="0059240B">
        <w:rPr>
          <w:rFonts w:ascii="Times New Roman" w:eastAsia="Times New Roman" w:hAnsi="Times New Roman"/>
        </w:rPr>
        <w:br w:type="page"/>
      </w:r>
    </w:p>
    <w:p w14:paraId="6EBEA42D" w14:textId="77777777" w:rsidR="003129FE" w:rsidRPr="0059240B" w:rsidRDefault="003129FE" w:rsidP="0021502F">
      <w:pPr>
        <w:keepNext/>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lastRenderedPageBreak/>
        <w:t>5.</w:t>
      </w:r>
      <w:r w:rsidRPr="0059240B">
        <w:rPr>
          <w:rFonts w:ascii="Times New Roman" w:eastAsia="Times New Roman" w:hAnsi="Times New Roman"/>
        </w:rPr>
        <w:tab/>
        <w:t>Fund Categorization Example</w:t>
      </w:r>
    </w:p>
    <w:p w14:paraId="22AD35B4" w14:textId="0070B945" w:rsidR="003129FE" w:rsidRPr="0059240B" w:rsidRDefault="003129FE" w:rsidP="0021502F">
      <w:pPr>
        <w:pStyle w:val="ListParagraph"/>
        <w:spacing w:after="220" w:line="240" w:lineRule="auto"/>
        <w:ind w:left="1440"/>
        <w:contextualSpacing w:val="0"/>
        <w:jc w:val="both"/>
        <w:rPr>
          <w:rFonts w:ascii="Times New Roman" w:eastAsia="Times New Roman" w:hAnsi="Times New Roman"/>
        </w:rPr>
      </w:pPr>
      <w:r w:rsidRPr="0059240B">
        <w:rPr>
          <w:rFonts w:ascii="Times New Roman" w:eastAsia="Times New Roman" w:hAnsi="Times New Roman"/>
        </w:rPr>
        <w:t>As an example, suppose three funds (fixed income, diversified U.S. equity and aggressive equity) are offered to clients on a product with a contract level guarantee (i.e., across all funds held within the contract). The current fund holdings (in dollars) for five sample contracts are shown in the following table:</w:t>
      </w:r>
    </w:p>
    <w:p w14:paraId="661B649E" w14:textId="45DD1416" w:rsidR="00F551D1" w:rsidRPr="0059240B" w:rsidRDefault="00F551D1" w:rsidP="00666F6E">
      <w:pPr>
        <w:keepNext/>
        <w:spacing w:after="0" w:line="240" w:lineRule="auto"/>
        <w:ind w:left="720"/>
        <w:jc w:val="center"/>
        <w:rPr>
          <w:rFonts w:ascii="Times New Roman" w:hAnsi="Times New Roman"/>
          <w:szCs w:val="12"/>
        </w:rPr>
      </w:pPr>
      <w:r w:rsidRPr="0059240B">
        <w:rPr>
          <w:rFonts w:ascii="Times New Roman" w:hAnsi="Times New Roman"/>
          <w:szCs w:val="12"/>
        </w:rPr>
        <w:t xml:space="preserve">Table 7.3: </w:t>
      </w:r>
      <w:r w:rsidRPr="0059240B">
        <w:rPr>
          <w:rFonts w:ascii="Times New Roman" w:eastAsia="Times New Roman" w:hAnsi="Times New Roman"/>
        </w:rPr>
        <w:t>Fund Categorization Example</w:t>
      </w:r>
    </w:p>
    <w:p w14:paraId="45E8CC50" w14:textId="77777777" w:rsidR="00F551D1" w:rsidRPr="0059240B" w:rsidRDefault="00F551D1" w:rsidP="00F551D1">
      <w:pPr>
        <w:spacing w:after="220" w:line="240" w:lineRule="auto"/>
        <w:jc w:val="both"/>
        <w:rPr>
          <w:rFonts w:ascii="Times New Roman" w:eastAsia="Times New Roman" w:hAnsi="Times New Roman"/>
        </w:rPr>
      </w:pPr>
    </w:p>
    <w:p w14:paraId="69F20ED5" w14:textId="77777777" w:rsidR="003129FE" w:rsidRPr="0059240B" w:rsidRDefault="003129FE" w:rsidP="0021502F">
      <w:pPr>
        <w:pStyle w:val="ListParagraph"/>
        <w:tabs>
          <w:tab w:val="left" w:pos="1540"/>
        </w:tabs>
        <w:spacing w:after="0" w:line="240" w:lineRule="auto"/>
        <w:ind w:left="0"/>
        <w:jc w:val="both"/>
        <w:rPr>
          <w:rFonts w:ascii="Times New Roman" w:eastAsia="Times New Roman" w:hAnsi="Times New Roman"/>
          <w:sz w:val="12"/>
          <w:szCs w:val="12"/>
        </w:rPr>
      </w:pPr>
    </w:p>
    <w:tbl>
      <w:tblPr>
        <w:tblW w:w="9498" w:type="dxa"/>
        <w:tblInd w:w="301"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59240B" w14:paraId="332168C9" w14:textId="77777777" w:rsidTr="00B508BD">
        <w:trPr>
          <w:trHeight w:hRule="exact" w:val="389"/>
        </w:trPr>
        <w:tc>
          <w:tcPr>
            <w:tcW w:w="3017" w:type="dxa"/>
            <w:tcBorders>
              <w:top w:val="nil"/>
              <w:left w:val="nil"/>
              <w:bottom w:val="single" w:sz="5" w:space="0" w:color="000000"/>
              <w:right w:val="single" w:sz="6" w:space="0" w:color="000000"/>
            </w:tcBorders>
            <w:vAlign w:val="center"/>
          </w:tcPr>
          <w:p w14:paraId="062FF66C" w14:textId="77777777" w:rsidR="003129FE" w:rsidRPr="0059240B" w:rsidRDefault="003129FE" w:rsidP="00B508BD">
            <w:pPr>
              <w:spacing w:after="0" w:line="240" w:lineRule="auto"/>
              <w:jc w:val="center"/>
              <w:rPr>
                <w:rFonts w:ascii="Times New Roman" w:hAnsi="Times New Roman"/>
                <w:sz w:val="20"/>
                <w:szCs w:val="20"/>
              </w:rPr>
            </w:pPr>
          </w:p>
        </w:tc>
        <w:tc>
          <w:tcPr>
            <w:tcW w:w="1296" w:type="dxa"/>
            <w:tcBorders>
              <w:top w:val="single" w:sz="5" w:space="0" w:color="000000"/>
              <w:left w:val="single" w:sz="6" w:space="0" w:color="000000"/>
              <w:bottom w:val="single" w:sz="5" w:space="0" w:color="000000"/>
              <w:right w:val="single" w:sz="6" w:space="0" w:color="000000"/>
            </w:tcBorders>
            <w:vAlign w:val="center"/>
          </w:tcPr>
          <w:p w14:paraId="790D3611"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1</w:t>
            </w:r>
          </w:p>
        </w:tc>
        <w:tc>
          <w:tcPr>
            <w:tcW w:w="1296" w:type="dxa"/>
            <w:tcBorders>
              <w:top w:val="single" w:sz="5" w:space="0" w:color="000000"/>
              <w:left w:val="single" w:sz="6" w:space="0" w:color="000000"/>
              <w:bottom w:val="single" w:sz="5" w:space="0" w:color="000000"/>
              <w:right w:val="single" w:sz="6" w:space="0" w:color="000000"/>
            </w:tcBorders>
            <w:vAlign w:val="center"/>
          </w:tcPr>
          <w:p w14:paraId="0AE02A28"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2</w:t>
            </w:r>
          </w:p>
        </w:tc>
        <w:tc>
          <w:tcPr>
            <w:tcW w:w="1296" w:type="dxa"/>
            <w:tcBorders>
              <w:top w:val="single" w:sz="5" w:space="0" w:color="000000"/>
              <w:left w:val="single" w:sz="6" w:space="0" w:color="000000"/>
              <w:bottom w:val="single" w:sz="5" w:space="0" w:color="000000"/>
              <w:right w:val="single" w:sz="6" w:space="0" w:color="000000"/>
            </w:tcBorders>
            <w:vAlign w:val="center"/>
          </w:tcPr>
          <w:p w14:paraId="54BDFD4C"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3</w:t>
            </w:r>
          </w:p>
        </w:tc>
        <w:tc>
          <w:tcPr>
            <w:tcW w:w="1297" w:type="dxa"/>
            <w:tcBorders>
              <w:top w:val="single" w:sz="5" w:space="0" w:color="000000"/>
              <w:left w:val="single" w:sz="6" w:space="0" w:color="000000"/>
              <w:bottom w:val="single" w:sz="5" w:space="0" w:color="000000"/>
              <w:right w:val="single" w:sz="6" w:space="0" w:color="000000"/>
            </w:tcBorders>
            <w:vAlign w:val="center"/>
          </w:tcPr>
          <w:p w14:paraId="17AB325D"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4</w:t>
            </w:r>
          </w:p>
        </w:tc>
        <w:tc>
          <w:tcPr>
            <w:tcW w:w="1296" w:type="dxa"/>
            <w:tcBorders>
              <w:top w:val="single" w:sz="5" w:space="0" w:color="000000"/>
              <w:left w:val="single" w:sz="6" w:space="0" w:color="000000"/>
              <w:bottom w:val="single" w:sz="5" w:space="0" w:color="000000"/>
              <w:right w:val="single" w:sz="4" w:space="0" w:color="000000"/>
            </w:tcBorders>
            <w:vAlign w:val="center"/>
          </w:tcPr>
          <w:p w14:paraId="1DB7E6E4"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5</w:t>
            </w:r>
          </w:p>
        </w:tc>
      </w:tr>
      <w:tr w:rsidR="003129FE" w:rsidRPr="0059240B" w14:paraId="3939626B" w14:textId="77777777" w:rsidTr="00B508BD">
        <w:trPr>
          <w:trHeight w:hRule="exact" w:val="383"/>
        </w:trPr>
        <w:tc>
          <w:tcPr>
            <w:tcW w:w="3017" w:type="dxa"/>
            <w:tcBorders>
              <w:top w:val="single" w:sz="5" w:space="0" w:color="000000"/>
              <w:left w:val="single" w:sz="11" w:space="0" w:color="000000"/>
              <w:bottom w:val="single" w:sz="6" w:space="0" w:color="000000"/>
              <w:right w:val="single" w:sz="6" w:space="0" w:color="000000"/>
            </w:tcBorders>
            <w:vAlign w:val="center"/>
          </w:tcPr>
          <w:p w14:paraId="23BDA417" w14:textId="77777777"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MV Fund X (Fixed Income)</w:t>
            </w:r>
          </w:p>
        </w:tc>
        <w:tc>
          <w:tcPr>
            <w:tcW w:w="1296" w:type="dxa"/>
            <w:tcBorders>
              <w:top w:val="single" w:sz="5" w:space="0" w:color="000000"/>
              <w:left w:val="single" w:sz="6" w:space="0" w:color="000000"/>
              <w:bottom w:val="single" w:sz="6" w:space="0" w:color="000000"/>
              <w:right w:val="single" w:sz="6" w:space="0" w:color="000000"/>
            </w:tcBorders>
            <w:vAlign w:val="center"/>
          </w:tcPr>
          <w:p w14:paraId="3D4CBB41"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43B88F98"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4,000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1A69920A"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8,000</w:t>
            </w:r>
          </w:p>
        </w:tc>
        <w:tc>
          <w:tcPr>
            <w:tcW w:w="1297" w:type="dxa"/>
            <w:tcBorders>
              <w:top w:val="single" w:sz="5" w:space="0" w:color="000000"/>
              <w:left w:val="single" w:sz="6" w:space="0" w:color="000000"/>
              <w:bottom w:val="single" w:sz="6" w:space="0" w:color="000000"/>
              <w:right w:val="single" w:sz="6" w:space="0" w:color="000000"/>
            </w:tcBorders>
            <w:vAlign w:val="center"/>
          </w:tcPr>
          <w:p w14:paraId="5F14389C"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w:t>
            </w:r>
          </w:p>
        </w:tc>
        <w:tc>
          <w:tcPr>
            <w:tcW w:w="1296" w:type="dxa"/>
            <w:tcBorders>
              <w:top w:val="single" w:sz="5" w:space="0" w:color="000000"/>
              <w:left w:val="single" w:sz="6" w:space="0" w:color="000000"/>
              <w:bottom w:val="single" w:sz="6" w:space="0" w:color="000000"/>
              <w:right w:val="single" w:sz="4" w:space="0" w:color="000000"/>
            </w:tcBorders>
            <w:vAlign w:val="center"/>
          </w:tcPr>
          <w:p w14:paraId="25CCB49B"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5,000</w:t>
            </w:r>
          </w:p>
        </w:tc>
      </w:tr>
      <w:tr w:rsidR="003129FE" w:rsidRPr="0059240B" w14:paraId="573F48B6" w14:textId="77777777" w:rsidTr="00B508BD">
        <w:trPr>
          <w:trHeight w:hRule="exact" w:val="374"/>
        </w:trPr>
        <w:tc>
          <w:tcPr>
            <w:tcW w:w="3017" w:type="dxa"/>
            <w:tcBorders>
              <w:top w:val="single" w:sz="6" w:space="0" w:color="000000"/>
              <w:left w:val="single" w:sz="11" w:space="0" w:color="000000"/>
              <w:bottom w:val="single" w:sz="6" w:space="0" w:color="000000"/>
              <w:right w:val="single" w:sz="6" w:space="0" w:color="000000"/>
            </w:tcBorders>
            <w:vAlign w:val="center"/>
          </w:tcPr>
          <w:p w14:paraId="698180FB" w14:textId="77777777"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MV Fund Y (Diversified Equity)</w:t>
            </w:r>
          </w:p>
        </w:tc>
        <w:tc>
          <w:tcPr>
            <w:tcW w:w="1296" w:type="dxa"/>
            <w:tcBorders>
              <w:top w:val="single" w:sz="6" w:space="0" w:color="000000"/>
              <w:left w:val="single" w:sz="6" w:space="0" w:color="000000"/>
              <w:bottom w:val="single" w:sz="6" w:space="0" w:color="000000"/>
              <w:right w:val="single" w:sz="6" w:space="0" w:color="000000"/>
            </w:tcBorders>
            <w:vAlign w:val="center"/>
          </w:tcPr>
          <w:p w14:paraId="283DFC6B"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9,000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6D09698A"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7,000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1D22B6B7"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6" w:space="0" w:color="000000"/>
              <w:right w:val="single" w:sz="6" w:space="0" w:color="000000"/>
            </w:tcBorders>
            <w:vAlign w:val="center"/>
          </w:tcPr>
          <w:p w14:paraId="57C84D64" w14:textId="7F803C9E"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5,000</w:t>
            </w:r>
          </w:p>
        </w:tc>
        <w:tc>
          <w:tcPr>
            <w:tcW w:w="1296" w:type="dxa"/>
            <w:tcBorders>
              <w:top w:val="single" w:sz="6" w:space="0" w:color="000000"/>
              <w:left w:val="single" w:sz="6" w:space="0" w:color="000000"/>
              <w:bottom w:val="single" w:sz="6" w:space="0" w:color="000000"/>
              <w:right w:val="single" w:sz="4" w:space="0" w:color="000000"/>
            </w:tcBorders>
            <w:vAlign w:val="center"/>
          </w:tcPr>
          <w:p w14:paraId="3A4DD709"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w:t>
            </w:r>
          </w:p>
        </w:tc>
      </w:tr>
      <w:tr w:rsidR="003129FE" w:rsidRPr="0059240B" w14:paraId="78D39750" w14:textId="77777777" w:rsidTr="00B508BD">
        <w:trPr>
          <w:trHeight w:hRule="exact" w:val="383"/>
        </w:trPr>
        <w:tc>
          <w:tcPr>
            <w:tcW w:w="3017" w:type="dxa"/>
            <w:tcBorders>
              <w:top w:val="single" w:sz="6" w:space="0" w:color="000000"/>
              <w:left w:val="single" w:sz="11" w:space="0" w:color="000000"/>
              <w:bottom w:val="single" w:sz="13" w:space="0" w:color="000000"/>
              <w:right w:val="single" w:sz="6" w:space="0" w:color="000000"/>
            </w:tcBorders>
            <w:vAlign w:val="center"/>
          </w:tcPr>
          <w:p w14:paraId="31D56328" w14:textId="77777777"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MV Fund Z (Aggressive Equity)</w:t>
            </w:r>
          </w:p>
        </w:tc>
        <w:tc>
          <w:tcPr>
            <w:tcW w:w="1296" w:type="dxa"/>
            <w:tcBorders>
              <w:top w:val="single" w:sz="6" w:space="0" w:color="000000"/>
              <w:left w:val="single" w:sz="6" w:space="0" w:color="000000"/>
              <w:bottom w:val="single" w:sz="12" w:space="0" w:color="000000"/>
              <w:right w:val="single" w:sz="6" w:space="0" w:color="000000"/>
            </w:tcBorders>
            <w:vAlign w:val="center"/>
          </w:tcPr>
          <w:p w14:paraId="6249C4BB"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430D138C"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4,000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67B3C4FD"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w:t>
            </w:r>
          </w:p>
        </w:tc>
        <w:tc>
          <w:tcPr>
            <w:tcW w:w="1297" w:type="dxa"/>
            <w:tcBorders>
              <w:top w:val="single" w:sz="6" w:space="0" w:color="000000"/>
              <w:left w:val="single" w:sz="6" w:space="0" w:color="000000"/>
              <w:bottom w:val="single" w:sz="12" w:space="0" w:color="000000"/>
              <w:right w:val="single" w:sz="6" w:space="0" w:color="000000"/>
            </w:tcBorders>
            <w:vAlign w:val="center"/>
          </w:tcPr>
          <w:p w14:paraId="769903A9" w14:textId="75A26E36"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5,000</w:t>
            </w:r>
          </w:p>
        </w:tc>
        <w:tc>
          <w:tcPr>
            <w:tcW w:w="1296" w:type="dxa"/>
            <w:tcBorders>
              <w:top w:val="single" w:sz="6" w:space="0" w:color="000000"/>
              <w:left w:val="single" w:sz="6" w:space="0" w:color="000000"/>
              <w:bottom w:val="single" w:sz="12" w:space="0" w:color="000000"/>
              <w:right w:val="single" w:sz="4" w:space="0" w:color="000000"/>
            </w:tcBorders>
            <w:vAlign w:val="center"/>
          </w:tcPr>
          <w:p w14:paraId="672E5DDB"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5,000</w:t>
            </w:r>
          </w:p>
        </w:tc>
      </w:tr>
      <w:tr w:rsidR="003129FE" w:rsidRPr="0059240B" w14:paraId="2FBCF9F1" w14:textId="77777777" w:rsidTr="00B508BD">
        <w:trPr>
          <w:trHeight w:hRule="exact" w:val="383"/>
        </w:trPr>
        <w:tc>
          <w:tcPr>
            <w:tcW w:w="3017" w:type="dxa"/>
            <w:tcBorders>
              <w:top w:val="single" w:sz="13" w:space="0" w:color="000000"/>
              <w:left w:val="single" w:sz="11" w:space="0" w:color="000000"/>
              <w:bottom w:val="single" w:sz="6" w:space="0" w:color="000000"/>
              <w:right w:val="single" w:sz="6" w:space="0" w:color="000000"/>
            </w:tcBorders>
            <w:vAlign w:val="center"/>
          </w:tcPr>
          <w:p w14:paraId="6860C275" w14:textId="77777777"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Total Market Value</w:t>
            </w:r>
          </w:p>
        </w:tc>
        <w:tc>
          <w:tcPr>
            <w:tcW w:w="1296" w:type="dxa"/>
            <w:tcBorders>
              <w:top w:val="single" w:sz="12" w:space="0" w:color="000000"/>
              <w:left w:val="single" w:sz="6" w:space="0" w:color="000000"/>
              <w:bottom w:val="single" w:sz="6" w:space="0" w:color="000000"/>
              <w:right w:val="single" w:sz="6" w:space="0" w:color="000000"/>
            </w:tcBorders>
            <w:vAlign w:val="center"/>
          </w:tcPr>
          <w:p w14:paraId="63110002"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1E3A3015"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395369ED"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10,000</w:t>
            </w:r>
          </w:p>
        </w:tc>
        <w:tc>
          <w:tcPr>
            <w:tcW w:w="1297" w:type="dxa"/>
            <w:tcBorders>
              <w:top w:val="single" w:sz="12" w:space="0" w:color="000000"/>
              <w:left w:val="single" w:sz="6" w:space="0" w:color="000000"/>
              <w:bottom w:val="single" w:sz="6" w:space="0" w:color="000000"/>
              <w:right w:val="single" w:sz="6" w:space="0" w:color="000000"/>
            </w:tcBorders>
            <w:vAlign w:val="center"/>
          </w:tcPr>
          <w:p w14:paraId="501369D6"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10,000</w:t>
            </w:r>
          </w:p>
        </w:tc>
        <w:tc>
          <w:tcPr>
            <w:tcW w:w="1296" w:type="dxa"/>
            <w:tcBorders>
              <w:top w:val="single" w:sz="12" w:space="0" w:color="000000"/>
              <w:left w:val="single" w:sz="6" w:space="0" w:color="000000"/>
              <w:bottom w:val="single" w:sz="6" w:space="0" w:color="000000"/>
              <w:right w:val="single" w:sz="4" w:space="0" w:color="000000"/>
            </w:tcBorders>
            <w:vAlign w:val="center"/>
          </w:tcPr>
          <w:p w14:paraId="13D00E30"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10,000</w:t>
            </w:r>
          </w:p>
        </w:tc>
      </w:tr>
      <w:tr w:rsidR="003129FE" w:rsidRPr="0059240B" w14:paraId="3513309A" w14:textId="77777777" w:rsidTr="00B508BD">
        <w:trPr>
          <w:trHeight w:hRule="exact" w:val="397"/>
        </w:trPr>
        <w:tc>
          <w:tcPr>
            <w:tcW w:w="3017" w:type="dxa"/>
            <w:tcBorders>
              <w:top w:val="single" w:sz="6" w:space="0" w:color="000000"/>
              <w:left w:val="single" w:sz="11" w:space="0" w:color="000000"/>
              <w:bottom w:val="single" w:sz="24" w:space="0" w:color="000000"/>
              <w:right w:val="single" w:sz="6" w:space="0" w:color="000000"/>
            </w:tcBorders>
            <w:vAlign w:val="center"/>
          </w:tcPr>
          <w:p w14:paraId="7FCD565B" w14:textId="77777777"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Total Equity Market Value</w:t>
            </w:r>
          </w:p>
        </w:tc>
        <w:tc>
          <w:tcPr>
            <w:tcW w:w="1296" w:type="dxa"/>
            <w:tcBorders>
              <w:top w:val="single" w:sz="6" w:space="0" w:color="000000"/>
              <w:left w:val="single" w:sz="6" w:space="0" w:color="000000"/>
              <w:bottom w:val="single" w:sz="24" w:space="0" w:color="000000"/>
              <w:right w:val="single" w:sz="6" w:space="0" w:color="000000"/>
            </w:tcBorders>
            <w:vAlign w:val="center"/>
          </w:tcPr>
          <w:p w14:paraId="0376F007"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4E2DF8A"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11,000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EA65DF1"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24" w:space="0" w:color="000000"/>
              <w:right w:val="single" w:sz="6" w:space="0" w:color="000000"/>
            </w:tcBorders>
            <w:vAlign w:val="center"/>
          </w:tcPr>
          <w:p w14:paraId="1F6EB1DB"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4" w:space="0" w:color="000000"/>
            </w:tcBorders>
            <w:vAlign w:val="center"/>
          </w:tcPr>
          <w:p w14:paraId="74A9E716"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5,000</w:t>
            </w:r>
          </w:p>
        </w:tc>
      </w:tr>
      <w:tr w:rsidR="003129FE" w:rsidRPr="0059240B" w14:paraId="6E89C1B4" w14:textId="77777777" w:rsidTr="00B508BD">
        <w:trPr>
          <w:trHeight w:hRule="exact" w:val="397"/>
        </w:trPr>
        <w:tc>
          <w:tcPr>
            <w:tcW w:w="3017" w:type="dxa"/>
            <w:tcBorders>
              <w:top w:val="single" w:sz="24" w:space="0" w:color="000000"/>
              <w:left w:val="single" w:sz="4" w:space="0" w:color="000000"/>
              <w:bottom w:val="single" w:sz="6" w:space="0" w:color="000000"/>
              <w:right w:val="single" w:sz="6" w:space="0" w:color="000000"/>
            </w:tcBorders>
            <w:vAlign w:val="center"/>
          </w:tcPr>
          <w:p w14:paraId="3C3C564B" w14:textId="77777777"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Fixed Income % (</w:t>
            </w:r>
            <w:r w:rsidRPr="0059240B">
              <w:rPr>
                <w:rFonts w:ascii="Times New Roman" w:eastAsia="Times New Roman" w:hAnsi="Times New Roman"/>
                <w:i/>
                <w:sz w:val="20"/>
                <w:szCs w:val="20"/>
              </w:rPr>
              <w:t>A</w:t>
            </w:r>
            <w:r w:rsidRPr="0059240B">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6" w:space="0" w:color="000000"/>
            </w:tcBorders>
            <w:vAlign w:val="center"/>
          </w:tcPr>
          <w:p w14:paraId="71C7469F"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33%</w:t>
            </w:r>
          </w:p>
        </w:tc>
        <w:tc>
          <w:tcPr>
            <w:tcW w:w="1296" w:type="dxa"/>
            <w:tcBorders>
              <w:top w:val="single" w:sz="24" w:space="0" w:color="000000"/>
              <w:left w:val="single" w:sz="6" w:space="0" w:color="000000"/>
              <w:bottom w:val="single" w:sz="6" w:space="0" w:color="000000"/>
              <w:right w:val="single" w:sz="6" w:space="0" w:color="000000"/>
            </w:tcBorders>
            <w:vAlign w:val="center"/>
          </w:tcPr>
          <w:p w14:paraId="04ED37A1"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27%</w:t>
            </w:r>
          </w:p>
        </w:tc>
        <w:tc>
          <w:tcPr>
            <w:tcW w:w="1296" w:type="dxa"/>
            <w:tcBorders>
              <w:top w:val="single" w:sz="24" w:space="0" w:color="000000"/>
              <w:left w:val="single" w:sz="6" w:space="0" w:color="000000"/>
              <w:bottom w:val="single" w:sz="6" w:space="0" w:color="000000"/>
              <w:right w:val="single" w:sz="6" w:space="0" w:color="000000"/>
            </w:tcBorders>
            <w:vAlign w:val="center"/>
          </w:tcPr>
          <w:p w14:paraId="1B7BC454"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80%</w:t>
            </w:r>
          </w:p>
        </w:tc>
        <w:tc>
          <w:tcPr>
            <w:tcW w:w="1297" w:type="dxa"/>
            <w:tcBorders>
              <w:top w:val="single" w:sz="24" w:space="0" w:color="000000"/>
              <w:left w:val="single" w:sz="6" w:space="0" w:color="000000"/>
              <w:bottom w:val="single" w:sz="6" w:space="0" w:color="000000"/>
              <w:right w:val="single" w:sz="6" w:space="0" w:color="000000"/>
            </w:tcBorders>
            <w:vAlign w:val="center"/>
          </w:tcPr>
          <w:p w14:paraId="76277DC3"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0%</w:t>
            </w:r>
          </w:p>
        </w:tc>
        <w:tc>
          <w:tcPr>
            <w:tcW w:w="1296" w:type="dxa"/>
            <w:tcBorders>
              <w:top w:val="single" w:sz="24" w:space="0" w:color="000000"/>
              <w:left w:val="single" w:sz="6" w:space="0" w:color="000000"/>
              <w:bottom w:val="single" w:sz="6" w:space="0" w:color="000000"/>
              <w:right w:val="single" w:sz="4" w:space="0" w:color="000000"/>
            </w:tcBorders>
            <w:vAlign w:val="center"/>
          </w:tcPr>
          <w:p w14:paraId="6410AB55"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w:t>
            </w:r>
          </w:p>
        </w:tc>
      </w:tr>
      <w:tr w:rsidR="003129FE" w:rsidRPr="0059240B" w14:paraId="38E87702" w14:textId="77777777" w:rsidTr="00B508BD">
        <w:trPr>
          <w:trHeight w:hRule="exact" w:val="397"/>
        </w:trPr>
        <w:tc>
          <w:tcPr>
            <w:tcW w:w="3017" w:type="dxa"/>
            <w:tcBorders>
              <w:top w:val="single" w:sz="6" w:space="0" w:color="000000"/>
              <w:left w:val="single" w:sz="4" w:space="0" w:color="000000"/>
              <w:bottom w:val="single" w:sz="24" w:space="0" w:color="000000"/>
              <w:right w:val="single" w:sz="6" w:space="0" w:color="000000"/>
            </w:tcBorders>
            <w:vAlign w:val="center"/>
          </w:tcPr>
          <w:p w14:paraId="35D910D3" w14:textId="736AF9E3" w:rsidR="003129FE" w:rsidRPr="0059240B" w:rsidRDefault="003129FE" w:rsidP="00B63E34">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Fixed Income Test (</w:t>
            </w:r>
            <w:r w:rsidRPr="0059240B">
              <w:rPr>
                <w:rFonts w:ascii="Times New Roman" w:eastAsia="Times New Roman" w:hAnsi="Times New Roman"/>
                <w:i/>
                <w:sz w:val="20"/>
                <w:szCs w:val="20"/>
              </w:rPr>
              <w:t xml:space="preserve">A </w:t>
            </w:r>
            <w:r w:rsidRPr="0059240B">
              <w:rPr>
                <w:rFonts w:ascii="Times New Roman" w:eastAsia="Times New Roman" w:hAnsi="Times New Roman"/>
                <w:sz w:val="20"/>
                <w:szCs w:val="20"/>
              </w:rPr>
              <w:t>&gt; 75%)</w:t>
            </w:r>
          </w:p>
        </w:tc>
        <w:tc>
          <w:tcPr>
            <w:tcW w:w="1296" w:type="dxa"/>
            <w:tcBorders>
              <w:top w:val="single" w:sz="6" w:space="0" w:color="000000"/>
              <w:left w:val="single" w:sz="6" w:space="0" w:color="000000"/>
              <w:bottom w:val="single" w:sz="24" w:space="0" w:color="000000"/>
              <w:right w:val="single" w:sz="6" w:space="0" w:color="000000"/>
            </w:tcBorders>
            <w:vAlign w:val="center"/>
          </w:tcPr>
          <w:p w14:paraId="636740FF"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B356862"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1AF220BD"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Yes</w:t>
            </w:r>
          </w:p>
        </w:tc>
        <w:tc>
          <w:tcPr>
            <w:tcW w:w="1297" w:type="dxa"/>
            <w:tcBorders>
              <w:top w:val="single" w:sz="6" w:space="0" w:color="000000"/>
              <w:left w:val="single" w:sz="6" w:space="0" w:color="000000"/>
              <w:bottom w:val="single" w:sz="24" w:space="0" w:color="000000"/>
              <w:right w:val="single" w:sz="6" w:space="0" w:color="000000"/>
            </w:tcBorders>
            <w:vAlign w:val="center"/>
          </w:tcPr>
          <w:p w14:paraId="55DEC1C9"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5DBD0EAA"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No</w:t>
            </w:r>
          </w:p>
        </w:tc>
      </w:tr>
      <w:tr w:rsidR="003129FE" w:rsidRPr="0059240B" w14:paraId="0A594779" w14:textId="77777777" w:rsidTr="00B508BD">
        <w:trPr>
          <w:trHeight w:hRule="exact" w:val="398"/>
        </w:trPr>
        <w:tc>
          <w:tcPr>
            <w:tcW w:w="3017" w:type="dxa"/>
            <w:tcBorders>
              <w:top w:val="single" w:sz="24" w:space="0" w:color="000000"/>
              <w:left w:val="single" w:sz="4" w:space="0" w:color="000000"/>
              <w:bottom w:val="single" w:sz="6" w:space="0" w:color="000000"/>
              <w:right w:val="single" w:sz="6" w:space="0" w:color="000000"/>
            </w:tcBorders>
            <w:vAlign w:val="center"/>
          </w:tcPr>
          <w:p w14:paraId="492A6D1B" w14:textId="77777777"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Aggressive % of Equity (B)</w:t>
            </w:r>
          </w:p>
        </w:tc>
        <w:tc>
          <w:tcPr>
            <w:tcW w:w="1296" w:type="dxa"/>
            <w:tcBorders>
              <w:top w:val="single" w:sz="24" w:space="0" w:color="000000"/>
              <w:left w:val="single" w:sz="6" w:space="0" w:color="000000"/>
              <w:bottom w:val="single" w:sz="6" w:space="0" w:color="000000"/>
              <w:right w:val="single" w:sz="6" w:space="0" w:color="000000"/>
            </w:tcBorders>
            <w:vAlign w:val="center"/>
          </w:tcPr>
          <w:p w14:paraId="7BA8756E"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w:t>
            </w:r>
          </w:p>
        </w:tc>
        <w:tc>
          <w:tcPr>
            <w:tcW w:w="1296" w:type="dxa"/>
            <w:tcBorders>
              <w:top w:val="single" w:sz="24" w:space="0" w:color="000000"/>
              <w:left w:val="single" w:sz="6" w:space="0" w:color="000000"/>
              <w:bottom w:val="single" w:sz="6" w:space="0" w:color="000000"/>
              <w:right w:val="single" w:sz="6" w:space="0" w:color="000000"/>
            </w:tcBorders>
            <w:vAlign w:val="center"/>
          </w:tcPr>
          <w:p w14:paraId="08ADE7E3"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36%</w:t>
            </w:r>
          </w:p>
        </w:tc>
        <w:tc>
          <w:tcPr>
            <w:tcW w:w="1296" w:type="dxa"/>
            <w:tcBorders>
              <w:top w:val="single" w:sz="24" w:space="0" w:color="000000"/>
              <w:left w:val="single" w:sz="6" w:space="0" w:color="000000"/>
              <w:bottom w:val="single" w:sz="6" w:space="0" w:color="000000"/>
              <w:right w:val="single" w:sz="6" w:space="0" w:color="000000"/>
            </w:tcBorders>
            <w:vAlign w:val="center"/>
          </w:tcPr>
          <w:p w14:paraId="12A5AABC"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n/a</w:t>
            </w:r>
          </w:p>
        </w:tc>
        <w:tc>
          <w:tcPr>
            <w:tcW w:w="1297" w:type="dxa"/>
            <w:tcBorders>
              <w:top w:val="single" w:sz="24" w:space="0" w:color="000000"/>
              <w:left w:val="single" w:sz="6" w:space="0" w:color="000000"/>
              <w:bottom w:val="single" w:sz="6" w:space="0" w:color="000000"/>
              <w:right w:val="single" w:sz="6" w:space="0" w:color="000000"/>
            </w:tcBorders>
            <w:vAlign w:val="center"/>
          </w:tcPr>
          <w:p w14:paraId="7893BBC5" w14:textId="6A01656F"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50%</w:t>
            </w:r>
          </w:p>
        </w:tc>
        <w:tc>
          <w:tcPr>
            <w:tcW w:w="1296" w:type="dxa"/>
            <w:tcBorders>
              <w:top w:val="single" w:sz="24" w:space="0" w:color="000000"/>
              <w:left w:val="single" w:sz="6" w:space="0" w:color="000000"/>
              <w:bottom w:val="single" w:sz="6" w:space="0" w:color="000000"/>
              <w:right w:val="single" w:sz="4" w:space="0" w:color="000000"/>
            </w:tcBorders>
            <w:vAlign w:val="center"/>
          </w:tcPr>
          <w:p w14:paraId="56976DB9"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100%</w:t>
            </w:r>
          </w:p>
        </w:tc>
      </w:tr>
      <w:tr w:rsidR="003129FE" w:rsidRPr="0059240B" w14:paraId="464901D9" w14:textId="77777777" w:rsidTr="00B508BD">
        <w:trPr>
          <w:trHeight w:hRule="exact" w:val="498"/>
        </w:trPr>
        <w:tc>
          <w:tcPr>
            <w:tcW w:w="3017" w:type="dxa"/>
            <w:tcBorders>
              <w:top w:val="single" w:sz="6" w:space="0" w:color="000000"/>
              <w:left w:val="single" w:sz="4" w:space="0" w:color="000000"/>
              <w:bottom w:val="single" w:sz="24" w:space="0" w:color="000000"/>
              <w:right w:val="single" w:sz="6" w:space="0" w:color="000000"/>
            </w:tcBorders>
            <w:vAlign w:val="center"/>
          </w:tcPr>
          <w:p w14:paraId="1E17AAB3" w14:textId="529D49C9"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Balanced Test (</w:t>
            </w:r>
            <w:r w:rsidRPr="0059240B">
              <w:rPr>
                <w:rFonts w:ascii="Times New Roman" w:eastAsia="Times New Roman" w:hAnsi="Times New Roman"/>
                <w:i/>
                <w:sz w:val="20"/>
                <w:szCs w:val="20"/>
              </w:rPr>
              <w:t xml:space="preserve">A </w:t>
            </w:r>
            <w:r w:rsidRPr="0059240B">
              <w:rPr>
                <w:rFonts w:ascii="Times New Roman" w:eastAsia="Times New Roman" w:hAnsi="Times New Roman"/>
                <w:sz w:val="20"/>
                <w:szCs w:val="20"/>
              </w:rPr>
              <w:t>&gt; 25% &amp;</w:t>
            </w:r>
          </w:p>
          <w:p w14:paraId="0CFC6248" w14:textId="77248486" w:rsidR="003129FE" w:rsidRPr="0059240B" w:rsidRDefault="003129FE" w:rsidP="00B508BD">
            <w:pPr>
              <w:spacing w:after="0" w:line="240" w:lineRule="auto"/>
              <w:ind w:left="144"/>
              <w:rPr>
                <w:rFonts w:ascii="Times New Roman" w:eastAsia="Times New Roman" w:hAnsi="Times New Roman"/>
                <w:sz w:val="20"/>
                <w:szCs w:val="20"/>
              </w:rPr>
            </w:pPr>
            <w:r w:rsidRPr="0059240B">
              <w:rPr>
                <w:rFonts w:ascii="Times New Roman" w:eastAsia="Times New Roman" w:hAnsi="Times New Roman"/>
                <w:i/>
                <w:sz w:val="20"/>
                <w:szCs w:val="20"/>
              </w:rPr>
              <w:t xml:space="preserve">B </w:t>
            </w:r>
            <w:r w:rsidRPr="0059240B">
              <w:rPr>
                <w:rFonts w:ascii="Times New Roman" w:eastAsia="Times New Roman" w:hAnsi="Times New Roman"/>
                <w:sz w:val="20"/>
                <w:szCs w:val="20"/>
              </w:rPr>
              <w:t>&lt; 33.3%)</w:t>
            </w:r>
          </w:p>
        </w:tc>
        <w:tc>
          <w:tcPr>
            <w:tcW w:w="1296" w:type="dxa"/>
            <w:tcBorders>
              <w:top w:val="single" w:sz="6" w:space="0" w:color="000000"/>
              <w:left w:val="single" w:sz="6" w:space="0" w:color="000000"/>
              <w:bottom w:val="single" w:sz="24" w:space="0" w:color="000000"/>
              <w:right w:val="single" w:sz="6" w:space="0" w:color="000000"/>
            </w:tcBorders>
            <w:vAlign w:val="center"/>
          </w:tcPr>
          <w:p w14:paraId="4953220C"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Yes</w:t>
            </w:r>
          </w:p>
        </w:tc>
        <w:tc>
          <w:tcPr>
            <w:tcW w:w="1296" w:type="dxa"/>
            <w:tcBorders>
              <w:top w:val="single" w:sz="6" w:space="0" w:color="000000"/>
              <w:left w:val="single" w:sz="6" w:space="0" w:color="000000"/>
              <w:bottom w:val="single" w:sz="24" w:space="0" w:color="000000"/>
              <w:right w:val="single" w:sz="6" w:space="0" w:color="000000"/>
            </w:tcBorders>
            <w:vAlign w:val="center"/>
          </w:tcPr>
          <w:p w14:paraId="154E018D"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6C9E33DE"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n/a</w:t>
            </w:r>
          </w:p>
        </w:tc>
        <w:tc>
          <w:tcPr>
            <w:tcW w:w="1297" w:type="dxa"/>
            <w:tcBorders>
              <w:top w:val="single" w:sz="6" w:space="0" w:color="000000"/>
              <w:left w:val="single" w:sz="6" w:space="0" w:color="000000"/>
              <w:bottom w:val="single" w:sz="24" w:space="0" w:color="000000"/>
              <w:right w:val="single" w:sz="6" w:space="0" w:color="000000"/>
            </w:tcBorders>
            <w:vAlign w:val="center"/>
          </w:tcPr>
          <w:p w14:paraId="0C38CDF4"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7A41B851"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No</w:t>
            </w:r>
          </w:p>
        </w:tc>
      </w:tr>
      <w:tr w:rsidR="003129FE" w:rsidRPr="0059240B" w14:paraId="1693C048" w14:textId="77777777" w:rsidTr="00B508BD">
        <w:trPr>
          <w:trHeight w:hRule="exact" w:val="498"/>
        </w:trPr>
        <w:tc>
          <w:tcPr>
            <w:tcW w:w="3017" w:type="dxa"/>
            <w:tcBorders>
              <w:top w:val="single" w:sz="24" w:space="0" w:color="000000"/>
              <w:left w:val="single" w:sz="11" w:space="0" w:color="000000"/>
              <w:bottom w:val="single" w:sz="6" w:space="0" w:color="000000"/>
              <w:right w:val="single" w:sz="6" w:space="0" w:color="000000"/>
            </w:tcBorders>
            <w:vAlign w:val="center"/>
          </w:tcPr>
          <w:p w14:paraId="79D8B693" w14:textId="77777777" w:rsidR="003129FE" w:rsidRPr="0059240B" w:rsidRDefault="003129FE" w:rsidP="00B508BD">
            <w:pPr>
              <w:tabs>
                <w:tab w:val="left" w:pos="1200"/>
                <w:tab w:val="left" w:pos="1640"/>
                <w:tab w:val="left" w:pos="2540"/>
              </w:tabs>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Volatility of Current Fund Holdings</w:t>
            </w:r>
          </w:p>
        </w:tc>
        <w:tc>
          <w:tcPr>
            <w:tcW w:w="1296" w:type="dxa"/>
            <w:tcBorders>
              <w:top w:val="single" w:sz="24" w:space="0" w:color="000000"/>
              <w:left w:val="single" w:sz="6" w:space="0" w:color="000000"/>
              <w:bottom w:val="single" w:sz="6" w:space="0" w:color="000000"/>
              <w:right w:val="single" w:sz="6" w:space="0" w:color="000000"/>
            </w:tcBorders>
            <w:vAlign w:val="center"/>
          </w:tcPr>
          <w:p w14:paraId="09E10FF4"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10.9%</w:t>
            </w:r>
          </w:p>
        </w:tc>
        <w:tc>
          <w:tcPr>
            <w:tcW w:w="1296" w:type="dxa"/>
            <w:tcBorders>
              <w:top w:val="single" w:sz="24" w:space="0" w:color="000000"/>
              <w:left w:val="single" w:sz="6" w:space="0" w:color="000000"/>
              <w:bottom w:val="single" w:sz="6" w:space="0" w:color="000000"/>
              <w:right w:val="single" w:sz="6" w:space="0" w:color="000000"/>
            </w:tcBorders>
            <w:vAlign w:val="center"/>
          </w:tcPr>
          <w:p w14:paraId="1A2DC282"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13.2%</w:t>
            </w:r>
          </w:p>
        </w:tc>
        <w:tc>
          <w:tcPr>
            <w:tcW w:w="1296" w:type="dxa"/>
            <w:tcBorders>
              <w:top w:val="single" w:sz="24" w:space="0" w:color="000000"/>
              <w:left w:val="single" w:sz="6" w:space="0" w:color="000000"/>
              <w:bottom w:val="single" w:sz="6" w:space="0" w:color="000000"/>
              <w:right w:val="single" w:sz="6" w:space="0" w:color="000000"/>
            </w:tcBorders>
            <w:vAlign w:val="center"/>
          </w:tcPr>
          <w:p w14:paraId="688BB7E9"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5.3%</w:t>
            </w:r>
          </w:p>
        </w:tc>
        <w:tc>
          <w:tcPr>
            <w:tcW w:w="1297" w:type="dxa"/>
            <w:tcBorders>
              <w:top w:val="single" w:sz="24" w:space="0" w:color="000000"/>
              <w:left w:val="single" w:sz="6" w:space="0" w:color="000000"/>
              <w:bottom w:val="single" w:sz="6" w:space="0" w:color="000000"/>
              <w:right w:val="single" w:sz="6" w:space="0" w:color="000000"/>
            </w:tcBorders>
            <w:vAlign w:val="center"/>
          </w:tcPr>
          <w:p w14:paraId="531B58CF"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19.2%</w:t>
            </w:r>
          </w:p>
        </w:tc>
        <w:tc>
          <w:tcPr>
            <w:tcW w:w="1296" w:type="dxa"/>
            <w:tcBorders>
              <w:top w:val="single" w:sz="24" w:space="0" w:color="000000"/>
              <w:left w:val="single" w:sz="6" w:space="0" w:color="000000"/>
              <w:bottom w:val="single" w:sz="6" w:space="0" w:color="000000"/>
              <w:right w:val="single" w:sz="4" w:space="0" w:color="000000"/>
            </w:tcBorders>
            <w:vAlign w:val="center"/>
          </w:tcPr>
          <w:p w14:paraId="5B2ADE01" w14:textId="77777777" w:rsidR="003129FE" w:rsidRPr="0059240B" w:rsidRDefault="003129FE" w:rsidP="00B508BD">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sz w:val="20"/>
                <w:szCs w:val="20"/>
              </w:rPr>
              <w:t>13.4%</w:t>
            </w:r>
          </w:p>
        </w:tc>
      </w:tr>
    </w:tbl>
    <w:p w14:paraId="3D443D8F" w14:textId="77777777" w:rsidR="003129FE" w:rsidRPr="0059240B" w:rsidRDefault="003129FE" w:rsidP="004E4618">
      <w:pPr>
        <w:spacing w:after="0" w:line="240" w:lineRule="auto"/>
        <w:rPr>
          <w:rFonts w:ascii="Times New Roman" w:eastAsia="Times New Roman" w:hAnsi="Times New Roman"/>
          <w:sz w:val="20"/>
          <w:szCs w:val="20"/>
        </w:rPr>
      </w:pPr>
    </w:p>
    <w:tbl>
      <w:tblPr>
        <w:tblW w:w="9498" w:type="dxa"/>
        <w:tblInd w:w="315"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59240B" w14:paraId="677E8CC5" w14:textId="77777777" w:rsidTr="00063E8C">
        <w:trPr>
          <w:trHeight w:hRule="exact" w:val="384"/>
        </w:trPr>
        <w:tc>
          <w:tcPr>
            <w:tcW w:w="3017" w:type="dxa"/>
            <w:tcBorders>
              <w:top w:val="single" w:sz="6" w:space="0" w:color="000000"/>
              <w:left w:val="single" w:sz="11" w:space="0" w:color="000000"/>
              <w:bottom w:val="single" w:sz="12" w:space="0" w:color="000000"/>
              <w:right w:val="single" w:sz="6" w:space="0" w:color="000000"/>
            </w:tcBorders>
            <w:vAlign w:val="center"/>
          </w:tcPr>
          <w:p w14:paraId="7DFA61A6" w14:textId="77777777" w:rsidR="003129FE" w:rsidRPr="0059240B" w:rsidRDefault="003129FE" w:rsidP="004E4618">
            <w:pPr>
              <w:spacing w:after="0" w:line="240" w:lineRule="auto"/>
              <w:ind w:left="144"/>
              <w:rPr>
                <w:rFonts w:ascii="Times New Roman" w:eastAsia="Times New Roman" w:hAnsi="Times New Roman"/>
                <w:sz w:val="20"/>
                <w:szCs w:val="20"/>
              </w:rPr>
            </w:pPr>
            <w:r w:rsidRPr="0059240B">
              <w:rPr>
                <w:rFonts w:ascii="Times New Roman" w:eastAsia="Times New Roman" w:hAnsi="Times New Roman"/>
                <w:sz w:val="20"/>
                <w:szCs w:val="20"/>
              </w:rPr>
              <w:t>Fund Classification</w:t>
            </w:r>
          </w:p>
        </w:tc>
        <w:tc>
          <w:tcPr>
            <w:tcW w:w="1296" w:type="dxa"/>
            <w:tcBorders>
              <w:top w:val="single" w:sz="6" w:space="0" w:color="000000"/>
              <w:left w:val="single" w:sz="6" w:space="0" w:color="000000"/>
              <w:bottom w:val="single" w:sz="12" w:space="0" w:color="000000"/>
              <w:right w:val="single" w:sz="6" w:space="0" w:color="000000"/>
            </w:tcBorders>
            <w:vAlign w:val="center"/>
          </w:tcPr>
          <w:p w14:paraId="0981212F" w14:textId="77777777" w:rsidR="003129FE" w:rsidRPr="0059240B" w:rsidRDefault="003129FE" w:rsidP="004E4618">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Balanced</w:t>
            </w:r>
          </w:p>
        </w:tc>
        <w:tc>
          <w:tcPr>
            <w:tcW w:w="1296" w:type="dxa"/>
            <w:tcBorders>
              <w:top w:val="single" w:sz="6" w:space="0" w:color="000000"/>
              <w:left w:val="single" w:sz="6" w:space="0" w:color="000000"/>
              <w:bottom w:val="single" w:sz="12" w:space="0" w:color="000000"/>
              <w:right w:val="single" w:sz="6" w:space="0" w:color="000000"/>
            </w:tcBorders>
            <w:vAlign w:val="center"/>
          </w:tcPr>
          <w:p w14:paraId="39E2AF90" w14:textId="77777777" w:rsidR="003129FE" w:rsidRPr="0059240B" w:rsidRDefault="003129FE" w:rsidP="004E4618">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Diversified</w:t>
            </w:r>
            <w:r w:rsidRPr="0059240B">
              <w:rPr>
                <w:rStyle w:val="FootnoteReference"/>
                <w:rFonts w:ascii="Times New Roman" w:hAnsi="Times New Roman"/>
                <w:b/>
                <w:sz w:val="20"/>
              </w:rPr>
              <w:footnoteReference w:id="3"/>
            </w:r>
          </w:p>
        </w:tc>
        <w:tc>
          <w:tcPr>
            <w:tcW w:w="1296" w:type="dxa"/>
            <w:tcBorders>
              <w:top w:val="single" w:sz="6" w:space="0" w:color="000000"/>
              <w:left w:val="single" w:sz="6" w:space="0" w:color="000000"/>
              <w:bottom w:val="single" w:sz="12" w:space="0" w:color="000000"/>
              <w:right w:val="single" w:sz="6" w:space="0" w:color="000000"/>
            </w:tcBorders>
            <w:vAlign w:val="center"/>
          </w:tcPr>
          <w:p w14:paraId="4875F696" w14:textId="77777777" w:rsidR="003129FE" w:rsidRPr="0059240B" w:rsidRDefault="003129FE" w:rsidP="004E4618">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Fixed Income</w:t>
            </w:r>
          </w:p>
        </w:tc>
        <w:tc>
          <w:tcPr>
            <w:tcW w:w="1297" w:type="dxa"/>
            <w:tcBorders>
              <w:top w:val="single" w:sz="6" w:space="0" w:color="000000"/>
              <w:left w:val="single" w:sz="6" w:space="0" w:color="000000"/>
              <w:bottom w:val="single" w:sz="12" w:space="0" w:color="000000"/>
              <w:right w:val="single" w:sz="6" w:space="0" w:color="000000"/>
            </w:tcBorders>
            <w:vAlign w:val="center"/>
          </w:tcPr>
          <w:p w14:paraId="7081B912" w14:textId="77777777" w:rsidR="003129FE" w:rsidRPr="0059240B" w:rsidRDefault="003129FE" w:rsidP="004E4618">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Intermediate</w:t>
            </w:r>
          </w:p>
        </w:tc>
        <w:tc>
          <w:tcPr>
            <w:tcW w:w="1296" w:type="dxa"/>
            <w:tcBorders>
              <w:top w:val="single" w:sz="6" w:space="0" w:color="000000"/>
              <w:left w:val="single" w:sz="6" w:space="0" w:color="000000"/>
              <w:bottom w:val="single" w:sz="12" w:space="0" w:color="000000"/>
              <w:right w:val="single" w:sz="4" w:space="0" w:color="000000"/>
            </w:tcBorders>
            <w:vAlign w:val="center"/>
          </w:tcPr>
          <w:p w14:paraId="3BA5ECE9" w14:textId="77777777" w:rsidR="003129FE" w:rsidRPr="0059240B" w:rsidRDefault="003129FE" w:rsidP="004E4618">
            <w:pPr>
              <w:spacing w:after="0" w:line="240" w:lineRule="auto"/>
              <w:jc w:val="center"/>
              <w:rPr>
                <w:rFonts w:ascii="Times New Roman" w:eastAsia="Times New Roman" w:hAnsi="Times New Roman"/>
                <w:sz w:val="20"/>
                <w:szCs w:val="20"/>
              </w:rPr>
            </w:pPr>
            <w:r w:rsidRPr="0059240B">
              <w:rPr>
                <w:rFonts w:ascii="Times New Roman" w:eastAsia="Times New Roman" w:hAnsi="Times New Roman"/>
                <w:b/>
                <w:bCs/>
                <w:sz w:val="20"/>
                <w:szCs w:val="20"/>
              </w:rPr>
              <w:t>Diversified</w:t>
            </w:r>
          </w:p>
        </w:tc>
      </w:tr>
    </w:tbl>
    <w:p w14:paraId="7CEB5182" w14:textId="77777777" w:rsidR="003129FE" w:rsidRPr="0059240B" w:rsidRDefault="003129FE" w:rsidP="004E4618">
      <w:pPr>
        <w:tabs>
          <w:tab w:val="left" w:pos="2260"/>
        </w:tabs>
        <w:spacing w:after="0" w:line="240" w:lineRule="auto"/>
        <w:jc w:val="both"/>
        <w:rPr>
          <w:rFonts w:ascii="Times New Roman" w:eastAsia="Times New Roman" w:hAnsi="Times New Roman"/>
          <w:sz w:val="12"/>
          <w:szCs w:val="12"/>
        </w:rPr>
      </w:pPr>
    </w:p>
    <w:p w14:paraId="6AA2D04D" w14:textId="77777777" w:rsidR="003129FE" w:rsidRPr="0059240B" w:rsidRDefault="003129FE" w:rsidP="004E4618">
      <w:pPr>
        <w:tabs>
          <w:tab w:val="left" w:pos="2260"/>
        </w:tabs>
        <w:spacing w:after="120" w:line="240" w:lineRule="auto"/>
        <w:ind w:left="360"/>
        <w:rPr>
          <w:rFonts w:ascii="Times New Roman" w:eastAsia="Times New Roman" w:hAnsi="Times New Roman"/>
        </w:rPr>
      </w:pPr>
    </w:p>
    <w:p w14:paraId="031DFF5B" w14:textId="77777777" w:rsidR="003129FE" w:rsidRPr="0059240B" w:rsidRDefault="003129FE" w:rsidP="004E4618">
      <w:pPr>
        <w:tabs>
          <w:tab w:val="left" w:pos="2260"/>
        </w:tabs>
        <w:spacing w:after="220" w:line="240" w:lineRule="auto"/>
        <w:ind w:left="360"/>
        <w:rPr>
          <w:rFonts w:ascii="Times New Roman" w:eastAsia="Times New Roman" w:hAnsi="Times New Roman"/>
        </w:rPr>
      </w:pPr>
      <w:r w:rsidRPr="0059240B">
        <w:rPr>
          <w:rFonts w:ascii="Times New Roman" w:eastAsia="Times New Roman" w:hAnsi="Times New Roman"/>
        </w:rPr>
        <w:t xml:space="preserve">As an example, the “volatility of current fund holdings” for contract #1 is calculated as </w:t>
      </w:r>
      <m:oMath>
        <m:rad>
          <m:radPr>
            <m:degHide m:val="1"/>
            <m:ctrlPr>
              <w:rPr>
                <w:rFonts w:ascii="Cambria Math" w:eastAsia="Times New Roman" w:hAnsi="Cambria Math"/>
                <w:i/>
              </w:rPr>
            </m:ctrlPr>
          </m:radPr>
          <m:deg/>
          <m:e>
            <m:r>
              <w:rPr>
                <w:rFonts w:ascii="Cambria Math" w:eastAsia="Times New Roman" w:hAnsi="Cambria Math"/>
              </w:rPr>
              <m:t>A+B</m:t>
            </m:r>
          </m:e>
        </m:rad>
      </m:oMath>
      <w:r w:rsidRPr="0059240B">
        <w:rPr>
          <w:rFonts w:ascii="Times New Roman" w:eastAsia="Times New Roman" w:hAnsi="Times New Roman"/>
        </w:rPr>
        <w:t xml:space="preserve"> where:</w:t>
      </w:r>
    </w:p>
    <w:p w14:paraId="3E10E0D0" w14:textId="7F3D1A91" w:rsidR="00AD6FC0" w:rsidRPr="0059240B" w:rsidRDefault="00666F6E" w:rsidP="00AD6FC0">
      <w:pPr>
        <w:tabs>
          <w:tab w:val="left" w:pos="2260"/>
        </w:tabs>
        <w:spacing w:after="220" w:line="240" w:lineRule="auto"/>
        <w:ind w:left="360"/>
        <w:jc w:val="both"/>
        <w:rPr>
          <w:rFonts w:ascii="Times New Roman" w:eastAsia="Times New Roman" w:hAnsi="Times New Roman"/>
        </w:rPr>
      </w:pPr>
      <w:r w:rsidRPr="0059240B">
        <w:rPr>
          <w:rFonts w:ascii="Times New Roman" w:eastAsia="Times New Roman" w:hAnsi="Times New Roman"/>
        </w:rPr>
        <w:t xml:space="preserve">A=.0092 and B=.0026: </w:t>
      </w:r>
      <w:r w:rsidR="00AD6FC0" w:rsidRPr="0059240B">
        <w:rPr>
          <w:rFonts w:ascii="Times New Roman" w:eastAsia="Times New Roman" w:hAnsi="Times New Roman"/>
        </w:rPr>
        <w:t xml:space="preserve">So, the volatility for contract #1 = </w:t>
      </w:r>
      <m:oMath>
        <m:rad>
          <m:radPr>
            <m:degHide m:val="1"/>
            <m:ctrlPr>
              <w:rPr>
                <w:rFonts w:ascii="Cambria Math" w:eastAsia="Times New Roman" w:hAnsi="Cambria Math"/>
                <w:i/>
              </w:rPr>
            </m:ctrlPr>
          </m:radPr>
          <m:deg/>
          <m:e>
            <m:r>
              <w:rPr>
                <w:rFonts w:ascii="Cambria Math" w:eastAsia="Times New Roman" w:hAnsi="Cambria Math"/>
              </w:rPr>
              <m:t>0.0092</m:t>
            </m:r>
            <m:r>
              <m:rPr>
                <m:sty m:val="p"/>
              </m:rPr>
              <w:rPr>
                <w:rFonts w:ascii="Cambria Math" w:eastAsia="Times New Roman" w:hAnsi="Cambria Math"/>
              </w:rPr>
              <m:t>+</m:t>
            </m:r>
            <m:r>
              <w:rPr>
                <w:rFonts w:ascii="Cambria Math" w:eastAsia="Times New Roman" w:hAnsi="Cambria Math"/>
              </w:rPr>
              <m:t>0.0026</m:t>
            </m:r>
          </m:e>
        </m:rad>
      </m:oMath>
      <w:r w:rsidR="00AD6FC0" w:rsidRPr="0059240B">
        <w:rPr>
          <w:rFonts w:ascii="Times New Roman" w:eastAsia="Times New Roman" w:hAnsi="Times New Roman"/>
        </w:rPr>
        <w:t xml:space="preserve"> = 0.109 or 10.9%</w:t>
      </w:r>
    </w:p>
    <w:p w14:paraId="751A31A3" w14:textId="77777777" w:rsidR="00A11AEF" w:rsidRPr="0059240B" w:rsidRDefault="00A11AEF" w:rsidP="0021502F">
      <w:pPr>
        <w:spacing w:after="220" w:line="240" w:lineRule="auto"/>
        <w:ind w:left="720" w:hanging="720"/>
        <w:rPr>
          <w:rFonts w:ascii="Times New Roman" w:eastAsia="Times New Roman" w:hAnsi="Times New Roman"/>
          <w:sz w:val="20"/>
          <w:szCs w:val="20"/>
        </w:rPr>
      </w:pPr>
    </w:p>
    <w:p w14:paraId="2BF2A9E9" w14:textId="057859D0" w:rsidR="003129FE" w:rsidRPr="0059240B" w:rsidRDefault="003129FE" w:rsidP="0021502F">
      <w:pPr>
        <w:spacing w:after="220" w:line="240" w:lineRule="auto"/>
        <w:ind w:left="720" w:hanging="720"/>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Tables</w:t>
      </w:r>
    </w:p>
    <w:p w14:paraId="176D1362" w14:textId="5C059AF3" w:rsidR="003129FE" w:rsidRPr="0059240B" w:rsidRDefault="003129FE" w:rsidP="0021502F">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 xml:space="preserve">Liability Modeling Assumptions and Product Characteristics used for </w:t>
      </w:r>
      <w:r w:rsidRPr="0059240B">
        <w:rPr>
          <w:rFonts w:ascii="Times New Roman" w:eastAsia="Times New Roman" w:hAnsi="Times New Roman"/>
          <w:i/>
        </w:rPr>
        <w:t xml:space="preserve">GC </w:t>
      </w:r>
      <w:r w:rsidRPr="0059240B">
        <w:rPr>
          <w:rFonts w:ascii="Times New Roman" w:eastAsia="Times New Roman" w:hAnsi="Times New Roman"/>
        </w:rPr>
        <w:t>Factors</w:t>
      </w:r>
    </w:p>
    <w:p w14:paraId="0B1FD8B2" w14:textId="5E1652D0" w:rsidR="00F551D1" w:rsidRPr="0059240B" w:rsidRDefault="00F551D1" w:rsidP="0021502F">
      <w:pPr>
        <w:spacing w:after="220" w:line="240" w:lineRule="auto"/>
        <w:ind w:left="1440" w:hanging="720"/>
        <w:rPr>
          <w:rFonts w:ascii="Times New Roman" w:eastAsia="Times New Roman" w:hAnsi="Times New Roman"/>
        </w:rPr>
      </w:pPr>
      <w:r w:rsidRPr="0059240B">
        <w:rPr>
          <w:rFonts w:ascii="Times New Roman" w:eastAsia="Times New Roman" w:hAnsi="Times New Roman"/>
        </w:rPr>
        <w:t>Table 7.</w:t>
      </w:r>
      <w:r w:rsidR="00AD6FC0" w:rsidRPr="0059240B">
        <w:rPr>
          <w:rFonts w:ascii="Times New Roman" w:eastAsia="Times New Roman" w:hAnsi="Times New Roman"/>
        </w:rPr>
        <w:t>4</w:t>
      </w:r>
      <w:r w:rsidRPr="0059240B">
        <w:rPr>
          <w:rFonts w:ascii="Times New Roman" w:eastAsia="Times New Roman" w:hAnsi="Times New Roman"/>
        </w:rPr>
        <w:t xml:space="preserve">: Liability Modeling Assumptions and Product Characteristics used for </w:t>
      </w:r>
      <w:r w:rsidRPr="0059240B">
        <w:rPr>
          <w:rFonts w:ascii="Times New Roman" w:eastAsia="Times New Roman" w:hAnsi="Times New Roman"/>
          <w:i/>
        </w:rPr>
        <w:t xml:space="preserve">GC </w:t>
      </w:r>
      <w:r w:rsidRPr="0059240B">
        <w:rPr>
          <w:rFonts w:ascii="Times New Roman" w:eastAsia="Times New Roman" w:hAnsi="Times New Roman"/>
        </w:rPr>
        <w:t>Factors</w:t>
      </w:r>
    </w:p>
    <w:tbl>
      <w:tblPr>
        <w:tblW w:w="9080" w:type="dxa"/>
        <w:tblInd w:w="108" w:type="dxa"/>
        <w:tblLayout w:type="fixed"/>
        <w:tblCellMar>
          <w:left w:w="0" w:type="dxa"/>
          <w:right w:w="0" w:type="dxa"/>
        </w:tblCellMar>
        <w:tblLook w:val="01E0" w:firstRow="1" w:lastRow="1" w:firstColumn="1" w:lastColumn="1" w:noHBand="0" w:noVBand="0"/>
      </w:tblPr>
      <w:tblGrid>
        <w:gridCol w:w="2330"/>
        <w:gridCol w:w="6750"/>
      </w:tblGrid>
      <w:tr w:rsidR="003129FE" w:rsidRPr="0059240B" w14:paraId="164BE315"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E8D51DF"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Asset Based Charges</w:t>
            </w:r>
          </w:p>
          <w:p w14:paraId="1E8AA57D"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(MER)</w:t>
            </w:r>
          </w:p>
        </w:tc>
        <w:tc>
          <w:tcPr>
            <w:tcW w:w="6750" w:type="dxa"/>
            <w:tcBorders>
              <w:top w:val="single" w:sz="6" w:space="0" w:color="000000"/>
              <w:left w:val="single" w:sz="6" w:space="0" w:color="000000"/>
              <w:bottom w:val="single" w:sz="6" w:space="0" w:color="000000"/>
              <w:right w:val="single" w:sz="6" w:space="0" w:color="000000"/>
            </w:tcBorders>
            <w:vAlign w:val="center"/>
          </w:tcPr>
          <w:p w14:paraId="47FB7F35" w14:textId="1973DD0B" w:rsidR="003129FE" w:rsidRPr="0059240B" w:rsidRDefault="003129FE" w:rsidP="004E4618">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Vary by fund class. See Section 7.E.2.</w:t>
            </w:r>
          </w:p>
        </w:tc>
      </w:tr>
      <w:tr w:rsidR="003129FE" w:rsidRPr="0059240B" w14:paraId="10A1946A"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8535366"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lastRenderedPageBreak/>
              <w:t>Base Margin Offset</w:t>
            </w:r>
          </w:p>
        </w:tc>
        <w:tc>
          <w:tcPr>
            <w:tcW w:w="6750" w:type="dxa"/>
            <w:tcBorders>
              <w:top w:val="single" w:sz="6" w:space="0" w:color="000000"/>
              <w:left w:val="single" w:sz="6" w:space="0" w:color="000000"/>
              <w:bottom w:val="single" w:sz="6" w:space="0" w:color="000000"/>
              <w:right w:val="single" w:sz="6" w:space="0" w:color="000000"/>
            </w:tcBorders>
            <w:vAlign w:val="center"/>
          </w:tcPr>
          <w:p w14:paraId="2FB367CB" w14:textId="77777777" w:rsidR="003129FE" w:rsidRPr="0059240B" w:rsidRDefault="003129FE" w:rsidP="00582195">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100 bps per annum.</w:t>
            </w:r>
          </w:p>
        </w:tc>
      </w:tr>
      <w:tr w:rsidR="003129FE" w:rsidRPr="0059240B" w14:paraId="72FAB28E" w14:textId="77777777" w:rsidTr="00B508BD">
        <w:trPr>
          <w:trHeight w:hRule="exact" w:val="2366"/>
        </w:trPr>
        <w:tc>
          <w:tcPr>
            <w:tcW w:w="2330" w:type="dxa"/>
            <w:tcBorders>
              <w:top w:val="single" w:sz="6" w:space="0" w:color="000000"/>
              <w:left w:val="single" w:sz="6" w:space="0" w:color="000000"/>
              <w:bottom w:val="single" w:sz="6" w:space="0" w:color="000000"/>
              <w:right w:val="single" w:sz="6" w:space="0" w:color="000000"/>
            </w:tcBorders>
            <w:vAlign w:val="center"/>
          </w:tcPr>
          <w:p w14:paraId="21C76CCB"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GMDB Description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AA569C1" w14:textId="77777777" w:rsidR="003129FE" w:rsidRPr="0059240B" w:rsidRDefault="003129FE" w:rsidP="00B508BD">
            <w:pPr>
              <w:tabs>
                <w:tab w:val="left" w:pos="47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1.</w:t>
            </w:r>
            <w:r w:rsidRPr="0059240B">
              <w:rPr>
                <w:rFonts w:ascii="Times New Roman" w:eastAsia="Times New Roman" w:hAnsi="Times New Roman"/>
                <w:sz w:val="20"/>
                <w:szCs w:val="20"/>
              </w:rPr>
              <w:tab/>
              <w:t>ROP = return of premium.</w:t>
            </w:r>
          </w:p>
          <w:p w14:paraId="36D7124A" w14:textId="0CF39C8E" w:rsidR="003129FE" w:rsidRPr="0059240B"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2.</w:t>
            </w:r>
            <w:r w:rsidRPr="0059240B">
              <w:rPr>
                <w:rFonts w:ascii="Times New Roman" w:eastAsia="Times New Roman" w:hAnsi="Times New Roman"/>
                <w:sz w:val="20"/>
                <w:szCs w:val="20"/>
              </w:rPr>
              <w:tab/>
              <w:t>ROLL3 = 3% roll-up, capped at 2.5×premium, frozen at age 80.</w:t>
            </w:r>
          </w:p>
          <w:p w14:paraId="73E5806A" w14:textId="78C9B7D8" w:rsidR="003129FE" w:rsidRPr="0059240B"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3.</w:t>
            </w:r>
            <w:r w:rsidRPr="0059240B">
              <w:rPr>
                <w:rFonts w:ascii="Times New Roman" w:eastAsia="Times New Roman" w:hAnsi="Times New Roman"/>
                <w:sz w:val="20"/>
                <w:szCs w:val="20"/>
              </w:rPr>
              <w:tab/>
              <w:t>ROLL5 = 5% roll-up, capped at 2.5×premium, frozen at age 80.</w:t>
            </w:r>
          </w:p>
          <w:p w14:paraId="467C530D" w14:textId="77777777" w:rsidR="003129FE" w:rsidRPr="0059240B" w:rsidRDefault="003129FE" w:rsidP="00B508BD">
            <w:pPr>
              <w:tabs>
                <w:tab w:val="left" w:pos="47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4.</w:t>
            </w:r>
            <w:r w:rsidRPr="0059240B">
              <w:rPr>
                <w:rFonts w:ascii="Times New Roman" w:eastAsia="Times New Roman" w:hAnsi="Times New Roman"/>
                <w:sz w:val="20"/>
                <w:szCs w:val="20"/>
              </w:rPr>
              <w:tab/>
              <w:t>MAV = annual ratchet (maximum anniversary value), frozen at age 80.</w:t>
            </w:r>
          </w:p>
          <w:p w14:paraId="2A8AECF8" w14:textId="6D9EC583" w:rsidR="003129FE" w:rsidRPr="0059240B" w:rsidRDefault="003129FE" w:rsidP="00B508BD">
            <w:pPr>
              <w:tabs>
                <w:tab w:val="left" w:pos="47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5.</w:t>
            </w:r>
            <w:r w:rsidRPr="0059240B">
              <w:rPr>
                <w:rFonts w:ascii="Times New Roman" w:eastAsia="Times New Roman" w:hAnsi="Times New Roman"/>
                <w:sz w:val="20"/>
                <w:szCs w:val="20"/>
              </w:rPr>
              <w:tab/>
              <w:t>HIGH = higher of 5% roll-up and annual ratchet.</w:t>
            </w:r>
          </w:p>
          <w:p w14:paraId="2EB1B85E" w14:textId="7F0C3017" w:rsidR="003129FE" w:rsidRPr="0059240B" w:rsidRDefault="003129FE" w:rsidP="00BC37FB">
            <w:pPr>
              <w:tabs>
                <w:tab w:val="left" w:pos="800"/>
              </w:tabs>
              <w:spacing w:after="0" w:line="240" w:lineRule="auto"/>
              <w:ind w:left="475" w:hanging="403"/>
              <w:rPr>
                <w:rFonts w:ascii="Times New Roman" w:eastAsia="Times New Roman" w:hAnsi="Times New Roman"/>
                <w:sz w:val="20"/>
                <w:szCs w:val="20"/>
              </w:rPr>
            </w:pPr>
            <w:r w:rsidRPr="0059240B">
              <w:rPr>
                <w:rFonts w:ascii="Times New Roman" w:eastAsia="Times New Roman" w:hAnsi="Times New Roman"/>
                <w:sz w:val="20"/>
                <w:szCs w:val="20"/>
              </w:rPr>
              <w:t>6.</w:t>
            </w:r>
            <w:r w:rsidRPr="0059240B">
              <w:rPr>
                <w:rFonts w:ascii="Times New Roman" w:eastAsia="Times New Roman" w:hAnsi="Times New Roman"/>
                <w:sz w:val="20"/>
                <w:szCs w:val="20"/>
              </w:rPr>
              <w:tab/>
              <w:t>EDB = 40% enhanced death benefit (capped at 40% of deposit). Note that the pre-calculated factors were originally calculated with a combined ROP benefit, but they have been adjusted to remove the effect of the ROP. Thus, the factors for this benefit five are solely for the EDB.</w:t>
            </w:r>
          </w:p>
        </w:tc>
      </w:tr>
      <w:tr w:rsidR="003129FE" w:rsidRPr="0059240B" w14:paraId="0396318E"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6A0EB92"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Adjustment to GMDB Upon Partial Withdrawal</w:t>
            </w:r>
          </w:p>
        </w:tc>
        <w:tc>
          <w:tcPr>
            <w:tcW w:w="6750" w:type="dxa"/>
            <w:tcBorders>
              <w:top w:val="single" w:sz="6" w:space="0" w:color="000000"/>
              <w:left w:val="single" w:sz="6" w:space="0" w:color="000000"/>
              <w:bottom w:val="single" w:sz="6" w:space="0" w:color="000000"/>
              <w:right w:val="single" w:sz="6" w:space="0" w:color="000000"/>
            </w:tcBorders>
            <w:vAlign w:val="center"/>
          </w:tcPr>
          <w:p w14:paraId="367A0ECA" w14:textId="77777777" w:rsidR="003129FE" w:rsidRPr="0059240B" w:rsidRDefault="003129FE" w:rsidP="00BC37FB">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Separate factors for “pro-rata by market value” and “dollar-for-dollar.”</w:t>
            </w:r>
          </w:p>
        </w:tc>
      </w:tr>
      <w:tr w:rsidR="003129FE" w:rsidRPr="0059240B" w14:paraId="2A1073C8"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3F7C3B8"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Surrender Charges</w:t>
            </w:r>
          </w:p>
        </w:tc>
        <w:tc>
          <w:tcPr>
            <w:tcW w:w="6750" w:type="dxa"/>
            <w:tcBorders>
              <w:top w:val="single" w:sz="6" w:space="0" w:color="000000"/>
              <w:left w:val="single" w:sz="6" w:space="0" w:color="000000"/>
              <w:bottom w:val="single" w:sz="6" w:space="0" w:color="000000"/>
              <w:right w:val="single" w:sz="6" w:space="0" w:color="000000"/>
            </w:tcBorders>
            <w:vAlign w:val="center"/>
          </w:tcPr>
          <w:p w14:paraId="431C26FC"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 xml:space="preserve">Ignored (i.e., zero). Included in the </w:t>
            </w:r>
            <w:r w:rsidRPr="0059240B">
              <w:rPr>
                <w:rFonts w:ascii="Times New Roman" w:eastAsia="Times New Roman" w:hAnsi="Times New Roman"/>
                <w:i/>
                <w:sz w:val="20"/>
                <w:szCs w:val="20"/>
              </w:rPr>
              <w:t xml:space="preserve">CA </w:t>
            </w:r>
            <w:r w:rsidRPr="0059240B">
              <w:rPr>
                <w:rFonts w:ascii="Times New Roman" w:eastAsia="Times New Roman" w:hAnsi="Times New Roman"/>
                <w:sz w:val="20"/>
                <w:szCs w:val="20"/>
              </w:rPr>
              <w:t>component.</w:t>
            </w:r>
          </w:p>
        </w:tc>
      </w:tr>
      <w:tr w:rsidR="003129FE" w:rsidRPr="0059240B" w14:paraId="1460C33F"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54367827"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Single Premium/Deposit</w:t>
            </w:r>
          </w:p>
        </w:tc>
        <w:tc>
          <w:tcPr>
            <w:tcW w:w="6750" w:type="dxa"/>
            <w:tcBorders>
              <w:top w:val="single" w:sz="6" w:space="0" w:color="000000"/>
              <w:left w:val="single" w:sz="6" w:space="0" w:color="000000"/>
              <w:bottom w:val="single" w:sz="6" w:space="0" w:color="000000"/>
              <w:right w:val="single" w:sz="6" w:space="0" w:color="000000"/>
            </w:tcBorders>
            <w:vAlign w:val="center"/>
          </w:tcPr>
          <w:p w14:paraId="48AC485C"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$100,000. No future deposits; no intra-contract fund rebalancing.</w:t>
            </w:r>
          </w:p>
        </w:tc>
      </w:tr>
      <w:tr w:rsidR="003129FE" w:rsidRPr="0059240B" w14:paraId="41C830EA"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5F2F08D9"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Base Contract Lapse Rate</w:t>
            </w:r>
          </w:p>
          <w:p w14:paraId="2A73592E"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(Total Surrenders)</w:t>
            </w:r>
          </w:p>
        </w:tc>
        <w:tc>
          <w:tcPr>
            <w:tcW w:w="6750" w:type="dxa"/>
            <w:tcBorders>
              <w:top w:val="single" w:sz="6" w:space="0" w:color="000000"/>
              <w:left w:val="single" w:sz="6" w:space="0" w:color="000000"/>
              <w:bottom w:val="single" w:sz="6" w:space="0" w:color="000000"/>
              <w:right w:val="single" w:sz="6" w:space="0" w:color="000000"/>
            </w:tcBorders>
            <w:vAlign w:val="center"/>
          </w:tcPr>
          <w:p w14:paraId="26310637" w14:textId="77777777" w:rsidR="003129FE" w:rsidRPr="0059240B" w:rsidRDefault="003129FE" w:rsidP="00B508BD">
            <w:pPr>
              <w:tabs>
                <w:tab w:val="left" w:pos="191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Pro-rata by MV:</w:t>
            </w:r>
            <w:r w:rsidRPr="0059240B">
              <w:rPr>
                <w:rFonts w:ascii="Times New Roman" w:eastAsia="Times New Roman" w:hAnsi="Times New Roman"/>
                <w:sz w:val="20"/>
                <w:szCs w:val="20"/>
              </w:rPr>
              <w:tab/>
              <w:t xml:space="preserve">10% p.a. at all contact durations (before dynamics). </w:t>
            </w:r>
            <w:r w:rsidRPr="0059240B">
              <w:rPr>
                <w:rFonts w:ascii="Times New Roman" w:eastAsia="Times New Roman" w:hAnsi="Times New Roman"/>
                <w:sz w:val="20"/>
                <w:szCs w:val="20"/>
              </w:rPr>
              <w:br/>
              <w:t>Dollar-for-dollar:</w:t>
            </w:r>
            <w:r w:rsidRPr="0059240B">
              <w:rPr>
                <w:rFonts w:ascii="Times New Roman" w:eastAsia="Times New Roman" w:hAnsi="Times New Roman"/>
                <w:sz w:val="20"/>
                <w:szCs w:val="20"/>
              </w:rPr>
              <w:tab/>
              <w:t>2% p.a. at all contract durations (no dynamics).</w:t>
            </w:r>
          </w:p>
        </w:tc>
      </w:tr>
      <w:tr w:rsidR="003129FE" w:rsidRPr="0059240B" w14:paraId="02E21533" w14:textId="77777777" w:rsidTr="00B508BD">
        <w:trPr>
          <w:trHeight w:hRule="exact" w:val="790"/>
        </w:trPr>
        <w:tc>
          <w:tcPr>
            <w:tcW w:w="2330" w:type="dxa"/>
            <w:tcBorders>
              <w:top w:val="single" w:sz="6" w:space="0" w:color="000000"/>
              <w:left w:val="single" w:sz="6" w:space="0" w:color="000000"/>
              <w:bottom w:val="single" w:sz="6" w:space="0" w:color="000000"/>
              <w:right w:val="single" w:sz="6" w:space="0" w:color="000000"/>
            </w:tcBorders>
            <w:vAlign w:val="center"/>
          </w:tcPr>
          <w:p w14:paraId="38095F0B"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Partial Withdrawals</w:t>
            </w:r>
          </w:p>
        </w:tc>
        <w:tc>
          <w:tcPr>
            <w:tcW w:w="6750" w:type="dxa"/>
            <w:tcBorders>
              <w:top w:val="single" w:sz="6" w:space="0" w:color="000000"/>
              <w:left w:val="single" w:sz="6" w:space="0" w:color="000000"/>
              <w:bottom w:val="single" w:sz="6" w:space="0" w:color="000000"/>
              <w:right w:val="single" w:sz="6" w:space="0" w:color="000000"/>
            </w:tcBorders>
            <w:vAlign w:val="center"/>
          </w:tcPr>
          <w:p w14:paraId="5A900143" w14:textId="77777777" w:rsidR="003129FE" w:rsidRPr="0059240B" w:rsidRDefault="003129FE" w:rsidP="00B508BD">
            <w:pPr>
              <w:tabs>
                <w:tab w:val="left" w:pos="191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Pro-rata by MV:</w:t>
            </w:r>
            <w:r w:rsidRPr="0059240B">
              <w:rPr>
                <w:rFonts w:ascii="Times New Roman" w:eastAsia="Times New Roman" w:hAnsi="Times New Roman"/>
                <w:sz w:val="20"/>
                <w:szCs w:val="20"/>
              </w:rPr>
              <w:tab/>
              <w:t>None (i.e., zero).</w:t>
            </w:r>
          </w:p>
          <w:p w14:paraId="618D4021" w14:textId="77777777" w:rsidR="003129FE" w:rsidRPr="0059240B" w:rsidRDefault="003129FE" w:rsidP="00B508BD">
            <w:pPr>
              <w:tabs>
                <w:tab w:val="left" w:pos="1915"/>
              </w:tabs>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Dollar-for-dollar:</w:t>
            </w:r>
            <w:r w:rsidRPr="0059240B">
              <w:rPr>
                <w:rFonts w:ascii="Times New Roman" w:eastAsia="Times New Roman" w:hAnsi="Times New Roman"/>
                <w:sz w:val="20"/>
                <w:szCs w:val="20"/>
              </w:rPr>
              <w:tab/>
              <w:t xml:space="preserve">Flat 8% p.a. at all contract durations (as a % of AV). </w:t>
            </w:r>
            <w:r w:rsidRPr="0059240B">
              <w:rPr>
                <w:rFonts w:ascii="Times New Roman" w:eastAsia="Times New Roman" w:hAnsi="Times New Roman"/>
                <w:sz w:val="20"/>
                <w:szCs w:val="20"/>
              </w:rPr>
              <w:br/>
              <w:t>No dynamics or anti-selective behavior.</w:t>
            </w:r>
          </w:p>
        </w:tc>
      </w:tr>
      <w:tr w:rsidR="003129FE" w:rsidRPr="0059240B" w14:paraId="49D45717" w14:textId="77777777" w:rsidTr="00B508BD">
        <w:trPr>
          <w:trHeight w:hRule="exact" w:val="1060"/>
        </w:trPr>
        <w:tc>
          <w:tcPr>
            <w:tcW w:w="2330" w:type="dxa"/>
            <w:tcBorders>
              <w:top w:val="single" w:sz="6" w:space="0" w:color="000000"/>
              <w:left w:val="single" w:sz="6" w:space="0" w:color="000000"/>
              <w:bottom w:val="single" w:sz="6" w:space="0" w:color="000000"/>
              <w:right w:val="single" w:sz="6" w:space="0" w:color="000000"/>
            </w:tcBorders>
            <w:vAlign w:val="center"/>
          </w:tcPr>
          <w:p w14:paraId="3653E586"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Mortality</w:t>
            </w:r>
          </w:p>
        </w:tc>
        <w:tc>
          <w:tcPr>
            <w:tcW w:w="6750" w:type="dxa"/>
            <w:tcBorders>
              <w:top w:val="single" w:sz="6" w:space="0" w:color="000000"/>
              <w:left w:val="single" w:sz="6" w:space="0" w:color="000000"/>
              <w:bottom w:val="single" w:sz="6" w:space="0" w:color="000000"/>
              <w:right w:val="single" w:sz="6" w:space="0" w:color="000000"/>
            </w:tcBorders>
            <w:vAlign w:val="center"/>
          </w:tcPr>
          <w:p w14:paraId="4B990EA9" w14:textId="72794924" w:rsidR="003129FE" w:rsidRPr="0059240B" w:rsidRDefault="003129FE" w:rsidP="004E4618">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100% of the 1994 Variable Annuity MGDB Mortality Table (MGDB 94 ALB). For reference, 1000</w:t>
            </w:r>
            <w:r w:rsidRPr="0059240B">
              <w:rPr>
                <w:rFonts w:ascii="Times New Roman" w:eastAsia="Times New Roman" w:hAnsi="Times New Roman"/>
                <w:i/>
                <w:sz w:val="20"/>
                <w:szCs w:val="20"/>
              </w:rPr>
              <w:t>q</w:t>
            </w:r>
            <w:r w:rsidRPr="0059240B">
              <w:rPr>
                <w:rFonts w:ascii="Times New Roman" w:eastAsia="Times New Roman" w:hAnsi="Times New Roman"/>
                <w:i/>
                <w:position w:val="-3"/>
                <w:sz w:val="20"/>
                <w:szCs w:val="20"/>
              </w:rPr>
              <w:t xml:space="preserve">x </w:t>
            </w:r>
            <w:r w:rsidRPr="0059240B">
              <w:rPr>
                <w:rFonts w:ascii="Times New Roman" w:eastAsia="Times New Roman" w:hAnsi="Times New Roman"/>
                <w:sz w:val="20"/>
                <w:szCs w:val="20"/>
              </w:rPr>
              <w:t xml:space="preserve">rates at ages 65 and 70 for 100% of MGDB 94 ALB Male are 18.191 and 29.363, respectively. </w:t>
            </w:r>
            <w:r w:rsidRPr="0059240B">
              <w:rPr>
                <w:rFonts w:ascii="Times New Roman" w:eastAsia="Times New Roman" w:hAnsi="Times New Roman"/>
                <w:b/>
                <w:sz w:val="20"/>
                <w:szCs w:val="20"/>
              </w:rPr>
              <w:t>Note</w:t>
            </w:r>
            <w:r w:rsidRPr="0059240B">
              <w:rPr>
                <w:rFonts w:ascii="Times New Roman" w:eastAsia="Times New Roman" w:hAnsi="Times New Roman"/>
                <w:sz w:val="20"/>
                <w:szCs w:val="20"/>
              </w:rPr>
              <w:t>: Section 7.C.9 allows modification to this assumption.</w:t>
            </w:r>
          </w:p>
        </w:tc>
      </w:tr>
      <w:tr w:rsidR="003129FE" w:rsidRPr="0059240B" w14:paraId="404C71A8"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21DE432"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Gender/Age Distribution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FC84001"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100% male. Methodology accommodates different attained ages. A five-year age setback will be used for female annuitants.</w:t>
            </w:r>
          </w:p>
        </w:tc>
      </w:tr>
      <w:tr w:rsidR="003129FE" w:rsidRPr="0059240B" w14:paraId="73B44C54"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FB10748"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Max. Annuitization Age</w:t>
            </w:r>
          </w:p>
        </w:tc>
        <w:tc>
          <w:tcPr>
            <w:tcW w:w="6750" w:type="dxa"/>
            <w:tcBorders>
              <w:top w:val="single" w:sz="6" w:space="0" w:color="000000"/>
              <w:left w:val="single" w:sz="6" w:space="0" w:color="000000"/>
              <w:bottom w:val="single" w:sz="6" w:space="0" w:color="000000"/>
              <w:right w:val="single" w:sz="6" w:space="0" w:color="000000"/>
            </w:tcBorders>
            <w:vAlign w:val="center"/>
          </w:tcPr>
          <w:p w14:paraId="55713969"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All policies terminate at age 95.</w:t>
            </w:r>
          </w:p>
        </w:tc>
      </w:tr>
      <w:tr w:rsidR="003129FE" w:rsidRPr="0059240B" w14:paraId="4C59362C"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6E134E4"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Fixed Expenses</w:t>
            </w:r>
          </w:p>
        </w:tc>
        <w:tc>
          <w:tcPr>
            <w:tcW w:w="6750" w:type="dxa"/>
            <w:tcBorders>
              <w:top w:val="single" w:sz="6" w:space="0" w:color="000000"/>
              <w:left w:val="single" w:sz="6" w:space="0" w:color="000000"/>
              <w:bottom w:val="single" w:sz="6" w:space="0" w:color="000000"/>
              <w:right w:val="single" w:sz="6" w:space="0" w:color="000000"/>
            </w:tcBorders>
            <w:vAlign w:val="center"/>
          </w:tcPr>
          <w:p w14:paraId="68B6EAC3"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 xml:space="preserve">Ignored (i.e., zero). Included in the </w:t>
            </w:r>
            <w:r w:rsidRPr="0059240B">
              <w:rPr>
                <w:rFonts w:ascii="Times New Roman" w:eastAsia="Times New Roman" w:hAnsi="Times New Roman"/>
                <w:i/>
                <w:sz w:val="20"/>
                <w:szCs w:val="20"/>
              </w:rPr>
              <w:t xml:space="preserve">FE </w:t>
            </w:r>
            <w:r w:rsidRPr="0059240B">
              <w:rPr>
                <w:rFonts w:ascii="Times New Roman" w:eastAsia="Times New Roman" w:hAnsi="Times New Roman"/>
                <w:sz w:val="20"/>
                <w:szCs w:val="20"/>
              </w:rPr>
              <w:t>component.</w:t>
            </w:r>
          </w:p>
        </w:tc>
      </w:tr>
      <w:tr w:rsidR="003129FE" w:rsidRPr="0059240B" w14:paraId="61BC9DA2"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5800F14"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Annual Fee and Waiver</w:t>
            </w:r>
          </w:p>
        </w:tc>
        <w:tc>
          <w:tcPr>
            <w:tcW w:w="6750" w:type="dxa"/>
            <w:tcBorders>
              <w:top w:val="single" w:sz="6" w:space="0" w:color="000000"/>
              <w:left w:val="single" w:sz="6" w:space="0" w:color="000000"/>
              <w:bottom w:val="single" w:sz="6" w:space="0" w:color="000000"/>
              <w:right w:val="single" w:sz="6" w:space="0" w:color="000000"/>
            </w:tcBorders>
            <w:vAlign w:val="center"/>
          </w:tcPr>
          <w:p w14:paraId="6CCF249D"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 xml:space="preserve">Ignored (i.e., zero). Included in the </w:t>
            </w:r>
            <w:r w:rsidRPr="0059240B">
              <w:rPr>
                <w:rFonts w:ascii="Times New Roman" w:eastAsia="Times New Roman" w:hAnsi="Times New Roman"/>
                <w:i/>
                <w:sz w:val="20"/>
                <w:szCs w:val="20"/>
              </w:rPr>
              <w:t xml:space="preserve">FE </w:t>
            </w:r>
            <w:r w:rsidRPr="0059240B">
              <w:rPr>
                <w:rFonts w:ascii="Times New Roman" w:eastAsia="Times New Roman" w:hAnsi="Times New Roman"/>
                <w:sz w:val="20"/>
                <w:szCs w:val="20"/>
              </w:rPr>
              <w:t>component.</w:t>
            </w:r>
          </w:p>
        </w:tc>
      </w:tr>
      <w:tr w:rsidR="003129FE" w:rsidRPr="0059240B" w14:paraId="3F3B5C2C"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1BF840C5"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Discount Rate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1DD99525"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5.75% pre-tax.</w:t>
            </w:r>
          </w:p>
        </w:tc>
      </w:tr>
      <w:tr w:rsidR="003129FE" w:rsidRPr="0059240B" w14:paraId="0224A242" w14:textId="77777777" w:rsidTr="00B508BD">
        <w:trPr>
          <w:trHeight w:hRule="exact" w:val="1590"/>
        </w:trPr>
        <w:tc>
          <w:tcPr>
            <w:tcW w:w="2330" w:type="dxa"/>
            <w:tcBorders>
              <w:top w:val="single" w:sz="6" w:space="0" w:color="000000"/>
              <w:left w:val="single" w:sz="6" w:space="0" w:color="000000"/>
              <w:bottom w:val="single" w:sz="6" w:space="0" w:color="000000"/>
              <w:right w:val="single" w:sz="6" w:space="0" w:color="000000"/>
            </w:tcBorders>
            <w:vAlign w:val="center"/>
          </w:tcPr>
          <w:p w14:paraId="634BD282"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Dynamic Lapse Multiplier (Applies only to policies where GMDB is adjusted “pro-rata by MV” upon withdrawal)</w:t>
            </w:r>
          </w:p>
        </w:tc>
        <w:tc>
          <w:tcPr>
            <w:tcW w:w="6750" w:type="dxa"/>
            <w:tcBorders>
              <w:top w:val="single" w:sz="6" w:space="0" w:color="000000"/>
              <w:left w:val="single" w:sz="6" w:space="0" w:color="000000"/>
              <w:bottom w:val="single" w:sz="6" w:space="0" w:color="000000"/>
              <w:right w:val="single" w:sz="6" w:space="0" w:color="000000"/>
            </w:tcBorders>
          </w:tcPr>
          <w:p w14:paraId="6ED7ACDA" w14:textId="77777777" w:rsidR="003129FE" w:rsidRPr="0059240B" w:rsidRDefault="00190B3A" w:rsidP="00B508BD">
            <w:pPr>
              <w:spacing w:after="0" w:line="240" w:lineRule="auto"/>
              <w:ind w:left="72"/>
              <w:rPr>
                <w:rFonts w:ascii="Times New Roman" w:hAnsi="Times New Roman"/>
                <w:sz w:val="20"/>
                <w:szCs w:val="20"/>
              </w:rPr>
            </w:pPr>
            <w:r w:rsidRPr="0059240B">
              <w:rPr>
                <w:rFonts w:ascii="Times New Roman" w:hAnsi="Times New Roman"/>
                <w:noProof/>
                <w:position w:val="-32"/>
                <w:sz w:val="20"/>
                <w:szCs w:val="20"/>
              </w:rPr>
              <w:object w:dxaOrig="4099" w:dyaOrig="760" w14:anchorId="7619759C">
                <v:shape id="_x0000_i1037" type="#_x0000_t75" alt="" style="width:208.5pt;height:36pt;mso-width-percent:0;mso-height-percent:0;mso-width-percent:0;mso-height-percent:0" o:ole="" fillcolor="window">
                  <v:imagedata r:id="rId19" o:title=""/>
                </v:shape>
                <o:OLEObject Type="Embed" ProgID="Equation.3" ShapeID="_x0000_i1037" DrawAspect="Content" ObjectID="_1619594762" r:id="rId20"/>
              </w:object>
            </w:r>
          </w:p>
          <w:p w14:paraId="630F090D" w14:textId="2DFC4F4B"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i/>
                <w:sz w:val="20"/>
                <w:szCs w:val="20"/>
              </w:rPr>
              <w:t xml:space="preserve">U </w:t>
            </w:r>
            <w:r w:rsidRPr="0059240B">
              <w:rPr>
                <w:rFonts w:ascii="Times New Roman" w:eastAsia="Times New Roman" w:hAnsi="Times New Roman"/>
                <w:sz w:val="20"/>
                <w:szCs w:val="20"/>
              </w:rPr>
              <w:t xml:space="preserve">= 1, </w:t>
            </w:r>
            <w:r w:rsidRPr="0059240B">
              <w:rPr>
                <w:rFonts w:ascii="Times New Roman" w:eastAsia="Times New Roman" w:hAnsi="Times New Roman"/>
                <w:i/>
                <w:sz w:val="20"/>
                <w:szCs w:val="20"/>
              </w:rPr>
              <w:t xml:space="preserve">L </w:t>
            </w:r>
            <w:r w:rsidRPr="0059240B">
              <w:rPr>
                <w:rFonts w:ascii="Times New Roman" w:eastAsia="Times New Roman" w:hAnsi="Times New Roman"/>
                <w:sz w:val="20"/>
                <w:szCs w:val="20"/>
              </w:rPr>
              <w:t xml:space="preserve">= 0.5, </w:t>
            </w:r>
            <w:r w:rsidRPr="0059240B">
              <w:rPr>
                <w:rFonts w:ascii="Times New Roman" w:eastAsia="Times New Roman" w:hAnsi="Times New Roman"/>
                <w:i/>
                <w:sz w:val="20"/>
                <w:szCs w:val="20"/>
              </w:rPr>
              <w:t xml:space="preserve">M </w:t>
            </w:r>
            <w:r w:rsidRPr="0059240B">
              <w:rPr>
                <w:rFonts w:ascii="Times New Roman" w:eastAsia="Times New Roman" w:hAnsi="Times New Roman"/>
                <w:sz w:val="20"/>
                <w:szCs w:val="20"/>
              </w:rPr>
              <w:t xml:space="preserve">= 1.25, </w:t>
            </w:r>
            <w:r w:rsidRPr="0059240B">
              <w:rPr>
                <w:rFonts w:ascii="Times New Roman" w:eastAsia="Times New Roman" w:hAnsi="Times New Roman"/>
                <w:i/>
                <w:sz w:val="20"/>
                <w:szCs w:val="20"/>
              </w:rPr>
              <w:t xml:space="preserve">D </w:t>
            </w:r>
            <w:r w:rsidRPr="0059240B">
              <w:rPr>
                <w:rFonts w:ascii="Times New Roman" w:eastAsia="Times New Roman" w:hAnsi="Times New Roman"/>
                <w:sz w:val="20"/>
                <w:szCs w:val="20"/>
              </w:rPr>
              <w:t>= 1.1</w:t>
            </w:r>
          </w:p>
          <w:p w14:paraId="52DB1A41" w14:textId="77777777" w:rsidR="003129FE" w:rsidRPr="0059240B" w:rsidRDefault="003129FE" w:rsidP="00B508BD">
            <w:pPr>
              <w:tabs>
                <w:tab w:val="left" w:pos="440"/>
              </w:tabs>
              <w:spacing w:after="0" w:line="240" w:lineRule="auto"/>
              <w:ind w:left="72"/>
              <w:rPr>
                <w:rFonts w:ascii="Times New Roman" w:eastAsia="Times New Roman" w:hAnsi="Times New Roman"/>
                <w:sz w:val="20"/>
                <w:szCs w:val="20"/>
              </w:rPr>
            </w:pPr>
            <w:r w:rsidRPr="0059240B">
              <w:rPr>
                <w:rFonts w:ascii="Times New Roman" w:eastAsia="Wingdings" w:hAnsi="Times New Roman"/>
                <w:sz w:val="20"/>
                <w:szCs w:val="20"/>
              </w:rPr>
              <w:t></w:t>
            </w:r>
            <w:r w:rsidRPr="0059240B">
              <w:rPr>
                <w:rFonts w:ascii="Times New Roman" w:eastAsia="Times New Roman" w:hAnsi="Times New Roman"/>
                <w:sz w:val="20"/>
                <w:szCs w:val="20"/>
              </w:rPr>
              <w:tab/>
              <w:t>Applied to the “Base Contract Lapse Rate.”</w:t>
            </w:r>
          </w:p>
          <w:p w14:paraId="3A8B03FC" w14:textId="77777777" w:rsidR="003129FE" w:rsidRPr="0059240B" w:rsidRDefault="003129FE" w:rsidP="00B508BD">
            <w:pPr>
              <w:tabs>
                <w:tab w:val="left" w:pos="440"/>
              </w:tabs>
              <w:spacing w:after="0" w:line="240" w:lineRule="auto"/>
              <w:ind w:left="72"/>
              <w:rPr>
                <w:rFonts w:ascii="Times New Roman" w:eastAsia="Times New Roman" w:hAnsi="Times New Roman"/>
                <w:sz w:val="20"/>
                <w:szCs w:val="20"/>
              </w:rPr>
            </w:pPr>
            <w:r w:rsidRPr="0059240B">
              <w:rPr>
                <w:rFonts w:ascii="Times New Roman" w:eastAsia="Wingdings" w:hAnsi="Times New Roman"/>
                <w:sz w:val="20"/>
                <w:szCs w:val="20"/>
              </w:rPr>
              <w:t></w:t>
            </w:r>
            <w:r w:rsidRPr="0059240B">
              <w:rPr>
                <w:rFonts w:ascii="Times New Roman" w:eastAsia="Times New Roman" w:hAnsi="Times New Roman"/>
                <w:sz w:val="20"/>
                <w:szCs w:val="20"/>
              </w:rPr>
              <w:tab/>
              <w:t>Does not apply to partial withdrawals.</w:t>
            </w:r>
          </w:p>
        </w:tc>
      </w:tr>
    </w:tbl>
    <w:p w14:paraId="52716AEF" w14:textId="77777777" w:rsidR="003129FE" w:rsidRPr="0059240B" w:rsidRDefault="003129FE" w:rsidP="0021502F">
      <w:pPr>
        <w:tabs>
          <w:tab w:val="left" w:pos="2260"/>
        </w:tabs>
        <w:spacing w:after="0" w:line="240" w:lineRule="auto"/>
        <w:jc w:val="both"/>
        <w:rPr>
          <w:rFonts w:ascii="Times New Roman" w:eastAsia="Times New Roman" w:hAnsi="Times New Roman"/>
          <w:sz w:val="20"/>
          <w:szCs w:val="20"/>
        </w:rPr>
      </w:pPr>
    </w:p>
    <w:p w14:paraId="64202C10" w14:textId="6B057DD4" w:rsidR="003129FE" w:rsidRPr="0059240B" w:rsidRDefault="003129FE" w:rsidP="0021502F">
      <w:pPr>
        <w:keepNext/>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Asset-Based Fund Charges (bps per annum)</w:t>
      </w:r>
    </w:p>
    <w:p w14:paraId="76DC1939" w14:textId="437AC930" w:rsidR="00F551D1" w:rsidRPr="0059240B" w:rsidRDefault="00F551D1" w:rsidP="0021502F">
      <w:pPr>
        <w:keepNext/>
        <w:spacing w:after="220" w:line="240" w:lineRule="auto"/>
        <w:ind w:left="1440" w:hanging="720"/>
        <w:rPr>
          <w:rFonts w:ascii="Times New Roman" w:eastAsia="Times New Roman" w:hAnsi="Times New Roman"/>
        </w:rPr>
      </w:pPr>
      <w:r w:rsidRPr="0059240B">
        <w:rPr>
          <w:rFonts w:ascii="Times New Roman" w:eastAsia="Times New Roman" w:hAnsi="Times New Roman"/>
        </w:rPr>
        <w:t>Table 7.</w:t>
      </w:r>
      <w:r w:rsidR="00AD6FC0" w:rsidRPr="0059240B">
        <w:rPr>
          <w:rFonts w:ascii="Times New Roman" w:eastAsia="Times New Roman" w:hAnsi="Times New Roman"/>
        </w:rPr>
        <w:t>5</w:t>
      </w:r>
      <w:r w:rsidRPr="0059240B">
        <w:rPr>
          <w:rFonts w:ascii="Times New Roman" w:eastAsia="Times New Roman" w:hAnsi="Times New Roman"/>
        </w:rPr>
        <w:t>: Asset-Based Fund Charges (bps per annum)</w:t>
      </w:r>
    </w:p>
    <w:tbl>
      <w:tblPr>
        <w:tblpPr w:leftFromText="180" w:rightFromText="180" w:vertAnchor="text" w:horzAnchor="page" w:tblpX="2356" w:tblpY="91"/>
        <w:tblOverlap w:val="never"/>
        <w:tblW w:w="0" w:type="auto"/>
        <w:tblCellMar>
          <w:left w:w="0" w:type="dxa"/>
          <w:right w:w="0" w:type="dxa"/>
        </w:tblCellMar>
        <w:tblLook w:val="01E0" w:firstRow="1" w:lastRow="1" w:firstColumn="1" w:lastColumn="1" w:noHBand="0" w:noVBand="0"/>
      </w:tblPr>
      <w:tblGrid>
        <w:gridCol w:w="3060"/>
        <w:gridCol w:w="2340"/>
      </w:tblGrid>
      <w:tr w:rsidR="003129FE" w:rsidRPr="0059240B" w14:paraId="59DF65BB"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1475F78" w14:textId="77777777" w:rsidR="003129FE" w:rsidRPr="0059240B" w:rsidRDefault="003129FE">
            <w:pPr>
              <w:keepNext/>
              <w:spacing w:after="0" w:line="240" w:lineRule="auto"/>
              <w:ind w:left="72"/>
              <w:rPr>
                <w:rFonts w:ascii="Times New Roman" w:eastAsia="Times New Roman" w:hAnsi="Times New Roman"/>
              </w:rPr>
            </w:pPr>
            <w:r w:rsidRPr="0059240B">
              <w:rPr>
                <w:rFonts w:ascii="Times New Roman" w:eastAsia="Times New Roman" w:hAnsi="Times New Roman"/>
                <w:b/>
                <w:bCs/>
              </w:rPr>
              <w:t>Asset Class/Fund</w:t>
            </w:r>
          </w:p>
        </w:tc>
        <w:tc>
          <w:tcPr>
            <w:tcW w:w="2340" w:type="dxa"/>
            <w:tcBorders>
              <w:top w:val="single" w:sz="6" w:space="0" w:color="000000"/>
              <w:left w:val="single" w:sz="6" w:space="0" w:color="000000"/>
              <w:bottom w:val="single" w:sz="6" w:space="0" w:color="000000"/>
              <w:right w:val="single" w:sz="6" w:space="0" w:color="000000"/>
            </w:tcBorders>
            <w:vAlign w:val="center"/>
          </w:tcPr>
          <w:p w14:paraId="6A264985" w14:textId="77777777" w:rsidR="003129FE" w:rsidRPr="0059240B" w:rsidRDefault="003129FE">
            <w:pPr>
              <w:keepNext/>
              <w:spacing w:after="0" w:line="240" w:lineRule="auto"/>
              <w:ind w:left="72"/>
              <w:rPr>
                <w:rFonts w:ascii="Times New Roman" w:eastAsia="Times New Roman" w:hAnsi="Times New Roman"/>
              </w:rPr>
            </w:pPr>
            <w:r w:rsidRPr="0059240B">
              <w:rPr>
                <w:rFonts w:ascii="Times New Roman" w:eastAsia="Times New Roman" w:hAnsi="Times New Roman"/>
                <w:b/>
                <w:bCs/>
              </w:rPr>
              <w:t>Account Value Charge</w:t>
            </w:r>
          </w:p>
        </w:tc>
      </w:tr>
      <w:tr w:rsidR="003129FE" w:rsidRPr="0059240B" w14:paraId="3D8FBFE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A4E9EC8"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Fixed Account</w:t>
            </w:r>
          </w:p>
        </w:tc>
        <w:tc>
          <w:tcPr>
            <w:tcW w:w="2340" w:type="dxa"/>
            <w:tcBorders>
              <w:top w:val="single" w:sz="6" w:space="0" w:color="000000"/>
              <w:left w:val="single" w:sz="6" w:space="0" w:color="000000"/>
              <w:bottom w:val="single" w:sz="6" w:space="0" w:color="000000"/>
              <w:right w:val="single" w:sz="6" w:space="0" w:color="000000"/>
            </w:tcBorders>
            <w:vAlign w:val="center"/>
          </w:tcPr>
          <w:p w14:paraId="652E556A"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0</w:t>
            </w:r>
          </w:p>
        </w:tc>
      </w:tr>
      <w:tr w:rsidR="003129FE" w:rsidRPr="0059240B" w14:paraId="09B043D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EC15562"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Money Market</w:t>
            </w:r>
          </w:p>
        </w:tc>
        <w:tc>
          <w:tcPr>
            <w:tcW w:w="2340" w:type="dxa"/>
            <w:tcBorders>
              <w:top w:val="single" w:sz="6" w:space="0" w:color="000000"/>
              <w:left w:val="single" w:sz="6" w:space="0" w:color="000000"/>
              <w:bottom w:val="single" w:sz="6" w:space="0" w:color="000000"/>
              <w:right w:val="single" w:sz="6" w:space="0" w:color="000000"/>
            </w:tcBorders>
            <w:vAlign w:val="center"/>
          </w:tcPr>
          <w:p w14:paraId="69F57C59"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110</w:t>
            </w:r>
          </w:p>
        </w:tc>
      </w:tr>
      <w:tr w:rsidR="003129FE" w:rsidRPr="0059240B" w14:paraId="2E4CBD25"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A266877"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lastRenderedPageBreak/>
              <w:t>Fixed Income (Bond)</w:t>
            </w:r>
          </w:p>
        </w:tc>
        <w:tc>
          <w:tcPr>
            <w:tcW w:w="2340" w:type="dxa"/>
            <w:tcBorders>
              <w:top w:val="single" w:sz="6" w:space="0" w:color="000000"/>
              <w:left w:val="single" w:sz="6" w:space="0" w:color="000000"/>
              <w:bottom w:val="single" w:sz="6" w:space="0" w:color="000000"/>
              <w:right w:val="single" w:sz="6" w:space="0" w:color="000000"/>
            </w:tcBorders>
            <w:vAlign w:val="center"/>
          </w:tcPr>
          <w:p w14:paraId="3E827845"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200</w:t>
            </w:r>
          </w:p>
        </w:tc>
      </w:tr>
      <w:tr w:rsidR="003129FE" w:rsidRPr="0059240B" w14:paraId="2C0D384C"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100F242"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Balanced</w:t>
            </w:r>
          </w:p>
        </w:tc>
        <w:tc>
          <w:tcPr>
            <w:tcW w:w="2340" w:type="dxa"/>
            <w:tcBorders>
              <w:top w:val="single" w:sz="6" w:space="0" w:color="000000"/>
              <w:left w:val="single" w:sz="6" w:space="0" w:color="000000"/>
              <w:bottom w:val="single" w:sz="6" w:space="0" w:color="000000"/>
              <w:right w:val="single" w:sz="6" w:space="0" w:color="000000"/>
            </w:tcBorders>
            <w:vAlign w:val="center"/>
          </w:tcPr>
          <w:p w14:paraId="2C5AA233"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250</w:t>
            </w:r>
          </w:p>
        </w:tc>
      </w:tr>
      <w:tr w:rsidR="003129FE" w:rsidRPr="0059240B" w14:paraId="595D4EA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235972D"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Diversified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CF54B7A"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250</w:t>
            </w:r>
          </w:p>
        </w:tc>
      </w:tr>
      <w:tr w:rsidR="003129FE" w:rsidRPr="0059240B" w14:paraId="5B11C77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B9F3382"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Diversified International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5587F012"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250</w:t>
            </w:r>
          </w:p>
        </w:tc>
      </w:tr>
      <w:tr w:rsidR="003129FE" w:rsidRPr="0059240B" w14:paraId="30C30F8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41E13C5"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Intermediate Risk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0E949DB"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265</w:t>
            </w:r>
          </w:p>
        </w:tc>
      </w:tr>
      <w:tr w:rsidR="003129FE" w:rsidRPr="0059240B" w14:paraId="4C01549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636A380"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Aggressive or Exotic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392B44F6" w14:textId="77777777" w:rsidR="003129FE" w:rsidRPr="0059240B" w:rsidRDefault="003129FE">
            <w:pPr>
              <w:spacing w:after="0" w:line="240" w:lineRule="auto"/>
              <w:ind w:left="72"/>
              <w:rPr>
                <w:rFonts w:ascii="Times New Roman" w:eastAsia="Times New Roman" w:hAnsi="Times New Roman"/>
              </w:rPr>
            </w:pPr>
            <w:r w:rsidRPr="0059240B">
              <w:rPr>
                <w:rFonts w:ascii="Times New Roman" w:eastAsia="Times New Roman" w:hAnsi="Times New Roman"/>
              </w:rPr>
              <w:t>275</w:t>
            </w:r>
          </w:p>
        </w:tc>
      </w:tr>
    </w:tbl>
    <w:p w14:paraId="6A1688FB" w14:textId="77777777" w:rsidR="003129FE" w:rsidRPr="0059240B" w:rsidRDefault="003129FE" w:rsidP="0021502F">
      <w:pPr>
        <w:tabs>
          <w:tab w:val="left" w:pos="2260"/>
        </w:tabs>
        <w:spacing w:after="0" w:line="240" w:lineRule="auto"/>
        <w:jc w:val="both"/>
        <w:rPr>
          <w:rFonts w:ascii="Times New Roman" w:eastAsia="Times New Roman" w:hAnsi="Times New Roman"/>
          <w:sz w:val="20"/>
          <w:szCs w:val="20"/>
        </w:rPr>
      </w:pPr>
      <w:r w:rsidRPr="0059240B">
        <w:rPr>
          <w:rFonts w:ascii="Times New Roman" w:eastAsia="Times New Roman" w:hAnsi="Times New Roman"/>
          <w:sz w:val="20"/>
          <w:szCs w:val="20"/>
        </w:rPr>
        <w:br w:type="textWrapping" w:clear="all"/>
      </w:r>
    </w:p>
    <w:p w14:paraId="7D91EF81" w14:textId="17008E2B" w:rsidR="003129FE" w:rsidRPr="0059240B" w:rsidRDefault="003129FE" w:rsidP="0021502F">
      <w:pPr>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 xml:space="preserve">Components of Key Used for </w:t>
      </w:r>
      <w:r w:rsidRPr="0059240B">
        <w:rPr>
          <w:rFonts w:ascii="Times New Roman" w:eastAsia="Times New Roman" w:hAnsi="Times New Roman"/>
          <w:i/>
        </w:rPr>
        <w:t>GC</w:t>
      </w:r>
      <w:r w:rsidRPr="0059240B">
        <w:rPr>
          <w:rFonts w:ascii="Times New Roman" w:eastAsia="Times New Roman" w:hAnsi="Times New Roman"/>
        </w:rPr>
        <w:t xml:space="preserve"> Factor Look-Up</w:t>
      </w:r>
    </w:p>
    <w:p w14:paraId="45DA2F16" w14:textId="58850CB7" w:rsidR="00F551D1" w:rsidRPr="0059240B" w:rsidRDefault="00F551D1" w:rsidP="0021502F">
      <w:pPr>
        <w:spacing w:after="220" w:line="240" w:lineRule="auto"/>
        <w:ind w:left="1440" w:hanging="720"/>
        <w:rPr>
          <w:rFonts w:ascii="Times New Roman" w:eastAsia="Times New Roman" w:hAnsi="Times New Roman"/>
        </w:rPr>
      </w:pPr>
      <w:r w:rsidRPr="0059240B">
        <w:rPr>
          <w:rFonts w:ascii="Times New Roman" w:eastAsia="Times New Roman" w:hAnsi="Times New Roman"/>
        </w:rPr>
        <w:t>Table 7.</w:t>
      </w:r>
      <w:r w:rsidR="00AD6FC0" w:rsidRPr="0059240B">
        <w:rPr>
          <w:rFonts w:ascii="Times New Roman" w:eastAsia="Times New Roman" w:hAnsi="Times New Roman"/>
        </w:rPr>
        <w:t>6</w:t>
      </w:r>
      <w:r w:rsidRPr="0059240B">
        <w:rPr>
          <w:rFonts w:ascii="Times New Roman" w:eastAsia="Times New Roman" w:hAnsi="Times New Roman"/>
        </w:rPr>
        <w:t xml:space="preserve">: Components of Key Used for </w:t>
      </w:r>
      <w:r w:rsidRPr="0059240B">
        <w:rPr>
          <w:rFonts w:ascii="Times New Roman" w:eastAsia="Times New Roman" w:hAnsi="Times New Roman"/>
          <w:i/>
        </w:rPr>
        <w:t>GC</w:t>
      </w:r>
      <w:r w:rsidRPr="0059240B">
        <w:rPr>
          <w:rFonts w:ascii="Times New Roman" w:eastAsia="Times New Roman" w:hAnsi="Times New Roman"/>
        </w:rPr>
        <w:t xml:space="preserve"> Factor Look-Up</w:t>
      </w:r>
    </w:p>
    <w:p w14:paraId="629E1E66" w14:textId="77777777" w:rsidR="003129FE" w:rsidRPr="0059240B" w:rsidRDefault="003129FE" w:rsidP="0021502F">
      <w:pPr>
        <w:spacing w:after="60" w:line="240" w:lineRule="auto"/>
        <w:ind w:left="4090"/>
        <w:jc w:val="center"/>
        <w:rPr>
          <w:rFonts w:ascii="Times New Roman" w:eastAsia="Times New Roman" w:hAnsi="Times New Roman"/>
          <w:b/>
          <w:bCs/>
          <w:position w:val="-1"/>
          <w:sz w:val="20"/>
          <w:szCs w:val="20"/>
        </w:rPr>
      </w:pPr>
      <w:r w:rsidRPr="0059240B">
        <w:rPr>
          <w:rFonts w:ascii="Times New Roman" w:eastAsia="Times New Roman" w:hAnsi="Times New Roman"/>
          <w:b/>
          <w:bCs/>
          <w:position w:val="-1"/>
          <w:sz w:val="20"/>
          <w:szCs w:val="20"/>
        </w:rPr>
        <w:t>(First Digit always “1”)</w:t>
      </w:r>
    </w:p>
    <w:tbl>
      <w:tblPr>
        <w:tblW w:w="8769" w:type="dxa"/>
        <w:tblInd w:w="689" w:type="dxa"/>
        <w:tblLayout w:type="fixed"/>
        <w:tblCellMar>
          <w:left w:w="0" w:type="dxa"/>
          <w:right w:w="0" w:type="dxa"/>
        </w:tblCellMar>
        <w:tblLook w:val="01E0" w:firstRow="1" w:lastRow="1" w:firstColumn="1" w:lastColumn="1" w:noHBand="0" w:noVBand="0"/>
      </w:tblPr>
      <w:tblGrid>
        <w:gridCol w:w="3355"/>
        <w:gridCol w:w="5414"/>
      </w:tblGrid>
      <w:tr w:rsidR="003129FE" w:rsidRPr="0059240B" w14:paraId="57ACB58E" w14:textId="77777777" w:rsidTr="00B508BD">
        <w:trPr>
          <w:trHeight w:hRule="exact" w:val="245"/>
        </w:trPr>
        <w:tc>
          <w:tcPr>
            <w:tcW w:w="3355" w:type="dxa"/>
            <w:tcBorders>
              <w:top w:val="single" w:sz="7" w:space="0" w:color="000000"/>
              <w:left w:val="single" w:sz="6" w:space="0" w:color="000000"/>
              <w:bottom w:val="single" w:sz="7" w:space="0" w:color="000000"/>
              <w:right w:val="single" w:sz="6" w:space="0" w:color="000000"/>
            </w:tcBorders>
            <w:vAlign w:val="center"/>
          </w:tcPr>
          <w:p w14:paraId="670116AE"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Contract Attribute</w:t>
            </w:r>
          </w:p>
        </w:tc>
        <w:tc>
          <w:tcPr>
            <w:tcW w:w="5414" w:type="dxa"/>
            <w:tcBorders>
              <w:top w:val="single" w:sz="7" w:space="0" w:color="000000"/>
              <w:left w:val="single" w:sz="6" w:space="0" w:color="000000"/>
              <w:bottom w:val="single" w:sz="7" w:space="0" w:color="000000"/>
              <w:right w:val="single" w:sz="6" w:space="0" w:color="000000"/>
            </w:tcBorders>
            <w:vAlign w:val="center"/>
          </w:tcPr>
          <w:p w14:paraId="2FCFF312" w14:textId="0345BB93" w:rsidR="003129FE" w:rsidRPr="0059240B" w:rsidRDefault="003129FE" w:rsidP="00B508BD">
            <w:pPr>
              <w:spacing w:after="0" w:line="240" w:lineRule="auto"/>
              <w:ind w:left="106"/>
              <w:rPr>
                <w:rFonts w:ascii="Times New Roman" w:eastAsia="Times New Roman" w:hAnsi="Times New Roman"/>
                <w:sz w:val="20"/>
                <w:szCs w:val="20"/>
              </w:rPr>
            </w:pPr>
            <w:r w:rsidRPr="0059240B">
              <w:rPr>
                <w:rFonts w:ascii="Times New Roman" w:eastAsia="Times New Roman" w:hAnsi="Times New Roman"/>
                <w:sz w:val="20"/>
                <w:szCs w:val="20"/>
              </w:rPr>
              <w:t>Key: Possible Values and Description</w:t>
            </w:r>
          </w:p>
        </w:tc>
      </w:tr>
      <w:tr w:rsidR="003129FE" w:rsidRPr="0059240B" w14:paraId="4CA2F7A1"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17BDF562"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Product Definition, P</w:t>
            </w:r>
          </w:p>
        </w:tc>
        <w:tc>
          <w:tcPr>
            <w:tcW w:w="5414" w:type="dxa"/>
            <w:tcBorders>
              <w:top w:val="single" w:sz="7" w:space="0" w:color="000000"/>
              <w:left w:val="single" w:sz="6" w:space="0" w:color="000000"/>
              <w:bottom w:val="single" w:sz="7" w:space="0" w:color="000000"/>
              <w:right w:val="single" w:sz="6" w:space="0" w:color="000000"/>
            </w:tcBorders>
            <w:vAlign w:val="center"/>
          </w:tcPr>
          <w:p w14:paraId="6D7B808C" w14:textId="77777777" w:rsidR="003129FE" w:rsidRPr="0059240B" w:rsidRDefault="003129FE" w:rsidP="00B508BD">
            <w:pPr>
              <w:tabs>
                <w:tab w:val="left" w:pos="1004"/>
              </w:tabs>
              <w:spacing w:after="0" w:line="240" w:lineRule="auto"/>
              <w:ind w:left="104"/>
              <w:rPr>
                <w:rFonts w:ascii="Times New Roman" w:eastAsia="Times New Roman" w:hAnsi="Times New Roman"/>
                <w:sz w:val="20"/>
                <w:szCs w:val="20"/>
              </w:rPr>
            </w:pPr>
            <w:r w:rsidRPr="0059240B">
              <w:rPr>
                <w:rFonts w:ascii="Times New Roman" w:eastAsia="Times New Roman" w:hAnsi="Times New Roman"/>
                <w:sz w:val="20"/>
                <w:szCs w:val="20"/>
              </w:rPr>
              <w:t>0 : 0</w:t>
            </w:r>
            <w:r w:rsidRPr="0059240B">
              <w:rPr>
                <w:rFonts w:ascii="Times New Roman" w:eastAsia="Times New Roman" w:hAnsi="Times New Roman"/>
                <w:sz w:val="20"/>
                <w:szCs w:val="20"/>
              </w:rPr>
              <w:tab/>
              <w:t>Return-of-premium.</w:t>
            </w:r>
          </w:p>
          <w:p w14:paraId="35FF73CB"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1 : 1</w:t>
            </w:r>
            <w:r w:rsidRPr="0059240B">
              <w:rPr>
                <w:rFonts w:ascii="Times New Roman" w:eastAsia="Times New Roman" w:hAnsi="Times New Roman"/>
                <w:sz w:val="20"/>
                <w:szCs w:val="20"/>
              </w:rPr>
              <w:tab/>
              <w:t>Roll-up (3% per annum).</w:t>
            </w:r>
          </w:p>
          <w:p w14:paraId="240A132E"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2 : 2</w:t>
            </w:r>
            <w:r w:rsidRPr="0059240B">
              <w:rPr>
                <w:rFonts w:ascii="Times New Roman" w:eastAsia="Times New Roman" w:hAnsi="Times New Roman"/>
                <w:sz w:val="20"/>
                <w:szCs w:val="20"/>
              </w:rPr>
              <w:tab/>
              <w:t>Roll-up (5% per annum).</w:t>
            </w:r>
          </w:p>
          <w:p w14:paraId="318E9CC9"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3 : 3</w:t>
            </w:r>
            <w:r w:rsidRPr="0059240B">
              <w:rPr>
                <w:rFonts w:ascii="Times New Roman" w:eastAsia="Times New Roman" w:hAnsi="Times New Roman"/>
                <w:sz w:val="20"/>
                <w:szCs w:val="20"/>
              </w:rPr>
              <w:tab/>
              <w:t>Maximum anniversary value (MAV).</w:t>
            </w:r>
          </w:p>
          <w:p w14:paraId="47219307"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4 : 4</w:t>
            </w:r>
            <w:r w:rsidRPr="0059240B">
              <w:rPr>
                <w:rFonts w:ascii="Times New Roman" w:eastAsia="Times New Roman" w:hAnsi="Times New Roman"/>
                <w:sz w:val="20"/>
                <w:szCs w:val="20"/>
              </w:rPr>
              <w:tab/>
              <w:t>High of MAV and 5% roll-up.</w:t>
            </w:r>
          </w:p>
          <w:p w14:paraId="6E123C5F" w14:textId="2539A9E1" w:rsidR="003129FE" w:rsidRPr="0059240B" w:rsidRDefault="003129FE" w:rsidP="00534D41">
            <w:pPr>
              <w:tabs>
                <w:tab w:val="left" w:pos="1004"/>
              </w:tabs>
              <w:spacing w:after="0" w:line="240" w:lineRule="auto"/>
              <w:ind w:left="1004" w:hanging="900"/>
              <w:rPr>
                <w:rFonts w:ascii="Times New Roman" w:eastAsia="Times New Roman" w:hAnsi="Times New Roman"/>
                <w:sz w:val="20"/>
                <w:szCs w:val="20"/>
              </w:rPr>
            </w:pPr>
            <w:r w:rsidRPr="0059240B">
              <w:rPr>
                <w:rFonts w:ascii="Times New Roman" w:eastAsia="Times New Roman" w:hAnsi="Times New Roman"/>
                <w:sz w:val="20"/>
                <w:szCs w:val="20"/>
              </w:rPr>
              <w:t>5 : 5</w:t>
            </w:r>
            <w:r w:rsidRPr="0059240B">
              <w:rPr>
                <w:rFonts w:ascii="Times New Roman" w:eastAsia="Times New Roman" w:hAnsi="Times New Roman"/>
                <w:sz w:val="20"/>
                <w:szCs w:val="20"/>
              </w:rPr>
              <w:tab/>
              <w:t xml:space="preserve">Enhanced death benefit (excludes the ROP GMDB, which would have to be added separately if the contract in question has an ROP). </w:t>
            </w:r>
          </w:p>
        </w:tc>
      </w:tr>
      <w:tr w:rsidR="003129FE" w:rsidRPr="0059240B" w14:paraId="79A0AB1F" w14:textId="77777777" w:rsidTr="00B508BD">
        <w:trPr>
          <w:trHeight w:hRule="exact" w:val="674"/>
        </w:trPr>
        <w:tc>
          <w:tcPr>
            <w:tcW w:w="3355" w:type="dxa"/>
            <w:tcBorders>
              <w:top w:val="single" w:sz="7" w:space="0" w:color="000000"/>
              <w:left w:val="single" w:sz="6" w:space="0" w:color="000000"/>
              <w:bottom w:val="single" w:sz="7" w:space="0" w:color="000000"/>
              <w:right w:val="single" w:sz="6" w:space="0" w:color="000000"/>
            </w:tcBorders>
            <w:vAlign w:val="center"/>
          </w:tcPr>
          <w:p w14:paraId="2302C3B7"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GV Adjustment Upon Partial</w:t>
            </w:r>
          </w:p>
          <w:p w14:paraId="3C1B105C"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Withdrawal, A</w:t>
            </w:r>
          </w:p>
        </w:tc>
        <w:tc>
          <w:tcPr>
            <w:tcW w:w="5414" w:type="dxa"/>
            <w:tcBorders>
              <w:top w:val="single" w:sz="7" w:space="0" w:color="000000"/>
              <w:left w:val="single" w:sz="6" w:space="0" w:color="000000"/>
              <w:bottom w:val="single" w:sz="7" w:space="0" w:color="000000"/>
              <w:right w:val="single" w:sz="6" w:space="0" w:color="000000"/>
            </w:tcBorders>
            <w:vAlign w:val="center"/>
          </w:tcPr>
          <w:p w14:paraId="754F5AD5"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0 : 0</w:t>
            </w:r>
            <w:r w:rsidRPr="0059240B">
              <w:rPr>
                <w:rFonts w:ascii="Times New Roman" w:eastAsia="Times New Roman" w:hAnsi="Times New Roman"/>
                <w:sz w:val="20"/>
                <w:szCs w:val="20"/>
              </w:rPr>
              <w:tab/>
              <w:t>Pro-rata by market value.</w:t>
            </w:r>
          </w:p>
          <w:p w14:paraId="005C8D2D"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1 : 1</w:t>
            </w:r>
            <w:r w:rsidRPr="0059240B">
              <w:rPr>
                <w:rFonts w:ascii="Times New Roman" w:eastAsia="Times New Roman" w:hAnsi="Times New Roman"/>
                <w:sz w:val="20"/>
                <w:szCs w:val="20"/>
              </w:rPr>
              <w:tab/>
              <w:t>Dollar-for-dollar.</w:t>
            </w:r>
          </w:p>
        </w:tc>
      </w:tr>
      <w:tr w:rsidR="003129FE" w:rsidRPr="0059240B" w14:paraId="35787BDD"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23D1B1CF"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Fund Class, F</w:t>
            </w:r>
          </w:p>
        </w:tc>
        <w:tc>
          <w:tcPr>
            <w:tcW w:w="5414" w:type="dxa"/>
            <w:tcBorders>
              <w:top w:val="single" w:sz="7" w:space="0" w:color="000000"/>
              <w:left w:val="single" w:sz="6" w:space="0" w:color="000000"/>
              <w:bottom w:val="single" w:sz="7" w:space="0" w:color="000000"/>
              <w:right w:val="single" w:sz="6" w:space="0" w:color="000000"/>
            </w:tcBorders>
            <w:vAlign w:val="center"/>
          </w:tcPr>
          <w:p w14:paraId="3E9F297E" w14:textId="77777777" w:rsidR="003129FE" w:rsidRPr="0059240B" w:rsidRDefault="003129FE" w:rsidP="00B508BD">
            <w:pPr>
              <w:tabs>
                <w:tab w:val="left" w:pos="1004"/>
              </w:tabs>
              <w:spacing w:after="0" w:line="240" w:lineRule="auto"/>
              <w:ind w:left="108"/>
              <w:rPr>
                <w:rFonts w:ascii="Times New Roman" w:eastAsia="Times New Roman" w:hAnsi="Times New Roman"/>
                <w:sz w:val="20"/>
                <w:szCs w:val="20"/>
              </w:rPr>
            </w:pPr>
            <w:r w:rsidRPr="0059240B">
              <w:rPr>
                <w:rFonts w:ascii="Times New Roman" w:eastAsia="Times New Roman" w:hAnsi="Times New Roman"/>
                <w:sz w:val="20"/>
                <w:szCs w:val="20"/>
              </w:rPr>
              <w:t>0 : 0</w:t>
            </w:r>
            <w:r w:rsidRPr="0059240B">
              <w:rPr>
                <w:rFonts w:ascii="Times New Roman" w:eastAsia="Times New Roman" w:hAnsi="Times New Roman"/>
                <w:sz w:val="20"/>
                <w:szCs w:val="20"/>
              </w:rPr>
              <w:tab/>
              <w:t>Fixed Account.</w:t>
            </w:r>
          </w:p>
          <w:p w14:paraId="7B0791B3"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1 : 1</w:t>
            </w:r>
            <w:r w:rsidRPr="0059240B">
              <w:rPr>
                <w:rFonts w:ascii="Times New Roman" w:eastAsia="Times New Roman" w:hAnsi="Times New Roman"/>
                <w:sz w:val="20"/>
                <w:szCs w:val="20"/>
              </w:rPr>
              <w:tab/>
              <w:t>Money Market.</w:t>
            </w:r>
          </w:p>
          <w:p w14:paraId="6C6D7271"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2 : 2</w:t>
            </w:r>
            <w:r w:rsidRPr="0059240B">
              <w:rPr>
                <w:rFonts w:ascii="Times New Roman" w:eastAsia="Times New Roman" w:hAnsi="Times New Roman"/>
                <w:sz w:val="20"/>
                <w:szCs w:val="20"/>
              </w:rPr>
              <w:tab/>
              <w:t>Fixed Income (Bond).</w:t>
            </w:r>
          </w:p>
          <w:p w14:paraId="3DCC40FA"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3 : 3</w:t>
            </w:r>
            <w:r w:rsidRPr="0059240B">
              <w:rPr>
                <w:rFonts w:ascii="Times New Roman" w:eastAsia="Times New Roman" w:hAnsi="Times New Roman"/>
                <w:sz w:val="20"/>
                <w:szCs w:val="20"/>
              </w:rPr>
              <w:tab/>
              <w:t>Balanced Asset Allocation.</w:t>
            </w:r>
          </w:p>
          <w:p w14:paraId="5FE58E43"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4 : 4</w:t>
            </w:r>
            <w:r w:rsidRPr="0059240B">
              <w:rPr>
                <w:rFonts w:ascii="Times New Roman" w:eastAsia="Times New Roman" w:hAnsi="Times New Roman"/>
                <w:sz w:val="20"/>
                <w:szCs w:val="20"/>
              </w:rPr>
              <w:tab/>
              <w:t>Diversified Equity.</w:t>
            </w:r>
          </w:p>
          <w:p w14:paraId="048F7935"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5 : 5</w:t>
            </w:r>
            <w:r w:rsidRPr="0059240B">
              <w:rPr>
                <w:rFonts w:ascii="Times New Roman" w:eastAsia="Times New Roman" w:hAnsi="Times New Roman"/>
                <w:sz w:val="20"/>
                <w:szCs w:val="20"/>
              </w:rPr>
              <w:tab/>
              <w:t>International Equity.</w:t>
            </w:r>
          </w:p>
          <w:p w14:paraId="0F29AA11"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6 : 6</w:t>
            </w:r>
            <w:r w:rsidRPr="0059240B">
              <w:rPr>
                <w:rFonts w:ascii="Times New Roman" w:eastAsia="Times New Roman" w:hAnsi="Times New Roman"/>
                <w:sz w:val="20"/>
                <w:szCs w:val="20"/>
              </w:rPr>
              <w:tab/>
              <w:t>Intermediate Risk Equity.</w:t>
            </w:r>
          </w:p>
          <w:p w14:paraId="4C6E1069" w14:textId="3036EE6A"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7 : 7</w:t>
            </w:r>
            <w:r w:rsidRPr="0059240B">
              <w:rPr>
                <w:rFonts w:ascii="Times New Roman" w:eastAsia="Times New Roman" w:hAnsi="Times New Roman"/>
                <w:sz w:val="20"/>
                <w:szCs w:val="20"/>
              </w:rPr>
              <w:tab/>
              <w:t>Aggressive/Exotic Equity.</w:t>
            </w:r>
          </w:p>
        </w:tc>
      </w:tr>
      <w:tr w:rsidR="003129FE" w:rsidRPr="0059240B" w14:paraId="6708EAF4" w14:textId="77777777" w:rsidTr="00B508BD">
        <w:trPr>
          <w:trHeight w:hRule="exact" w:val="1124"/>
        </w:trPr>
        <w:tc>
          <w:tcPr>
            <w:tcW w:w="3355" w:type="dxa"/>
            <w:tcBorders>
              <w:top w:val="single" w:sz="7" w:space="0" w:color="000000"/>
              <w:left w:val="single" w:sz="6" w:space="0" w:color="000000"/>
              <w:bottom w:val="single" w:sz="7" w:space="0" w:color="000000"/>
              <w:right w:val="single" w:sz="6" w:space="0" w:color="000000"/>
            </w:tcBorders>
            <w:vAlign w:val="center"/>
          </w:tcPr>
          <w:p w14:paraId="6A34A074"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Attained Age (Last Birthday), X</w:t>
            </w:r>
          </w:p>
        </w:tc>
        <w:tc>
          <w:tcPr>
            <w:tcW w:w="5414" w:type="dxa"/>
            <w:tcBorders>
              <w:top w:val="single" w:sz="7" w:space="0" w:color="000000"/>
              <w:left w:val="single" w:sz="6" w:space="0" w:color="000000"/>
              <w:bottom w:val="single" w:sz="7" w:space="0" w:color="000000"/>
              <w:right w:val="single" w:sz="6" w:space="0" w:color="000000"/>
            </w:tcBorders>
            <w:vAlign w:val="center"/>
          </w:tcPr>
          <w:p w14:paraId="7FFC73CE" w14:textId="77777777" w:rsidR="003129FE" w:rsidRPr="0059240B" w:rsidRDefault="003129FE" w:rsidP="00B508BD">
            <w:pPr>
              <w:tabs>
                <w:tab w:val="left" w:pos="1004"/>
              </w:tabs>
              <w:spacing w:after="0" w:line="240" w:lineRule="auto"/>
              <w:ind w:left="106"/>
              <w:rPr>
                <w:rFonts w:ascii="Times New Roman" w:eastAsia="Times New Roman" w:hAnsi="Times New Roman"/>
                <w:sz w:val="20"/>
                <w:szCs w:val="20"/>
              </w:rPr>
            </w:pPr>
            <w:r w:rsidRPr="0059240B">
              <w:rPr>
                <w:rFonts w:ascii="Times New Roman" w:eastAsia="Times New Roman" w:hAnsi="Times New Roman"/>
                <w:sz w:val="20"/>
                <w:szCs w:val="20"/>
              </w:rPr>
              <w:t>0 : 35</w:t>
            </w:r>
            <w:r w:rsidRPr="0059240B">
              <w:rPr>
                <w:rFonts w:ascii="Times New Roman" w:eastAsia="Times New Roman" w:hAnsi="Times New Roman"/>
                <w:sz w:val="20"/>
                <w:szCs w:val="20"/>
              </w:rPr>
              <w:tab/>
              <w:t>4 : 65</w:t>
            </w:r>
          </w:p>
          <w:p w14:paraId="12F394BC"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1 : 45</w:t>
            </w:r>
            <w:r w:rsidRPr="0059240B">
              <w:rPr>
                <w:rFonts w:ascii="Times New Roman" w:eastAsia="Times New Roman" w:hAnsi="Times New Roman"/>
                <w:sz w:val="20"/>
                <w:szCs w:val="20"/>
              </w:rPr>
              <w:tab/>
              <w:t>5 : 70</w:t>
            </w:r>
          </w:p>
          <w:p w14:paraId="259D9D2E"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2 : 55</w:t>
            </w:r>
            <w:r w:rsidRPr="0059240B">
              <w:rPr>
                <w:rFonts w:ascii="Times New Roman" w:eastAsia="Times New Roman" w:hAnsi="Times New Roman"/>
                <w:sz w:val="20"/>
                <w:szCs w:val="20"/>
              </w:rPr>
              <w:tab/>
              <w:t>6 : 75</w:t>
            </w:r>
          </w:p>
          <w:p w14:paraId="2AA3BFFC"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3 : 60</w:t>
            </w:r>
            <w:r w:rsidRPr="0059240B">
              <w:rPr>
                <w:rFonts w:ascii="Times New Roman" w:eastAsia="Times New Roman" w:hAnsi="Times New Roman"/>
                <w:sz w:val="20"/>
                <w:szCs w:val="20"/>
              </w:rPr>
              <w:tab/>
              <w:t>7 : 80</w:t>
            </w:r>
          </w:p>
        </w:tc>
      </w:tr>
      <w:tr w:rsidR="003129FE" w:rsidRPr="0059240B" w14:paraId="45C89285" w14:textId="77777777" w:rsidTr="00B508BD">
        <w:trPr>
          <w:trHeight w:hRule="exact" w:val="980"/>
        </w:trPr>
        <w:tc>
          <w:tcPr>
            <w:tcW w:w="3355" w:type="dxa"/>
            <w:tcBorders>
              <w:top w:val="single" w:sz="7" w:space="0" w:color="000000"/>
              <w:left w:val="single" w:sz="6" w:space="0" w:color="000000"/>
              <w:bottom w:val="single" w:sz="7" w:space="0" w:color="000000"/>
              <w:right w:val="single" w:sz="6" w:space="0" w:color="000000"/>
            </w:tcBorders>
            <w:vAlign w:val="center"/>
          </w:tcPr>
          <w:p w14:paraId="5C2A8C9F"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Contract Duration (years-since-issue),</w:t>
            </w:r>
          </w:p>
          <w:p w14:paraId="6761A4DF"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D</w:t>
            </w:r>
          </w:p>
        </w:tc>
        <w:tc>
          <w:tcPr>
            <w:tcW w:w="5414" w:type="dxa"/>
            <w:tcBorders>
              <w:top w:val="single" w:sz="7" w:space="0" w:color="000000"/>
              <w:left w:val="single" w:sz="6" w:space="0" w:color="000000"/>
              <w:bottom w:val="single" w:sz="7" w:space="0" w:color="000000"/>
              <w:right w:val="single" w:sz="6" w:space="0" w:color="000000"/>
            </w:tcBorders>
            <w:vAlign w:val="center"/>
          </w:tcPr>
          <w:p w14:paraId="27FEFB8B" w14:textId="3AD282D3"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0 : 0.5</w:t>
            </w:r>
            <w:r w:rsidRPr="0059240B">
              <w:rPr>
                <w:rFonts w:ascii="Times New Roman" w:eastAsia="Times New Roman" w:hAnsi="Times New Roman"/>
                <w:sz w:val="20"/>
                <w:szCs w:val="20"/>
              </w:rPr>
              <w:tab/>
              <w:t>3 : 9.5</w:t>
            </w:r>
          </w:p>
          <w:p w14:paraId="7C04D8FC"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1 : 3.5</w:t>
            </w:r>
            <w:r w:rsidRPr="0059240B">
              <w:rPr>
                <w:rFonts w:ascii="Times New Roman" w:eastAsia="Times New Roman" w:hAnsi="Times New Roman"/>
                <w:sz w:val="20"/>
                <w:szCs w:val="20"/>
              </w:rPr>
              <w:tab/>
              <w:t>4 : 12.5</w:t>
            </w:r>
          </w:p>
          <w:p w14:paraId="6105456A" w14:textId="7D644BBA"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2 : 6.5</w:t>
            </w:r>
            <w:r w:rsidRPr="0059240B">
              <w:rPr>
                <w:rFonts w:ascii="Times New Roman" w:eastAsia="Times New Roman" w:hAnsi="Times New Roman"/>
                <w:sz w:val="20"/>
                <w:szCs w:val="20"/>
              </w:rPr>
              <w:tab/>
            </w:r>
          </w:p>
          <w:p w14:paraId="2244D5BE" w14:textId="0BBA2A51" w:rsidR="003129FE" w:rsidRPr="0059240B" w:rsidRDefault="003129FE" w:rsidP="00B508BD">
            <w:pPr>
              <w:spacing w:after="0" w:line="240" w:lineRule="auto"/>
              <w:ind w:left="107"/>
              <w:rPr>
                <w:rFonts w:ascii="Times New Roman" w:eastAsia="Times New Roman" w:hAnsi="Times New Roman"/>
                <w:sz w:val="20"/>
                <w:szCs w:val="20"/>
              </w:rPr>
            </w:pPr>
          </w:p>
        </w:tc>
      </w:tr>
      <w:tr w:rsidR="003129FE" w:rsidRPr="0059240B" w14:paraId="5C2B6A9F" w14:textId="77777777" w:rsidTr="00B508BD">
        <w:trPr>
          <w:trHeight w:hRule="exact" w:val="1079"/>
        </w:trPr>
        <w:tc>
          <w:tcPr>
            <w:tcW w:w="3355" w:type="dxa"/>
            <w:tcBorders>
              <w:top w:val="single" w:sz="7" w:space="0" w:color="000000"/>
              <w:left w:val="single" w:sz="6" w:space="0" w:color="000000"/>
              <w:bottom w:val="single" w:sz="7" w:space="0" w:color="000000"/>
              <w:right w:val="single" w:sz="6" w:space="0" w:color="000000"/>
            </w:tcBorders>
            <w:vAlign w:val="center"/>
          </w:tcPr>
          <w:p w14:paraId="3AA9D082"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Account Value-to-Guaranteed Value</w:t>
            </w:r>
          </w:p>
          <w:p w14:paraId="1FB0DD0D" w14:textId="77777777" w:rsidR="003129FE" w:rsidRPr="0059240B" w:rsidRDefault="003129FE" w:rsidP="00B508BD">
            <w:pPr>
              <w:spacing w:after="0" w:line="240" w:lineRule="auto"/>
              <w:ind w:left="72"/>
              <w:rPr>
                <w:rFonts w:ascii="Times New Roman" w:eastAsia="Arial" w:hAnsi="Times New Roman"/>
                <w:sz w:val="20"/>
                <w:szCs w:val="20"/>
              </w:rPr>
            </w:pPr>
            <w:r w:rsidRPr="0059240B">
              <w:rPr>
                <w:rFonts w:ascii="Times New Roman" w:eastAsia="Times New Roman" w:hAnsi="Times New Roman"/>
                <w:sz w:val="20"/>
                <w:szCs w:val="20"/>
              </w:rPr>
              <w:t xml:space="preserve">Ratio, </w:t>
            </w:r>
            <w:r w:rsidRPr="0059240B">
              <w:rPr>
                <w:rFonts w:ascii="Times New Roman" w:eastAsia="Arial" w:hAnsi="Times New Roman"/>
                <w:sz w:val="20"/>
                <w:szCs w:val="20"/>
              </w:rPr>
              <w:t>φ</w:t>
            </w:r>
          </w:p>
        </w:tc>
        <w:tc>
          <w:tcPr>
            <w:tcW w:w="5414" w:type="dxa"/>
            <w:tcBorders>
              <w:top w:val="single" w:sz="7" w:space="0" w:color="000000"/>
              <w:left w:val="single" w:sz="6" w:space="0" w:color="000000"/>
              <w:bottom w:val="single" w:sz="7" w:space="0" w:color="000000"/>
              <w:right w:val="single" w:sz="6" w:space="0" w:color="000000"/>
            </w:tcBorders>
            <w:vAlign w:val="center"/>
          </w:tcPr>
          <w:p w14:paraId="5F1CFCAF"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0 : 0.25</w:t>
            </w:r>
            <w:r w:rsidRPr="0059240B">
              <w:rPr>
                <w:rFonts w:ascii="Times New Roman" w:eastAsia="Times New Roman" w:hAnsi="Times New Roman"/>
                <w:sz w:val="20"/>
                <w:szCs w:val="20"/>
              </w:rPr>
              <w:tab/>
              <w:t>4 : 1.25</w:t>
            </w:r>
          </w:p>
          <w:p w14:paraId="7616B1EB"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1 : 0.50</w:t>
            </w:r>
            <w:r w:rsidRPr="0059240B">
              <w:rPr>
                <w:rFonts w:ascii="Times New Roman" w:eastAsia="Times New Roman" w:hAnsi="Times New Roman"/>
                <w:sz w:val="20"/>
                <w:szCs w:val="20"/>
              </w:rPr>
              <w:tab/>
              <w:t>5 : 1.50</w:t>
            </w:r>
          </w:p>
          <w:p w14:paraId="5FB4773C" w14:textId="77777777" w:rsidR="003129FE" w:rsidRPr="0059240B" w:rsidRDefault="003129FE" w:rsidP="00B508BD">
            <w:pPr>
              <w:tabs>
                <w:tab w:val="left" w:pos="1004"/>
              </w:tabs>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2 : 0.75</w:t>
            </w:r>
            <w:r w:rsidRPr="0059240B">
              <w:rPr>
                <w:rFonts w:ascii="Times New Roman" w:eastAsia="Times New Roman" w:hAnsi="Times New Roman"/>
                <w:sz w:val="20"/>
                <w:szCs w:val="20"/>
              </w:rPr>
              <w:tab/>
              <w:t>6 : 2.00</w:t>
            </w:r>
          </w:p>
          <w:p w14:paraId="294F242C" w14:textId="77777777" w:rsidR="003129FE" w:rsidRPr="0059240B" w:rsidRDefault="003129FE" w:rsidP="00B508BD">
            <w:pPr>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3 : 1.00</w:t>
            </w:r>
          </w:p>
        </w:tc>
      </w:tr>
      <w:tr w:rsidR="003129FE" w:rsidRPr="0059240B" w14:paraId="1B477BAD" w14:textId="77777777" w:rsidTr="00B508BD">
        <w:trPr>
          <w:trHeight w:hRule="exact" w:val="899"/>
        </w:trPr>
        <w:tc>
          <w:tcPr>
            <w:tcW w:w="3355" w:type="dxa"/>
            <w:tcBorders>
              <w:top w:val="single" w:sz="7" w:space="0" w:color="000000"/>
              <w:left w:val="single" w:sz="6" w:space="0" w:color="000000"/>
              <w:bottom w:val="single" w:sz="6" w:space="0" w:color="000000"/>
              <w:right w:val="single" w:sz="6" w:space="0" w:color="000000"/>
            </w:tcBorders>
            <w:vAlign w:val="center"/>
          </w:tcPr>
          <w:p w14:paraId="08A65046" w14:textId="77777777" w:rsidR="003129FE" w:rsidRPr="0059240B" w:rsidRDefault="003129FE" w:rsidP="00B508BD">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Annualized Account Charge</w:t>
            </w:r>
          </w:p>
          <w:p w14:paraId="6F62403A" w14:textId="38F1A48E" w:rsidR="003129FE" w:rsidRPr="0059240B" w:rsidRDefault="003129FE" w:rsidP="004E4618">
            <w:pPr>
              <w:spacing w:after="0" w:line="240" w:lineRule="auto"/>
              <w:ind w:left="72"/>
              <w:rPr>
                <w:rFonts w:ascii="Times New Roman" w:eastAsia="Times New Roman" w:hAnsi="Times New Roman"/>
                <w:sz w:val="20"/>
                <w:szCs w:val="20"/>
              </w:rPr>
            </w:pPr>
            <w:r w:rsidRPr="0059240B">
              <w:rPr>
                <w:rFonts w:ascii="Times New Roman" w:eastAsia="Times New Roman" w:hAnsi="Times New Roman"/>
                <w:sz w:val="20"/>
                <w:szCs w:val="20"/>
              </w:rPr>
              <w:t>Differential from Section 7.E.2 Assumptions</w:t>
            </w:r>
          </w:p>
        </w:tc>
        <w:tc>
          <w:tcPr>
            <w:tcW w:w="5414" w:type="dxa"/>
            <w:tcBorders>
              <w:top w:val="single" w:sz="7" w:space="0" w:color="000000"/>
              <w:left w:val="single" w:sz="6" w:space="0" w:color="000000"/>
              <w:bottom w:val="single" w:sz="6" w:space="0" w:color="000000"/>
              <w:right w:val="single" w:sz="6" w:space="0" w:color="000000"/>
            </w:tcBorders>
            <w:vAlign w:val="center"/>
          </w:tcPr>
          <w:p w14:paraId="2746F71E" w14:textId="77777777" w:rsidR="003129FE" w:rsidRPr="0059240B" w:rsidRDefault="003129FE" w:rsidP="00B508BD">
            <w:pPr>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 xml:space="preserve">0 : </w:t>
            </w:r>
            <w:r w:rsidRPr="0059240B">
              <w:rPr>
                <w:rFonts w:ascii="Times New Roman" w:eastAsia="Arial" w:hAnsi="Times New Roman"/>
                <w:sz w:val="20"/>
                <w:szCs w:val="20"/>
              </w:rPr>
              <w:t>−</w:t>
            </w:r>
            <w:r w:rsidRPr="0059240B">
              <w:rPr>
                <w:rFonts w:ascii="Times New Roman" w:eastAsia="Times New Roman" w:hAnsi="Times New Roman"/>
                <w:sz w:val="20"/>
                <w:szCs w:val="20"/>
              </w:rPr>
              <w:t>100 bps</w:t>
            </w:r>
          </w:p>
          <w:p w14:paraId="68831216" w14:textId="77777777" w:rsidR="003129FE" w:rsidRPr="0059240B" w:rsidRDefault="003129FE" w:rsidP="00B508BD">
            <w:pPr>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1 : +0</w:t>
            </w:r>
          </w:p>
          <w:p w14:paraId="0759CE2E" w14:textId="77777777" w:rsidR="003129FE" w:rsidRPr="0059240B" w:rsidRDefault="003129FE" w:rsidP="00B508BD">
            <w:pPr>
              <w:spacing w:after="0" w:line="240" w:lineRule="auto"/>
              <w:ind w:left="107"/>
              <w:rPr>
                <w:rFonts w:ascii="Times New Roman" w:eastAsia="Times New Roman" w:hAnsi="Times New Roman"/>
                <w:sz w:val="20"/>
                <w:szCs w:val="20"/>
              </w:rPr>
            </w:pPr>
            <w:r w:rsidRPr="0059240B">
              <w:rPr>
                <w:rFonts w:ascii="Times New Roman" w:eastAsia="Times New Roman" w:hAnsi="Times New Roman"/>
                <w:sz w:val="20"/>
                <w:szCs w:val="20"/>
              </w:rPr>
              <w:t>2 : +100</w:t>
            </w:r>
          </w:p>
        </w:tc>
      </w:tr>
    </w:tbl>
    <w:p w14:paraId="206061D5" w14:textId="77777777" w:rsidR="003129FE" w:rsidRPr="0059240B" w:rsidRDefault="003129FE" w:rsidP="0021502F">
      <w:pPr>
        <w:tabs>
          <w:tab w:val="left" w:pos="2260"/>
        </w:tabs>
        <w:spacing w:after="0" w:line="240" w:lineRule="auto"/>
        <w:jc w:val="both"/>
        <w:rPr>
          <w:rFonts w:ascii="Times New Roman" w:eastAsia="Times New Roman" w:hAnsi="Times New Roman"/>
        </w:rPr>
      </w:pPr>
    </w:p>
    <w:p w14:paraId="162D1CE2" w14:textId="2942B580" w:rsidR="003129FE" w:rsidRPr="0059240B" w:rsidRDefault="003129FE" w:rsidP="004E4618">
      <w:pPr>
        <w:spacing w:after="280"/>
        <w:jc w:val="center"/>
        <w:outlineLvl w:val="1"/>
        <w:rPr>
          <w:rFonts w:ascii="Times New Roman Bold" w:eastAsia="Times New Roman" w:hAnsi="Times New Roman Bold"/>
          <w:b/>
          <w:bCs/>
          <w:position w:val="-1"/>
        </w:rPr>
      </w:pPr>
      <w:r w:rsidRPr="0059240B">
        <w:rPr>
          <w:rFonts w:ascii="Times New Roman Bold" w:eastAsia="Times New Roman" w:hAnsi="Times New Roman Bold"/>
          <w:b/>
          <w:bCs/>
          <w:position w:val="-1"/>
        </w:rPr>
        <w:t>VM-21: Requirements for Principle-Based Reserves for Variable Annuities</w:t>
      </w:r>
    </w:p>
    <w:p w14:paraId="5BB9D242" w14:textId="77777777" w:rsidR="003129FE" w:rsidRPr="0059240B" w:rsidRDefault="003129FE" w:rsidP="004E4618">
      <w:pPr>
        <w:spacing w:after="220"/>
        <w:outlineLvl w:val="2"/>
        <w:rPr>
          <w:rFonts w:ascii="Times New Roman" w:eastAsia="Times New Roman" w:hAnsi="Times New Roman"/>
          <w:b/>
        </w:rPr>
      </w:pPr>
    </w:p>
    <w:p w14:paraId="02C404BF" w14:textId="77777777" w:rsidR="003129FE" w:rsidRPr="0059240B" w:rsidRDefault="003129FE" w:rsidP="004E4618">
      <w:pPr>
        <w:spacing w:after="220"/>
        <w:outlineLvl w:val="2"/>
        <w:rPr>
          <w:rFonts w:ascii="Times New Roman" w:eastAsia="Times New Roman" w:hAnsi="Times New Roman"/>
          <w:b/>
        </w:rPr>
      </w:pPr>
    </w:p>
    <w:p w14:paraId="34F6D3E7" w14:textId="66BFE258" w:rsidR="003129FE" w:rsidRPr="0059240B" w:rsidRDefault="003129FE" w:rsidP="00063E8C">
      <w:pPr>
        <w:spacing w:after="220"/>
        <w:outlineLvl w:val="2"/>
      </w:pPr>
      <w:r w:rsidRPr="0059240B">
        <w:rPr>
          <w:rFonts w:ascii="Times New Roman" w:hAnsi="Times New Roman"/>
          <w:b/>
        </w:rPr>
        <w:t xml:space="preserve">Section </w:t>
      </w:r>
      <w:r w:rsidRPr="0059240B">
        <w:rPr>
          <w:rFonts w:ascii="Times New Roman" w:eastAsia="Times New Roman" w:hAnsi="Times New Roman"/>
          <w:b/>
        </w:rPr>
        <w:t>8</w:t>
      </w:r>
      <w:r w:rsidRPr="0059240B">
        <w:rPr>
          <w:rFonts w:ascii="Times New Roman" w:hAnsi="Times New Roman"/>
          <w:b/>
        </w:rPr>
        <w:t xml:space="preserve">: Scenario </w:t>
      </w:r>
      <w:r w:rsidRPr="0059240B">
        <w:rPr>
          <w:rFonts w:ascii="Times New Roman" w:eastAsia="Times New Roman" w:hAnsi="Times New Roman"/>
          <w:b/>
        </w:rPr>
        <w:t>Generation</w:t>
      </w:r>
    </w:p>
    <w:p w14:paraId="7C2C0774" w14:textId="77777777" w:rsidR="003129FE" w:rsidRPr="0059240B" w:rsidRDefault="003129FE" w:rsidP="00063E8C">
      <w:pPr>
        <w:spacing w:after="220"/>
        <w:ind w:left="720" w:hanging="720"/>
        <w:rPr>
          <w:rFonts w:ascii="Times New Roman" w:hAnsi="Times New Roman"/>
        </w:rPr>
      </w:pPr>
      <w:r w:rsidRPr="0059240B">
        <w:rPr>
          <w:rFonts w:ascii="Times New Roman" w:hAnsi="Times New Roman"/>
        </w:rPr>
        <w:t>A.</w:t>
      </w:r>
      <w:r w:rsidRPr="0059240B">
        <w:rPr>
          <w:rFonts w:ascii="Times New Roman" w:hAnsi="Times New Roman"/>
        </w:rPr>
        <w:tab/>
        <w:t>General</w:t>
      </w:r>
    </w:p>
    <w:p w14:paraId="4026E95F" w14:textId="7C40DE64" w:rsidR="003129FE" w:rsidRPr="0059240B" w:rsidRDefault="003129FE" w:rsidP="00E87EFC">
      <w:pPr>
        <w:pStyle w:val="ListParagraph"/>
        <w:numPr>
          <w:ilvl w:val="1"/>
          <w:numId w:val="53"/>
        </w:numPr>
        <w:spacing w:after="220"/>
        <w:rPr>
          <w:rFonts w:ascii="Times New Roman" w:eastAsia="Times New Roman" w:hAnsi="Times New Roman"/>
        </w:rPr>
      </w:pPr>
      <w:r w:rsidRPr="0059240B">
        <w:rPr>
          <w:rFonts w:ascii="Times New Roman" w:eastAsia="Times New Roman" w:hAnsi="Times New Roman"/>
        </w:rPr>
        <w:t>This section outlines the requirements for the stochastic cash-flow models used to simulate interest rates, fund returns, and implied volatility to be used in the modeled projections. Specifically, it prescribes scenario generators and the associated parameters for interest rates, as well as investment returns for general account equity assets and separate account fund returns. In addition, this section sets certain standards that must be satisfied by fund returns, implied volatility scenarios, and non-prescribed scenario generators.  It also discusses general modeling considerations such as the number of scenarios and projection frequency.</w:t>
      </w:r>
    </w:p>
    <w:p w14:paraId="2FD3C1A5" w14:textId="77777777" w:rsidR="003129FE" w:rsidRPr="0059240B" w:rsidRDefault="003129FE" w:rsidP="004E4618">
      <w:pPr>
        <w:spacing w:after="220"/>
        <w:ind w:left="720"/>
        <w:rPr>
          <w:rFonts w:ascii="Times New Roman" w:eastAsia="Times New Roman" w:hAnsi="Times New Roman"/>
        </w:rPr>
      </w:pPr>
      <w:r w:rsidRPr="0059240B">
        <w:rPr>
          <w:rFonts w:ascii="Times New Roman" w:eastAsia="Times New Roman" w:hAnsi="Times New Roman"/>
          <w:noProof/>
        </w:rPr>
        <mc:AlternateContent>
          <mc:Choice Requires="wps">
            <w:drawing>
              <wp:anchor distT="0" distB="0" distL="114300" distR="114300" simplePos="0" relativeHeight="251674624" behindDoc="0" locked="0" layoutInCell="1" allowOverlap="1" wp14:anchorId="25C7E75C" wp14:editId="01037D68">
                <wp:simplePos x="0" y="0"/>
                <wp:positionH relativeFrom="column">
                  <wp:posOffset>475615</wp:posOffset>
                </wp:positionH>
                <wp:positionV relativeFrom="paragraph">
                  <wp:posOffset>9525</wp:posOffset>
                </wp:positionV>
                <wp:extent cx="5602310" cy="1622738"/>
                <wp:effectExtent l="0" t="0" r="11430" b="15875"/>
                <wp:wrapNone/>
                <wp:docPr id="16" name="Text Box 16"/>
                <wp:cNvGraphicFramePr/>
                <a:graphic xmlns:a="http://schemas.openxmlformats.org/drawingml/2006/main">
                  <a:graphicData uri="http://schemas.microsoft.com/office/word/2010/wordprocessingShape">
                    <wps:wsp>
                      <wps:cNvSpPr txBox="1"/>
                      <wps:spPr>
                        <a:xfrm>
                          <a:off x="0" y="0"/>
                          <a:ext cx="5602310" cy="1622738"/>
                        </a:xfrm>
                        <a:prstGeom prst="rect">
                          <a:avLst/>
                        </a:prstGeom>
                        <a:solidFill>
                          <a:schemeClr val="lt1"/>
                        </a:solidFill>
                        <a:ln w="6350">
                          <a:solidFill>
                            <a:prstClr val="black"/>
                          </a:solidFill>
                        </a:ln>
                      </wps:spPr>
                      <wps:txbx>
                        <w:txbxContent>
                          <w:p w14:paraId="23281A70" w14:textId="77777777" w:rsidR="00B76878" w:rsidRPr="001C7A90" w:rsidRDefault="00B76878" w:rsidP="004E4618">
                            <w:pPr>
                              <w:autoSpaceDE w:val="0"/>
                              <w:autoSpaceDN w:val="0"/>
                              <w:adjustRightInd w:val="0"/>
                              <w:ind w:left="720"/>
                              <w:rPr>
                                <w:rFonts w:ascii="Times New Roman" w:eastAsia="Times New Roman" w:hAnsi="Times New Roman"/>
                              </w:rPr>
                            </w:pPr>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p>
                          <w:p w14:paraId="548B0B9C" w14:textId="77777777" w:rsidR="00B76878" w:rsidRDefault="00B76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E75C" id="Text Box 16" o:spid="_x0000_s1030" type="#_x0000_t202" style="position:absolute;left:0;text-align:left;margin-left:37.45pt;margin-top:.75pt;width:441.15pt;height:1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" fillcolor="white [3201]" strokeweight=".5pt">
                <v:textbox>
                  <w:txbxContent>
                    <w:p w14:paraId="23281A70" w14:textId="77777777" w:rsidR="00B76878" w:rsidRPr="001C7A90" w:rsidRDefault="00B76878" w:rsidP="004E4618">
                      <w:pPr>
                        <w:autoSpaceDE w:val="0"/>
                        <w:autoSpaceDN w:val="0"/>
                        <w:adjustRightInd w:val="0"/>
                        <w:ind w:left="720"/>
                        <w:rPr>
                          <w:rFonts w:ascii="Times New Roman" w:eastAsia="Times New Roman" w:hAnsi="Times New Roman"/>
                        </w:rPr>
                      </w:pPr>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p>
                    <w:p w14:paraId="548B0B9C" w14:textId="77777777" w:rsidR="00B76878" w:rsidRDefault="00B76878"/>
                  </w:txbxContent>
                </v:textbox>
              </v:shape>
            </w:pict>
          </mc:Fallback>
        </mc:AlternateContent>
      </w:r>
    </w:p>
    <w:p w14:paraId="69B8B280" w14:textId="77777777" w:rsidR="003129FE" w:rsidRPr="0059240B" w:rsidRDefault="003129FE" w:rsidP="004E4618">
      <w:pPr>
        <w:spacing w:after="220"/>
        <w:ind w:left="720"/>
        <w:rPr>
          <w:rFonts w:ascii="Times New Roman" w:eastAsia="Times New Roman" w:hAnsi="Times New Roman"/>
        </w:rPr>
      </w:pPr>
    </w:p>
    <w:p w14:paraId="6DA4D75A" w14:textId="77777777" w:rsidR="003129FE" w:rsidRPr="0059240B" w:rsidRDefault="003129FE" w:rsidP="004E4618">
      <w:pPr>
        <w:spacing w:after="220"/>
        <w:ind w:left="720"/>
        <w:rPr>
          <w:rFonts w:ascii="Times New Roman" w:eastAsia="Times New Roman" w:hAnsi="Times New Roman"/>
        </w:rPr>
      </w:pPr>
    </w:p>
    <w:p w14:paraId="67E68563" w14:textId="77777777" w:rsidR="003129FE" w:rsidRPr="0059240B" w:rsidRDefault="003129FE" w:rsidP="004E4618">
      <w:pPr>
        <w:spacing w:after="220"/>
        <w:ind w:left="720"/>
        <w:rPr>
          <w:rFonts w:ascii="Times New Roman" w:eastAsia="Times New Roman" w:hAnsi="Times New Roman"/>
        </w:rPr>
      </w:pPr>
    </w:p>
    <w:p w14:paraId="1198242C" w14:textId="77777777" w:rsidR="003129FE" w:rsidRPr="0059240B" w:rsidRDefault="003129FE" w:rsidP="004E4618">
      <w:pPr>
        <w:spacing w:after="220"/>
        <w:rPr>
          <w:rFonts w:ascii="Times New Roman" w:eastAsia="Times New Roman" w:hAnsi="Times New Roman"/>
        </w:rPr>
      </w:pPr>
    </w:p>
    <w:p w14:paraId="14B07378" w14:textId="77777777" w:rsidR="003129FE" w:rsidRPr="0059240B" w:rsidRDefault="003129FE" w:rsidP="0021502F">
      <w:pPr>
        <w:spacing w:after="220"/>
        <w:ind w:left="720"/>
        <w:jc w:val="both"/>
        <w:rPr>
          <w:rFonts w:ascii="Times New Roman" w:eastAsia="Times New Roman" w:hAnsi="Times New Roman"/>
        </w:rPr>
      </w:pPr>
    </w:p>
    <w:p w14:paraId="2F0CEF0B" w14:textId="077DD3DC" w:rsidR="003129FE" w:rsidRPr="0059240B" w:rsidRDefault="003129FE" w:rsidP="00063E8C">
      <w:pPr>
        <w:pStyle w:val="ListParagraph"/>
        <w:numPr>
          <w:ilvl w:val="1"/>
          <w:numId w:val="53"/>
        </w:numPr>
        <w:spacing w:after="220"/>
        <w:rPr>
          <w:rFonts w:ascii="Times New Roman" w:eastAsia="Times New Roman" w:hAnsi="Times New Roman"/>
        </w:rPr>
      </w:pPr>
      <w:r w:rsidRPr="0059240B">
        <w:rPr>
          <w:rFonts w:ascii="Times New Roman" w:eastAsia="Times New Roman" w:hAnsi="Times New Roman"/>
        </w:rPr>
        <w:t>The scenarios discussed in this section are applicable to gross investment returns (before the deduction of any fees or charges). To determine the net returns appropriate for the projections required by these requirements, the company shall reflect applicable fees and contract</w:t>
      </w:r>
      <w:r w:rsidR="003B2C27" w:rsidRPr="0059240B">
        <w:rPr>
          <w:rFonts w:ascii="Times New Roman" w:eastAsia="Times New Roman" w:hAnsi="Times New Roman"/>
        </w:rPr>
        <w:t xml:space="preserve"> </w:t>
      </w:r>
      <w:r w:rsidRPr="0059240B">
        <w:rPr>
          <w:rFonts w:ascii="Times New Roman" w:eastAsia="Times New Roman" w:hAnsi="Times New Roman"/>
        </w:rPr>
        <w:t>holder charges in the development of projected account values. The projections also shall include the costs of managing the investments and converting the assets into cash when necessary.</w:t>
      </w:r>
    </w:p>
    <w:p w14:paraId="1E3B578F" w14:textId="01355F5D" w:rsidR="003129FE" w:rsidRPr="0059240B" w:rsidRDefault="003129FE" w:rsidP="00063E8C">
      <w:pPr>
        <w:pStyle w:val="ListParagraph"/>
        <w:numPr>
          <w:ilvl w:val="1"/>
          <w:numId w:val="53"/>
        </w:numPr>
        <w:spacing w:after="220"/>
        <w:rPr>
          <w:rFonts w:ascii="Times New Roman" w:eastAsia="Times New Roman" w:hAnsi="Times New Roman"/>
        </w:rPr>
      </w:pPr>
      <w:r w:rsidRPr="0059240B">
        <w:rPr>
          <w:rFonts w:ascii="Times New Roman" w:eastAsia="Times New Roman" w:hAnsi="Times New Roman"/>
        </w:rPr>
        <w:t>As a general rule, funds with higher expected returns should have higher expected volatilities, and in the absence of well-documented mitigating factors (e.g., a highly reliable and favorable correlation to other fund returns), they should lead to higher total asset requirements.</w:t>
      </w:r>
    </w:p>
    <w:p w14:paraId="659AC544" w14:textId="77777777" w:rsidR="003129FE" w:rsidRPr="0059240B"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t>
      </w:r>
    </w:p>
    <w:p w14:paraId="6436C68D" w14:textId="3352CD5C" w:rsidR="003129FE" w:rsidRPr="0059240B" w:rsidRDefault="003129FE" w:rsidP="00063E8C">
      <w:pPr>
        <w:pStyle w:val="ListParagraph"/>
        <w:numPr>
          <w:ilvl w:val="1"/>
          <w:numId w:val="53"/>
        </w:numPr>
        <w:spacing w:after="220"/>
        <w:rPr>
          <w:rFonts w:ascii="Times New Roman" w:eastAsia="Times New Roman" w:hAnsi="Times New Roman"/>
        </w:rPr>
      </w:pPr>
      <w:r w:rsidRPr="0059240B">
        <w:rPr>
          <w:rFonts w:ascii="Times New Roman" w:eastAsia="Times New Roman" w:hAnsi="Times New Roman"/>
        </w:rPr>
        <w:t xml:space="preserve">For non-prescribed generators, the interest rate, equity, and implied volatility </w:t>
      </w:r>
      <w:r w:rsidR="00776113" w:rsidRPr="0059240B">
        <w:rPr>
          <w:rFonts w:ascii="Times New Roman" w:eastAsia="Times New Roman" w:hAnsi="Times New Roman"/>
        </w:rPr>
        <w:t>s</w:t>
      </w:r>
      <w:r w:rsidRPr="0059240B">
        <w:rPr>
          <w:rFonts w:ascii="Times New Roman" w:eastAsia="Times New Roman" w:hAnsi="Times New Roman"/>
        </w:rPr>
        <w:t>cenarios used to determine reserves must be available in an electronic spreadsheet to facilitate any regulatory review.</w:t>
      </w:r>
    </w:p>
    <w:p w14:paraId="246C09BB" w14:textId="7E9CB269" w:rsidR="003129FE" w:rsidRPr="0059240B" w:rsidRDefault="003129FE" w:rsidP="004E4618">
      <w:pPr>
        <w:spacing w:after="220"/>
        <w:ind w:left="720" w:hanging="720"/>
        <w:rPr>
          <w:rFonts w:ascii="Times New Roman" w:hAnsi="Times New Roman"/>
        </w:rPr>
      </w:pPr>
      <w:r w:rsidRPr="0059240B">
        <w:rPr>
          <w:rFonts w:ascii="Times New Roman" w:hAnsi="Times New Roman"/>
        </w:rPr>
        <w:t>B.</w:t>
      </w:r>
      <w:r w:rsidRPr="0059240B">
        <w:rPr>
          <w:rFonts w:ascii="Times New Roman" w:hAnsi="Times New Roman"/>
        </w:rPr>
        <w:tab/>
      </w:r>
      <w:r w:rsidRPr="0059240B">
        <w:rPr>
          <w:rFonts w:ascii="Times New Roman" w:eastAsia="Times New Roman" w:hAnsi="Times New Roman"/>
        </w:rPr>
        <w:t>Prescribed Interest Rate Scenario Generator</w:t>
      </w:r>
    </w:p>
    <w:p w14:paraId="5FBE2419" w14:textId="77777777" w:rsidR="003129FE" w:rsidRPr="0059240B" w:rsidRDefault="003129FE" w:rsidP="00E87EFC">
      <w:pPr>
        <w:pStyle w:val="ListParagraph"/>
        <w:numPr>
          <w:ilvl w:val="0"/>
          <w:numId w:val="54"/>
        </w:numPr>
        <w:spacing w:after="220"/>
        <w:rPr>
          <w:rFonts w:ascii="Times New Roman" w:eastAsia="Times New Roman" w:hAnsi="Times New Roman"/>
        </w:rPr>
      </w:pPr>
      <w:r w:rsidRPr="0059240B">
        <w:rPr>
          <w:rFonts w:ascii="Times New Roman" w:eastAsia="Times New Roman" w:hAnsi="Times New Roman"/>
        </w:rPr>
        <w:t>U.S. Treasury interest rate curves shall be determined on a stochastic basis using the prescribed interest rate scenario generator with prescribed parameters, or a non-prescribed generator that meets the requirements described in Section 8.E.</w:t>
      </w:r>
    </w:p>
    <w:p w14:paraId="1C7BB2C5" w14:textId="1DCCBB54" w:rsidR="003129FE" w:rsidRPr="0059240B" w:rsidRDefault="003129FE" w:rsidP="00E87EFC">
      <w:pPr>
        <w:pStyle w:val="ListParagraph"/>
        <w:numPr>
          <w:ilvl w:val="0"/>
          <w:numId w:val="54"/>
        </w:numPr>
        <w:spacing w:after="220"/>
        <w:rPr>
          <w:rFonts w:ascii="Times New Roman" w:eastAsia="Times New Roman" w:hAnsi="Times New Roman"/>
        </w:rPr>
      </w:pPr>
      <w:r w:rsidRPr="0059240B">
        <w:rPr>
          <w:rFonts w:ascii="Times New Roman" w:eastAsia="Times New Roman" w:hAnsi="Times New Roman"/>
        </w:rPr>
        <w:t xml:space="preserve">The prescribed interest rate scenario generator can be found on the Society of Actuaries’ website </w:t>
      </w:r>
      <w:r w:rsidRPr="0059240B">
        <w:rPr>
          <w:rFonts w:ascii="Times New Roman" w:eastAsia="Times New Roman" w:hAnsi="Times New Roman"/>
        </w:rPr>
        <w:lastRenderedPageBreak/>
        <w:t xml:space="preserve">address, </w:t>
      </w:r>
      <w:r w:rsidRPr="0059240B">
        <w:rPr>
          <w:i/>
          <w:iCs/>
        </w:rPr>
        <w:t>www.soa.org/tables-calcs-tools/research-scenario/</w:t>
      </w:r>
      <w:r w:rsidRPr="0059240B">
        <w:rPr>
          <w:rFonts w:ascii="Times New Roman" w:eastAsia="Times New Roman" w:hAnsi="Times New Roman"/>
        </w:rPr>
        <w:t xml:space="preserve">. The prescribed parameters for the </w:t>
      </w:r>
      <w:r w:rsidR="00D3686A" w:rsidRPr="0059240B">
        <w:rPr>
          <w:rFonts w:ascii="Times New Roman" w:eastAsia="Times New Roman" w:hAnsi="Times New Roman"/>
        </w:rPr>
        <w:t xml:space="preserve">prescribed </w:t>
      </w:r>
      <w:r w:rsidRPr="0059240B">
        <w:rPr>
          <w:rFonts w:ascii="Times New Roman" w:eastAsia="Times New Roman" w:hAnsi="Times New Roman"/>
        </w:rPr>
        <w:t xml:space="preserve">interest rate </w:t>
      </w:r>
      <w:r w:rsidR="00D3686A" w:rsidRPr="0059240B">
        <w:rPr>
          <w:rFonts w:ascii="Times New Roman" w:eastAsia="Times New Roman" w:hAnsi="Times New Roman"/>
        </w:rPr>
        <w:t xml:space="preserve">scenario </w:t>
      </w:r>
      <w:r w:rsidRPr="0059240B">
        <w:rPr>
          <w:rFonts w:ascii="Times New Roman" w:eastAsia="Times New Roman" w:hAnsi="Times New Roman"/>
        </w:rPr>
        <w:t>generator shall be those included in the prescribed interest rate scenario generator, and shall use the mean reversion point for the 20-year U.S. Treasury bond rate based on the following formula, with the result rounded to the nearest 0.25%:</w:t>
      </w:r>
    </w:p>
    <w:p w14:paraId="5085E151" w14:textId="77777777" w:rsidR="003129FE" w:rsidRPr="0059240B" w:rsidRDefault="003129FE" w:rsidP="004E4618">
      <w:pPr>
        <w:spacing w:after="220"/>
        <w:ind w:left="2070"/>
        <w:rPr>
          <w:rFonts w:ascii="Times New Roman" w:eastAsia="Times New Roman" w:hAnsi="Times New Roman"/>
        </w:rPr>
      </w:pPr>
      <w:r w:rsidRPr="0059240B">
        <w:rPr>
          <w:rFonts w:ascii="Times New Roman" w:eastAsia="Times New Roman" w:hAnsi="Times New Roman"/>
        </w:rPr>
        <w:t>20% of the median 20-year U.S. Treasury bond rate over the last 600 months</w:t>
      </w:r>
    </w:p>
    <w:p w14:paraId="3B21D1A5" w14:textId="77777777" w:rsidR="003129FE" w:rsidRPr="0059240B" w:rsidRDefault="003129FE" w:rsidP="004E4618">
      <w:pPr>
        <w:spacing w:after="220"/>
        <w:ind w:left="2070"/>
        <w:rPr>
          <w:rFonts w:ascii="Times New Roman" w:eastAsia="Times New Roman" w:hAnsi="Times New Roman"/>
        </w:rPr>
      </w:pPr>
      <w:r w:rsidRPr="0059240B">
        <w:rPr>
          <w:rFonts w:ascii="Times New Roman" w:eastAsia="Times New Roman" w:hAnsi="Times New Roman"/>
        </w:rPr>
        <w:t>+ 30% of the average 20-year U.S. Treasury bond rate over the last 120 months</w:t>
      </w:r>
    </w:p>
    <w:p w14:paraId="1B746C07" w14:textId="77777777" w:rsidR="003129FE" w:rsidRPr="0059240B" w:rsidRDefault="003129FE" w:rsidP="004E4618">
      <w:pPr>
        <w:spacing w:after="220"/>
        <w:ind w:left="2070"/>
        <w:rPr>
          <w:rFonts w:ascii="Times New Roman" w:eastAsia="Times New Roman" w:hAnsi="Times New Roman"/>
        </w:rPr>
      </w:pPr>
      <w:r w:rsidRPr="0059240B">
        <w:rPr>
          <w:rFonts w:ascii="Times New Roman" w:eastAsia="Times New Roman" w:hAnsi="Times New Roman"/>
        </w:rPr>
        <w:t>+ 50% of the average 20-year U.S. Treasury bond rate over the last 36 months.</w:t>
      </w:r>
    </w:p>
    <w:p w14:paraId="5C610E26" w14:textId="77777777" w:rsidR="003129FE" w:rsidRPr="0059240B" w:rsidRDefault="003129FE" w:rsidP="004E4618">
      <w:pPr>
        <w:spacing w:after="220"/>
        <w:ind w:left="1440"/>
        <w:rPr>
          <w:rFonts w:ascii="Times New Roman" w:hAnsi="Times New Roman"/>
        </w:rPr>
      </w:pPr>
    </w:p>
    <w:p w14:paraId="1268BE32" w14:textId="77777777" w:rsidR="003129FE" w:rsidRPr="0059240B" w:rsidRDefault="003129FE" w:rsidP="004E4618">
      <w:pPr>
        <w:spacing w:after="220"/>
        <w:ind w:left="1440"/>
        <w:rPr>
          <w:rFonts w:ascii="Times New Roman" w:eastAsia="Times New Roman" w:hAnsi="Times New Roman"/>
        </w:rPr>
      </w:pPr>
      <w:r w:rsidRPr="0059240B">
        <w:rPr>
          <w:rFonts w:ascii="Times New Roman" w:hAnsi="Times New Roman"/>
        </w:rPr>
        <w:t xml:space="preserve">The </w:t>
      </w:r>
      <w:r w:rsidRPr="0059240B">
        <w:rPr>
          <w:rFonts w:ascii="Times New Roman" w:eastAsia="Times New Roman" w:hAnsi="Times New Roman"/>
          <w:iCs/>
        </w:rPr>
        <w:t xml:space="preserve">mean reversion point for use in the generator changes </w:t>
      </w:r>
      <w:r w:rsidRPr="0059240B">
        <w:rPr>
          <w:rFonts w:ascii="Times New Roman" w:eastAsia="Times New Roman" w:hAnsi="Times New Roman"/>
          <w:bCs/>
          <w:iCs/>
        </w:rPr>
        <w:t>once per calendar year, in January,</w:t>
      </w:r>
      <w:r w:rsidRPr="0059240B">
        <w:rPr>
          <w:rFonts w:ascii="Times New Roman" w:eastAsia="Times New Roman" w:hAnsi="Times New Roman"/>
          <w:iCs/>
        </w:rPr>
        <w:t xml:space="preserve"> and is based on historical rates through the end of the prior calendar year. While the mean reversion point is dynamic depending on the start date of a scenario, it remains constant (rather than dynamic) across all time periods after the scenario start date, for purposes of generating the scenario.  </w:t>
      </w:r>
    </w:p>
    <w:p w14:paraId="57553757" w14:textId="77777777" w:rsidR="003129FE" w:rsidRPr="0059240B" w:rsidRDefault="003129FE" w:rsidP="004E4618">
      <w:pPr>
        <w:spacing w:after="220"/>
        <w:ind w:left="720"/>
        <w:rPr>
          <w:rFonts w:ascii="Times New Roman" w:hAnsi="Times New Roman"/>
        </w:rPr>
      </w:pPr>
    </w:p>
    <w:p w14:paraId="76568204" w14:textId="33632FC0" w:rsidR="003129FE" w:rsidRPr="0059240B" w:rsidRDefault="003129FE" w:rsidP="00E87EFC">
      <w:pPr>
        <w:pStyle w:val="ListParagraph"/>
        <w:numPr>
          <w:ilvl w:val="0"/>
          <w:numId w:val="54"/>
        </w:numPr>
        <w:spacing w:after="220"/>
        <w:rPr>
          <w:rFonts w:ascii="Times New Roman" w:eastAsia="Times New Roman" w:hAnsi="Times New Roman"/>
        </w:rPr>
      </w:pPr>
      <w:r w:rsidRPr="0059240B">
        <w:rPr>
          <w:rFonts w:ascii="Times New Roman" w:eastAsia="Times New Roman" w:hAnsi="Times New Roman"/>
        </w:rPr>
        <w:t xml:space="preserve">For this formula, the historical 20-year U.S. Treasury bond rate for each month shall be the rate reported for the last business day of the month.  </w:t>
      </w:r>
      <w:r w:rsidRPr="0059240B">
        <w:t xml:space="preserve">Treasury interest rates can be found at the website: </w:t>
      </w:r>
      <w:hyperlink r:id="rId21" w:history="1">
        <w:r w:rsidRPr="0059240B">
          <w:rPr>
            <w:i/>
            <w:iCs/>
            <w:color w:val="0000FF"/>
            <w:u w:val="single"/>
          </w:rPr>
          <w:t>www.treas.gov/offices/domestic-finance/debt-management/interest-rate/yield_historical_main.shtml</w:t>
        </w:r>
      </w:hyperlink>
      <w:r w:rsidRPr="0059240B">
        <w:t xml:space="preserve">. </w:t>
      </w:r>
    </w:p>
    <w:p w14:paraId="6FC6D17B" w14:textId="77777777" w:rsidR="003129FE" w:rsidRPr="0059240B" w:rsidRDefault="003129FE" w:rsidP="004E4618">
      <w:pPr>
        <w:spacing w:after="220"/>
        <w:ind w:left="72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Prescribed Total Investment Return Scenario Generator for Equity Assets and Separate Account Funds</w:t>
      </w:r>
    </w:p>
    <w:p w14:paraId="395F499B" w14:textId="300E9050" w:rsidR="003129FE" w:rsidRPr="0059240B" w:rsidRDefault="003129FE" w:rsidP="00E87EF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Total investment return paths for general account equity assets and separate account fund returns shall be determined on a stochastic basis using the prescribed economic scenario generator with prescribed parameters.</w:t>
      </w:r>
    </w:p>
    <w:p w14:paraId="39C326D4" w14:textId="748654E7" w:rsidR="00D3686A" w:rsidRPr="0059240B" w:rsidRDefault="00D3686A" w:rsidP="00D3686A">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b/>
        </w:rPr>
      </w:pPr>
      <w:r w:rsidRPr="0059240B">
        <w:rPr>
          <w:rFonts w:ascii="Times New Roman" w:eastAsia="Times New Roman" w:hAnsi="Times New Roman"/>
          <w:b/>
        </w:rPr>
        <w:t xml:space="preserve">Guidance Note: </w:t>
      </w:r>
      <w:r w:rsidRPr="0059240B">
        <w:rPr>
          <w:rFonts w:ascii="Times New Roman" w:eastAsia="Times New Roman" w:hAnsi="Times New Roman"/>
        </w:rPr>
        <w:t>In lieu of the prescribed</w:t>
      </w:r>
      <w:r w:rsidR="005B7E6B" w:rsidRPr="0059240B">
        <w:rPr>
          <w:rFonts w:ascii="Times New Roman" w:eastAsia="Times New Roman" w:hAnsi="Times New Roman"/>
        </w:rPr>
        <w:t xml:space="preserve"> economic</w:t>
      </w:r>
      <w:r w:rsidRPr="0059240B">
        <w:rPr>
          <w:rFonts w:ascii="Times New Roman" w:eastAsia="Times New Roman" w:hAnsi="Times New Roman"/>
        </w:rPr>
        <w:t xml:space="preserve"> generators, the company may substitute scenarios fro</w:t>
      </w:r>
      <w:r w:rsidR="00E81E3B" w:rsidRPr="0059240B">
        <w:rPr>
          <w:rFonts w:ascii="Times New Roman" w:eastAsia="Times New Roman" w:hAnsi="Times New Roman"/>
        </w:rPr>
        <w:t>m</w:t>
      </w:r>
      <w:r w:rsidRPr="0059240B">
        <w:rPr>
          <w:rFonts w:ascii="Times New Roman" w:eastAsia="Times New Roman" w:hAnsi="Times New Roman"/>
        </w:rPr>
        <w:t xml:space="preserve"> a non-prescribed</w:t>
      </w:r>
      <w:r w:rsidR="005B7E6B" w:rsidRPr="0059240B">
        <w:rPr>
          <w:rFonts w:ascii="Times New Roman" w:eastAsia="Times New Roman" w:hAnsi="Times New Roman"/>
        </w:rPr>
        <w:t xml:space="preserve"> economic</w:t>
      </w:r>
      <w:r w:rsidRPr="0059240B">
        <w:rPr>
          <w:rFonts w:ascii="Times New Roman" w:eastAsia="Times New Roman" w:hAnsi="Times New Roman"/>
        </w:rPr>
        <w:t xml:space="preserve"> generator that meets the requirements described in Section 8.E.</w:t>
      </w:r>
    </w:p>
    <w:p w14:paraId="179784C5" w14:textId="240169ED" w:rsidR="003129FE" w:rsidRPr="0059240B" w:rsidRDefault="003129FE" w:rsidP="00E87EF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 xml:space="preserve">The prescribed economic scenario generator can be found on the Society of Actuaries’ website address, </w:t>
      </w:r>
      <w:r w:rsidRPr="0059240B">
        <w:rPr>
          <w:i/>
          <w:iCs/>
        </w:rPr>
        <w:t>www.soa.org/tables-calcs-tools/research-scenario/</w:t>
      </w:r>
      <w:r w:rsidRPr="0059240B">
        <w:rPr>
          <w:rFonts w:ascii="Times New Roman" w:eastAsia="Times New Roman" w:hAnsi="Times New Roman"/>
        </w:rPr>
        <w:t xml:space="preserve">. The prescribed parameters for the </w:t>
      </w:r>
      <w:r w:rsidR="00D3686A" w:rsidRPr="0059240B">
        <w:rPr>
          <w:rFonts w:ascii="Times New Roman" w:eastAsia="Times New Roman" w:hAnsi="Times New Roman"/>
        </w:rPr>
        <w:t xml:space="preserve">prescribed economic </w:t>
      </w:r>
      <w:r w:rsidRPr="0059240B">
        <w:rPr>
          <w:rFonts w:ascii="Times New Roman" w:eastAsia="Times New Roman" w:hAnsi="Times New Roman"/>
        </w:rPr>
        <w:t>scenario generator shall be those included in the prescribed</w:t>
      </w:r>
      <w:r w:rsidR="00D3686A" w:rsidRPr="0059240B">
        <w:rPr>
          <w:rFonts w:ascii="Times New Roman" w:eastAsia="Times New Roman" w:hAnsi="Times New Roman"/>
        </w:rPr>
        <w:t xml:space="preserve"> economic</w:t>
      </w:r>
      <w:r w:rsidRPr="0059240B">
        <w:rPr>
          <w:rFonts w:ascii="Times New Roman" w:eastAsia="Times New Roman" w:hAnsi="Times New Roman"/>
        </w:rPr>
        <w:t xml:space="preserve"> scenario generator.  A </w:t>
      </w:r>
      <w:r w:rsidR="00D3686A" w:rsidRPr="0059240B">
        <w:rPr>
          <w:rFonts w:ascii="Times New Roman" w:eastAsia="Times New Roman" w:hAnsi="Times New Roman"/>
        </w:rPr>
        <w:t xml:space="preserve">more complete </w:t>
      </w:r>
      <w:r w:rsidRPr="0059240B">
        <w:rPr>
          <w:rFonts w:ascii="Times New Roman" w:eastAsia="Times New Roman" w:hAnsi="Times New Roman"/>
        </w:rPr>
        <w:t>description of the generator and development of assumptions is contained in the Academy report referenced in the Guidance Note following Section 8.A.1 above.</w:t>
      </w:r>
    </w:p>
    <w:p w14:paraId="2ACD3BA8" w14:textId="5DC786FC" w:rsidR="003129FE" w:rsidRPr="0059240B" w:rsidRDefault="003129FE" w:rsidP="00E87EF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The company shall map each of the proxy funds defined in Section 4.A.2 to the fund returns projected by the prescribed economic scenario generator</w:t>
      </w:r>
      <w:r w:rsidR="006F54BC" w:rsidRPr="0059240B">
        <w:rPr>
          <w:rFonts w:ascii="Times New Roman" w:eastAsia="Times New Roman" w:hAnsi="Times New Roman"/>
        </w:rPr>
        <w:t xml:space="preserve"> </w:t>
      </w:r>
      <w:r w:rsidRPr="0059240B">
        <w:rPr>
          <w:rFonts w:ascii="Times New Roman" w:eastAsia="Times New Roman" w:hAnsi="Times New Roman"/>
        </w:rPr>
        <w:t>. This mapping process may involve blending the accumulation factors from two or more of the prescribed fund returns to create the projected returns for each proxy fund. If a proxy fund cannot be appropriately mapped to some combination of the prescribed returns, the company shall determine an appropriate return using a non-prescribed scenario generator and disclose the methodology underlying the non-prescribed scenario generator.</w:t>
      </w:r>
    </w:p>
    <w:p w14:paraId="5845DA23" w14:textId="63B4ADD8" w:rsidR="003129FE" w:rsidRPr="0059240B" w:rsidRDefault="003129FE" w:rsidP="00063E8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 xml:space="preserve">In using </w:t>
      </w:r>
      <w:r w:rsidR="00D3686A" w:rsidRPr="0059240B">
        <w:rPr>
          <w:rFonts w:ascii="Times New Roman" w:eastAsia="Times New Roman" w:hAnsi="Times New Roman"/>
        </w:rPr>
        <w:t xml:space="preserve">non-prescribed </w:t>
      </w:r>
      <w:r w:rsidRPr="0059240B">
        <w:rPr>
          <w:rFonts w:ascii="Times New Roman" w:eastAsia="Times New Roman" w:hAnsi="Times New Roman"/>
        </w:rPr>
        <w:t xml:space="preserve">scenario generators to determine the return for proxy funds that cannot be </w:t>
      </w:r>
      <w:r w:rsidRPr="0059240B">
        <w:rPr>
          <w:rFonts w:ascii="Times New Roman" w:eastAsia="Times New Roman" w:hAnsi="Times New Roman"/>
        </w:rPr>
        <w:lastRenderedPageBreak/>
        <w:t>mapped to the prescribed</w:t>
      </w:r>
      <w:r w:rsidR="005B7E6B" w:rsidRPr="0059240B">
        <w:rPr>
          <w:rFonts w:ascii="Times New Roman" w:eastAsia="Times New Roman" w:hAnsi="Times New Roman"/>
        </w:rPr>
        <w:t xml:space="preserve"> economic</w:t>
      </w:r>
      <w:r w:rsidRPr="0059240B">
        <w:rPr>
          <w:rFonts w:ascii="Times New Roman" w:eastAsia="Times New Roman" w:hAnsi="Times New Roman"/>
        </w:rPr>
        <w:t xml:space="preserve"> generator, the scenarios so generated must be consistent with the general relationships between risk and return observed in  the fund returns from the prescribed scenario generator. This does not imply a strict functional relationship between the model parameters for various markets/funds, but it would generally be inappropriate to assume that a market or fund consistently “outperforms” (lower risk, higher expected return relative to the efficient frontier) over the long term.</w:t>
      </w:r>
    </w:p>
    <w:p w14:paraId="2AAF717D" w14:textId="77777777" w:rsidR="003129FE" w:rsidRPr="0059240B" w:rsidRDefault="003129FE" w:rsidP="00063E8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 That is, higher expected returns can only be garnered by assuming greater risk.</w:t>
      </w:r>
    </w:p>
    <w:p w14:paraId="27A1870D" w14:textId="03CA662F" w:rsidR="003129FE" w:rsidRPr="0059240B"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59240B">
        <w:rPr>
          <w:rFonts w:ascii="Times New Roman" w:hAnsi="Times New Roman"/>
          <w:b/>
        </w:rPr>
        <w:t xml:space="preserve">Guidance Note: </w:t>
      </w:r>
      <w:r w:rsidRPr="0059240B">
        <w:rPr>
          <w:rFonts w:ascii="Times New Roman" w:hAnsi="Times New Roman"/>
        </w:rPr>
        <w:t xml:space="preserve">As an example, the standard deviation of log returns often is used as a measure of risk. Specifically, two return distributions </w:t>
      </w:r>
      <w:r w:rsidR="000E0A82" w:rsidRPr="0059240B">
        <w:rPr>
          <w:rFonts w:ascii="Times New Roman" w:hAnsi="Times New Roman"/>
        </w:rPr>
        <w:t>Rx</w:t>
      </w:r>
      <w:r w:rsidRPr="0059240B">
        <w:rPr>
          <w:rFonts w:ascii="Times New Roman" w:hAnsi="Times New Roman"/>
          <w:i/>
        </w:rPr>
        <w:t xml:space="preserve"> </w:t>
      </w:r>
      <w:r w:rsidRPr="0059240B">
        <w:rPr>
          <w:rFonts w:ascii="Times New Roman" w:hAnsi="Times New Roman"/>
        </w:rPr>
        <w:t xml:space="preserve">and </w:t>
      </w:r>
      <w:r w:rsidR="000E0A82" w:rsidRPr="0059240B">
        <w:rPr>
          <w:rFonts w:ascii="Times New Roman" w:hAnsi="Times New Roman"/>
        </w:rPr>
        <w:t>Ry</w:t>
      </w:r>
      <w:r w:rsidRPr="0059240B">
        <w:rPr>
          <w:rFonts w:ascii="Times New Roman" w:hAnsi="Times New Roman"/>
          <w:i/>
        </w:rPr>
        <w:t xml:space="preserve"> </w:t>
      </w:r>
      <w:r w:rsidRPr="0059240B">
        <w:rPr>
          <w:rFonts w:ascii="Times New Roman" w:hAnsi="Times New Roman"/>
        </w:rPr>
        <w:t>would satisfy the following relationship:</w:t>
      </w:r>
    </w:p>
    <w:p w14:paraId="7AC6D1DD" w14:textId="2203FBD1" w:rsidR="003129FE" w:rsidRPr="0059240B" w:rsidRDefault="003129FE" w:rsidP="004E4618">
      <w:pPr>
        <w:pBdr>
          <w:top w:val="single" w:sz="4" w:space="1" w:color="auto"/>
          <w:left w:val="single" w:sz="4" w:space="4" w:color="auto"/>
          <w:bottom w:val="single" w:sz="4" w:space="1" w:color="auto"/>
          <w:right w:val="single" w:sz="4" w:space="4" w:color="auto"/>
        </w:pBdr>
        <w:tabs>
          <w:tab w:val="left" w:pos="1440"/>
        </w:tabs>
        <w:spacing w:after="220"/>
        <w:ind w:left="720"/>
        <w:rPr>
          <w:rFonts w:ascii="Times New Roman" w:hAnsi="Times New Roman"/>
        </w:rPr>
      </w:pPr>
      <w:r w:rsidRPr="0059240B">
        <w:rPr>
          <w:rFonts w:ascii="Times New Roman" w:hAnsi="Times New Roman"/>
        </w:rPr>
        <w:tab/>
      </w:r>
      <w:r w:rsidR="00B76878" w:rsidRPr="0059240B">
        <w:rPr>
          <w:rFonts w:ascii="Times New Roman" w:hAnsi="Times New Roman"/>
          <w:noProof/>
          <w:position w:val="-32"/>
        </w:rPr>
        <w:pict w14:anchorId="05EAA265">
          <v:shape id="_x0000_i1039" type="#_x0000_t75" alt="" style="width:208.5pt;height:36pt;mso-width-percent:0;mso-height-percent:0;mso-width-percent:0;mso-height-percent:0">
            <v:imagedata r:id="rId22" o:title=""/>
          </v:shape>
        </w:pict>
      </w:r>
    </w:p>
    <w:p w14:paraId="386E0AD0" w14:textId="7C416A74" w:rsidR="003129FE" w:rsidRPr="0059240B"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59240B">
        <w:rPr>
          <w:rFonts w:ascii="Times New Roman" w:hAnsi="Times New Roman"/>
        </w:rPr>
        <w:t xml:space="preserve">Where </w:t>
      </w:r>
      <w:r w:rsidR="00190B3A" w:rsidRPr="0059240B">
        <w:rPr>
          <w:rFonts w:ascii="Times New Roman" w:eastAsia="Times New Roman" w:hAnsi="Times New Roman"/>
          <w:noProof/>
        </w:rPr>
        <w:object w:dxaOrig="440" w:dyaOrig="279" w14:anchorId="67855678">
          <v:shape id="_x0000_i1041" type="#_x0000_t75" alt="" style="width:14.25pt;height:14.25pt;mso-width-percent:0;mso-height-percent:0;mso-width-percent:0;mso-height-percent:0" o:ole="">
            <v:imagedata r:id="rId23" o:title=""/>
          </v:shape>
          <o:OLEObject Type="Embed" ProgID="Equation.3" ShapeID="_x0000_i1041" DrawAspect="Content" ObjectID="_1619594763" r:id="rId24"/>
        </w:object>
      </w:r>
      <w:r w:rsidRPr="0059240B">
        <w:rPr>
          <w:rFonts w:ascii="Times New Roman" w:hAnsi="Times New Roman"/>
        </w:rPr>
        <w:t xml:space="preserve"> and </w:t>
      </w:r>
      <w:r w:rsidRPr="0059240B">
        <w:rPr>
          <w:rFonts w:ascii="Times New Roman" w:hAnsi="Times New Roman"/>
        </w:rPr>
        <w:sym w:font="Symbol" w:char="F073"/>
      </w:r>
      <w:r w:rsidRPr="0059240B">
        <w:rPr>
          <w:rFonts w:ascii="Times New Roman" w:hAnsi="Times New Roman"/>
        </w:rPr>
        <w:t xml:space="preserve"> are respectively the (unconditional) expected returns and volatilities, and r is the expected risk-free rate over a suitably long holding period commensurate with the projection horizon. One approach to establish consistent scenarios would set the model parameters to maintain a near-constant market price of risk.</w:t>
      </w:r>
    </w:p>
    <w:p w14:paraId="70A1AD65" w14:textId="77777777" w:rsidR="003129FE" w:rsidRPr="0059240B" w:rsidRDefault="003129FE" w:rsidP="00063E8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A closely related method would assume some form of “mean-variance” efficiency to establish consistent model parameters. Using the historic data, the mean-variance (alternatively, “drift-volatility”) frontier could be constructed from a plot of (mean, variance) pairs from a collection of world market indices. The frontier could be assumed to follow some functional form, with the coefficients determined by standard curve fitting or regression techniques. Recognizing the uncertainty in the data, a “corridor” could be established for the frontier. Model parameters would then be adjusted to move the proxy market (fund) inside the corridor.</w:t>
      </w:r>
    </w:p>
    <w:p w14:paraId="0585E1BF" w14:textId="77777777" w:rsidR="003129FE" w:rsidRPr="0059240B"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59240B">
        <w:rPr>
          <w:rFonts w:ascii="Times New Roman" w:hAnsi="Times New Roman"/>
          <w:b/>
        </w:rPr>
        <w:t xml:space="preserve">Guidance Note: </w:t>
      </w:r>
      <w:r w:rsidRPr="0059240B">
        <w:rPr>
          <w:rFonts w:ascii="Times New Roman" w:hAnsi="Times New Roman"/>
        </w:rPr>
        <w:t>The function forms quadratic polynomials, and logarithmic functions tend to work well.</w:t>
      </w:r>
    </w:p>
    <w:p w14:paraId="7C321F25" w14:textId="749DEDB5" w:rsidR="003129FE" w:rsidRPr="0059240B" w:rsidRDefault="003129FE" w:rsidP="00063E8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Clearly, there are many other techniques that could be used to establishing consistency between the scenarios. While appealing, the above approaches do have drawbacks, and the company should not be overly optimistic in constructing the model parameters or the scenarios.</w:t>
      </w:r>
    </w:p>
    <w:p w14:paraId="29E1C894" w14:textId="77777777" w:rsidR="003129FE" w:rsidRPr="0059240B"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59240B">
        <w:rPr>
          <w:rFonts w:ascii="Times New Roman" w:hAnsi="Times New Roman"/>
          <w:b/>
        </w:rPr>
        <w:t xml:space="preserve">Guidance Note: </w:t>
      </w:r>
      <w:r w:rsidRPr="0059240B">
        <w:rPr>
          <w:rFonts w:ascii="Times New Roman" w:hAnsi="Times New Roman"/>
        </w:rPr>
        <w:t>For example, mean-variance measures ignore the asymmetric and fat-tailed profile of most equity market returns.</w:t>
      </w:r>
    </w:p>
    <w:p w14:paraId="706DA02D" w14:textId="3043F5FC" w:rsidR="003129FE" w:rsidRPr="0059240B" w:rsidRDefault="003129FE" w:rsidP="00E87EFC">
      <w:pPr>
        <w:pStyle w:val="ListParagraph"/>
        <w:numPr>
          <w:ilvl w:val="0"/>
          <w:numId w:val="58"/>
        </w:numPr>
        <w:spacing w:after="220"/>
        <w:rPr>
          <w:rFonts w:ascii="Times New Roman" w:eastAsia="Times New Roman" w:hAnsi="Times New Roman"/>
        </w:rPr>
      </w:pPr>
      <w:r w:rsidRPr="0059240B">
        <w:rPr>
          <w:rFonts w:ascii="Times New Roman" w:hAnsi="Times New Roman"/>
          <w:color w:val="0000FF"/>
        </w:rPr>
        <w:t xml:space="preserve">For each </w:t>
      </w:r>
      <w:r w:rsidRPr="0059240B">
        <w:rPr>
          <w:rFonts w:ascii="Times New Roman" w:eastAsia="Times New Roman" w:hAnsi="Times New Roman"/>
        </w:rPr>
        <w:t>proxy fund not within the scope of the prescribed</w:t>
      </w:r>
      <w:r w:rsidR="005B7E6B" w:rsidRPr="0059240B">
        <w:rPr>
          <w:rFonts w:ascii="Times New Roman" w:eastAsia="Times New Roman" w:hAnsi="Times New Roman"/>
        </w:rPr>
        <w:t xml:space="preserve"> economic</w:t>
      </w:r>
      <w:r w:rsidRPr="0059240B">
        <w:rPr>
          <w:rFonts w:ascii="Times New Roman" w:eastAsia="Times New Roman" w:hAnsi="Times New Roman"/>
        </w:rPr>
        <w:t xml:space="preserve"> generator, the company must consider the following:</w:t>
      </w:r>
    </w:p>
    <w:p w14:paraId="38A6E1FF" w14:textId="21AA3CB3" w:rsidR="003129FE" w:rsidRPr="0059240B" w:rsidRDefault="003129FE" w:rsidP="00E87EFC">
      <w:pPr>
        <w:pStyle w:val="ListParagraph"/>
        <w:numPr>
          <w:ilvl w:val="0"/>
          <w:numId w:val="55"/>
        </w:numPr>
        <w:spacing w:after="220"/>
        <w:rPr>
          <w:rFonts w:ascii="Times New Roman" w:eastAsia="Times New Roman" w:hAnsi="Times New Roman"/>
        </w:rPr>
      </w:pPr>
      <w:r w:rsidRPr="0059240B">
        <w:rPr>
          <w:rFonts w:ascii="Times New Roman" w:eastAsia="Times New Roman" w:hAnsi="Times New Roman"/>
        </w:rPr>
        <w:t>The Market Price of Risk, as defined in the Guidance Note found in Section 8.C</w:t>
      </w:r>
      <w:r w:rsidR="005B7E6B" w:rsidRPr="0059240B">
        <w:rPr>
          <w:rFonts w:ascii="Times New Roman" w:eastAsia="Times New Roman" w:hAnsi="Times New Roman"/>
        </w:rPr>
        <w:t>.5</w:t>
      </w:r>
      <w:r w:rsidRPr="0059240B">
        <w:rPr>
          <w:rFonts w:ascii="Times New Roman" w:eastAsia="Times New Roman" w:hAnsi="Times New Roman"/>
        </w:rPr>
        <w:t xml:space="preserve">, implied in the projected fund returns when compare against the Market Price of Risk for all funds generated by the prescribed scenario generator should produce reasonable relationships. In calculating the Market Price of Risk, the </w:t>
      </w:r>
      <w:r w:rsidR="005B7E6B" w:rsidRPr="0059240B">
        <w:rPr>
          <w:rFonts w:ascii="Times New Roman" w:eastAsia="Times New Roman" w:hAnsi="Times New Roman"/>
        </w:rPr>
        <w:t>company</w:t>
      </w:r>
      <w:r w:rsidRPr="0059240B">
        <w:rPr>
          <w:rFonts w:ascii="Times New Roman" w:eastAsia="Times New Roman" w:hAnsi="Times New Roman"/>
        </w:rPr>
        <w:t xml:space="preserve"> shall use an expected </w:t>
      </w:r>
      <w:r w:rsidRPr="0059240B">
        <w:rPr>
          <w:rFonts w:ascii="Times New Roman" w:eastAsia="Times New Roman" w:hAnsi="Times New Roman"/>
        </w:rPr>
        <w:lastRenderedPageBreak/>
        <w:t>risk-free rate consistent with the long-term risk-free rate used in determining the Market Price of Risk or equivalent quantities in the calibration of the prescribed scenario generator; and</w:t>
      </w:r>
    </w:p>
    <w:p w14:paraId="7538D304" w14:textId="50E5B583" w:rsidR="003129FE" w:rsidRPr="0059240B" w:rsidRDefault="003129FE" w:rsidP="00E87EFC">
      <w:pPr>
        <w:pStyle w:val="ListParagraph"/>
        <w:numPr>
          <w:ilvl w:val="0"/>
          <w:numId w:val="55"/>
        </w:numPr>
        <w:spacing w:after="220"/>
        <w:rPr>
          <w:rFonts w:ascii="Times New Roman" w:eastAsia="Times New Roman" w:hAnsi="Times New Roman"/>
        </w:rPr>
      </w:pPr>
      <w:r w:rsidRPr="0059240B">
        <w:rPr>
          <w:rFonts w:ascii="Times New Roman" w:eastAsia="Times New Roman" w:hAnsi="Times New Roman"/>
        </w:rPr>
        <w:t>The average correlations, across all scenarios and all time periods, of the projected fund returns with the fund returns generated by the prescribed scenario generator should be in a reasonable range.</w:t>
      </w:r>
    </w:p>
    <w:p w14:paraId="2004496D" w14:textId="3D5F0FE7" w:rsidR="003129FE" w:rsidRPr="0059240B" w:rsidRDefault="003129FE" w:rsidP="004E4618">
      <w:pPr>
        <w:spacing w:after="220"/>
        <w:ind w:left="1440"/>
        <w:rPr>
          <w:rFonts w:ascii="Times New Roman" w:eastAsia="Times New Roman" w:hAnsi="Times New Roman"/>
        </w:rPr>
      </w:pPr>
      <w:r w:rsidRPr="0059240B">
        <w:rPr>
          <w:rFonts w:ascii="Times New Roman" w:eastAsia="Times New Roman" w:hAnsi="Times New Roman"/>
        </w:rPr>
        <w:t xml:space="preserve">The company may also consider any other information that provides assurance that the returns for proxy funds not generated using a prescribed scenario generator do not consistently outperform over the long term if the </w:t>
      </w:r>
      <w:r w:rsidR="005B7E6B" w:rsidRPr="0059240B">
        <w:rPr>
          <w:rFonts w:ascii="Times New Roman" w:eastAsia="Times New Roman" w:hAnsi="Times New Roman"/>
        </w:rPr>
        <w:t xml:space="preserve">company </w:t>
      </w:r>
      <w:r w:rsidRPr="0059240B">
        <w:rPr>
          <w:rFonts w:ascii="Times New Roman" w:eastAsia="Times New Roman" w:hAnsi="Times New Roman"/>
        </w:rPr>
        <w:t>believes that the Market Price of Risk and correlations described above are misleading or not relevant.</w:t>
      </w:r>
    </w:p>
    <w:p w14:paraId="5F818F92" w14:textId="77777777" w:rsidR="003129FE" w:rsidRPr="0059240B" w:rsidRDefault="003129FE" w:rsidP="004E4618">
      <w:pPr>
        <w:pStyle w:val="ListParagraph"/>
        <w:spacing w:after="220"/>
        <w:ind w:left="2160"/>
        <w:rPr>
          <w:rFonts w:ascii="Times New Roman" w:eastAsia="Times New Roman" w:hAnsi="Times New Roman"/>
        </w:rPr>
      </w:pPr>
    </w:p>
    <w:p w14:paraId="086DBDFE" w14:textId="3A407F84" w:rsidR="003129FE" w:rsidRPr="0059240B" w:rsidRDefault="003129FE" w:rsidP="00063E8C">
      <w:pPr>
        <w:pStyle w:val="ListParagraph"/>
        <w:numPr>
          <w:ilvl w:val="0"/>
          <w:numId w:val="58"/>
        </w:numPr>
        <w:spacing w:after="220"/>
        <w:rPr>
          <w:rFonts w:ascii="Times New Roman" w:eastAsia="Times New Roman" w:hAnsi="Times New Roman"/>
        </w:rPr>
      </w:pPr>
      <w:r w:rsidRPr="0059240B">
        <w:rPr>
          <w:rFonts w:ascii="Times New Roman" w:eastAsia="Times New Roman" w:hAnsi="Times New Roman"/>
        </w:rPr>
        <w:t>It is not necessary to assume that all markets are perfectly positively correlated, but an assumption of independence (zero correlation) between the equity markets would inappropriately exaggerate the benefits of diversification. An examination of the historic data suggests that correlations are not stationary and that they tend to increase during times of high volatility or negative returns. As such, the company should take care not to underestimate the correlations in those scenarios used for the reserve calculations.</w:t>
      </w:r>
    </w:p>
    <w:p w14:paraId="751E669A" w14:textId="5768C2EB" w:rsidR="003129FE" w:rsidRPr="0059240B" w:rsidRDefault="003129FE" w:rsidP="004E4618">
      <w:pPr>
        <w:spacing w:after="220"/>
        <w:ind w:left="720"/>
        <w:rPr>
          <w:rFonts w:ascii="Times New Roman" w:hAnsi="Times New Roman"/>
        </w:rPr>
      </w:pPr>
    </w:p>
    <w:p w14:paraId="2A531E07" w14:textId="5D1E2D18" w:rsidR="003129FE" w:rsidRPr="0059240B" w:rsidRDefault="003129FE" w:rsidP="004E4618">
      <w:pPr>
        <w:spacing w:after="220"/>
        <w:rPr>
          <w:rFonts w:ascii="Times New Roman" w:eastAsia="Times New Roman" w:hAnsi="Times New Roman"/>
        </w:rPr>
      </w:pPr>
      <w:r w:rsidRPr="0059240B">
        <w:rPr>
          <w:rFonts w:ascii="Times New Roman" w:hAnsi="Times New Roman"/>
        </w:rPr>
        <w:t>D.</w:t>
      </w:r>
      <w:r w:rsidRPr="0059240B">
        <w:rPr>
          <w:rFonts w:ascii="Times New Roman" w:hAnsi="Times New Roman"/>
        </w:rPr>
        <w:tab/>
      </w:r>
      <w:r w:rsidRPr="0059240B">
        <w:rPr>
          <w:rFonts w:ascii="Times New Roman" w:eastAsia="Times New Roman" w:hAnsi="Times New Roman"/>
        </w:rPr>
        <w:t>Implied Volatility Scenarios</w:t>
      </w:r>
    </w:p>
    <w:p w14:paraId="51B3C497" w14:textId="690A94A6" w:rsidR="003129FE" w:rsidRPr="0059240B" w:rsidRDefault="003129FE" w:rsidP="004E4618">
      <w:pPr>
        <w:spacing w:after="220"/>
        <w:ind w:left="720"/>
        <w:rPr>
          <w:rFonts w:ascii="Times New Roman" w:eastAsia="Times New Roman" w:hAnsi="Times New Roman"/>
        </w:rPr>
      </w:pPr>
      <w:r w:rsidRPr="0059240B">
        <w:rPr>
          <w:rFonts w:ascii="Times New Roman" w:eastAsia="Times New Roman" w:hAnsi="Times New Roman"/>
        </w:rPr>
        <w:t>The projection</w:t>
      </w:r>
      <w:r w:rsidRPr="0059240B">
        <w:rPr>
          <w:rFonts w:ascii="Times New Roman" w:hAnsi="Times New Roman"/>
        </w:rPr>
        <w:t xml:space="preserve"> of </w:t>
      </w:r>
      <w:r w:rsidRPr="0059240B">
        <w:rPr>
          <w:rFonts w:ascii="Times New Roman" w:eastAsia="Times New Roman" w:hAnsi="Times New Roman"/>
        </w:rPr>
        <w:t xml:space="preserve">implied volatility scenarios for </w:t>
      </w:r>
      <w:r w:rsidRPr="0059240B">
        <w:rPr>
          <w:rFonts w:ascii="Times New Roman" w:hAnsi="Times New Roman"/>
        </w:rPr>
        <w:t>interest rates</w:t>
      </w:r>
      <w:r w:rsidRPr="0059240B">
        <w:rPr>
          <w:rFonts w:ascii="Times New Roman" w:eastAsia="Times New Roman" w:hAnsi="Times New Roman"/>
        </w:rPr>
        <w:t xml:space="preserve">, equities, or other asset classes is left to the judgment of the company, but the scenarios so generated must satisfy the following properties: </w:t>
      </w:r>
    </w:p>
    <w:p w14:paraId="7889AAB8" w14:textId="77777777" w:rsidR="003129FE" w:rsidRPr="0059240B" w:rsidRDefault="003129FE" w:rsidP="004E4618">
      <w:pPr>
        <w:spacing w:after="220"/>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At each projection time step, all projected implied volatility surfaces must be arbitrage free after considering appropriate transaction costs;</w:t>
      </w:r>
    </w:p>
    <w:p w14:paraId="54675B30" w14:textId="77777777" w:rsidR="003129FE" w:rsidRPr="0059240B" w:rsidRDefault="003129FE" w:rsidP="004E4618">
      <w:pPr>
        <w:spacing w:after="220"/>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Relationships between the projected implied volatility scenarios, the scenarios for the underlying asset investment returns, and the realized volatility of the scenarios for the underlying asset returns should be consistent with relationships observed in historical data;</w:t>
      </w:r>
    </w:p>
    <w:p w14:paraId="1C223481" w14:textId="77777777" w:rsidR="003129FE" w:rsidRPr="0059240B" w:rsidRDefault="003129FE" w:rsidP="004E4618">
      <w:pPr>
        <w:spacing w:after="220"/>
        <w:ind w:left="1440"/>
        <w:rPr>
          <w:rFonts w:ascii="Times New Roman" w:eastAsia="Times New Roman" w:hAnsi="Times New Roman"/>
        </w:rPr>
      </w:pPr>
      <w:r w:rsidRPr="0059240B">
        <w:rPr>
          <w:rFonts w:ascii="Times New Roman" w:eastAsia="Times New Roman" w:hAnsi="Times New Roman"/>
        </w:rPr>
        <w:t>For instance, projected implied volatility should generally exhibit positive correlation with the realized volatility of the scenarios for the underlying asset returns over the same time period. In addition, it would also be appropriate to assume that projected implied volatility generally exhibits negative correlation with the short-term performance of the underlying asset over the same time period;</w:t>
      </w:r>
    </w:p>
    <w:p w14:paraId="6744FA33" w14:textId="77777777" w:rsidR="003129FE" w:rsidRPr="0059240B" w:rsidRDefault="003129FE" w:rsidP="004E4618">
      <w:pPr>
        <w:spacing w:after="220"/>
        <w:ind w:left="1440" w:hanging="720"/>
        <w:rPr>
          <w:rFonts w:ascii="Times New Roman" w:eastAsia="Times New Roman" w:hAnsi="Times New Roman"/>
          <w:bCs/>
        </w:rPr>
      </w:pPr>
      <w:r w:rsidRPr="0059240B">
        <w:rPr>
          <w:rFonts w:ascii="Times New Roman" w:eastAsia="Times New Roman" w:hAnsi="Times New Roman"/>
        </w:rPr>
        <w:t>.</w:t>
      </w:r>
      <w:r w:rsidRPr="0059240B">
        <w:rPr>
          <w:rFonts w:ascii="Times New Roman" w:eastAsia="Times New Roman" w:hAnsi="Times New Roman"/>
        </w:rPr>
        <w:tab/>
        <w:t xml:space="preserve"> </w:t>
      </w:r>
    </w:p>
    <w:p w14:paraId="5C3F5F5A" w14:textId="05359D35" w:rsidR="003129FE" w:rsidRPr="0059240B" w:rsidRDefault="003129FE" w:rsidP="004E4618">
      <w:pPr>
        <w:spacing w:after="220"/>
        <w:ind w:left="720"/>
        <w:rPr>
          <w:rFonts w:ascii="Times New Roman" w:eastAsia="Times New Roman" w:hAnsi="Times New Roman"/>
          <w:bCs/>
        </w:rPr>
      </w:pPr>
      <w:r w:rsidRPr="0059240B">
        <w:rPr>
          <w:rFonts w:ascii="Times New Roman" w:eastAsia="Times New Roman" w:hAnsi="Times New Roman"/>
        </w:rPr>
        <w:t>3.</w:t>
      </w:r>
      <w:r w:rsidRPr="0059240B">
        <w:rPr>
          <w:rFonts w:ascii="Times New Roman" w:eastAsia="Times New Roman" w:hAnsi="Times New Roman"/>
        </w:rPr>
        <w:tab/>
        <w:t xml:space="preserve">For a company not using the safe harbor described in Section </w:t>
      </w:r>
      <w:r w:rsidR="00776113" w:rsidRPr="0059240B">
        <w:rPr>
          <w:rFonts w:ascii="Times New Roman" w:eastAsia="Times New Roman" w:hAnsi="Times New Roman"/>
        </w:rPr>
        <w:t>9</w:t>
      </w:r>
      <w:r w:rsidRPr="0059240B">
        <w:rPr>
          <w:rFonts w:ascii="Times New Roman" w:eastAsia="Times New Roman" w:hAnsi="Times New Roman"/>
        </w:rPr>
        <w:t>.C.</w:t>
      </w:r>
      <w:r w:rsidR="00776113" w:rsidRPr="0059240B">
        <w:rPr>
          <w:rFonts w:ascii="Times New Roman" w:eastAsia="Times New Roman" w:hAnsi="Times New Roman"/>
        </w:rPr>
        <w:t>8</w:t>
      </w:r>
      <w:r w:rsidRPr="0059240B">
        <w:rPr>
          <w:rFonts w:ascii="Times New Roman" w:eastAsia="Times New Roman" w:hAnsi="Times New Roman"/>
        </w:rPr>
        <w:t xml:space="preserve">, </w:t>
      </w:r>
      <w:r w:rsidRPr="0059240B">
        <w:rPr>
          <w:rFonts w:ascii="Times New Roman" w:eastAsia="Times New Roman" w:hAnsi="Times New Roman"/>
          <w:bCs/>
          <w:sz w:val="20"/>
          <w:szCs w:val="20"/>
        </w:rPr>
        <w:t>any</w:t>
      </w:r>
      <w:r w:rsidRPr="0059240B">
        <w:rPr>
          <w:rFonts w:ascii="Times New Roman" w:eastAsia="Times New Roman" w:hAnsi="Times New Roman"/>
          <w:bCs/>
        </w:rPr>
        <w:t xml:space="preserve"> implied volatility scenarios generated using a </w:t>
      </w:r>
      <w:r w:rsidRPr="0059240B">
        <w:rPr>
          <w:rFonts w:ascii="Times New Roman" w:eastAsia="Times New Roman" w:hAnsi="Times New Roman"/>
        </w:rPr>
        <w:t>non-prescribed</w:t>
      </w:r>
      <w:r w:rsidRPr="0059240B">
        <w:rPr>
          <w:rFonts w:ascii="Times New Roman" w:eastAsia="Times New Roman" w:hAnsi="Times New Roman"/>
          <w:bCs/>
        </w:rPr>
        <w:t xml:space="preserve"> scenario generator shall not result in a Total Asset Requirement (TAR) less than that obtained by assuming that the implied volatility level – at all in-the-moneyness levels – at a given time step in a given scenario is equal to the realized volatility of the underlying asset scenario over the same time period.</w:t>
      </w:r>
      <w:r w:rsidRPr="0059240B">
        <w:t xml:space="preserve"> </w:t>
      </w:r>
      <w:r w:rsidRPr="0059240B">
        <w:rPr>
          <w:rFonts w:ascii="Times New Roman" w:eastAsia="Times New Roman" w:hAnsi="Times New Roman"/>
          <w:bCs/>
        </w:rPr>
        <w:t xml:space="preserve">In other words, the TAR shall not be reduced by assumptions of any realizable spread between implied volatility and realized volatility.   </w:t>
      </w:r>
    </w:p>
    <w:p w14:paraId="0639DDF5" w14:textId="77777777" w:rsidR="003129FE" w:rsidRPr="0059240B" w:rsidRDefault="003129FE" w:rsidP="004E4618">
      <w:pPr>
        <w:spacing w:after="220"/>
        <w:ind w:left="1440" w:hanging="720"/>
        <w:rPr>
          <w:rFonts w:ascii="Times New Roman" w:eastAsia="Times New Roman" w:hAnsi="Times New Roman"/>
        </w:rPr>
      </w:pPr>
    </w:p>
    <w:p w14:paraId="7504C6CF" w14:textId="77777777" w:rsidR="003129FE" w:rsidRPr="0059240B" w:rsidRDefault="003129FE" w:rsidP="004E4618">
      <w:pPr>
        <w:spacing w:after="220"/>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Use of non-prescribed Scenario Generators</w:t>
      </w:r>
    </w:p>
    <w:p w14:paraId="534BE5FD" w14:textId="77777777" w:rsidR="003129FE" w:rsidRPr="0059240B" w:rsidRDefault="003129FE" w:rsidP="004E4618">
      <w:pPr>
        <w:spacing w:after="220"/>
        <w:rPr>
          <w:rFonts w:ascii="Times New Roman" w:eastAsia="Times New Roman" w:hAnsi="Times New Roman"/>
        </w:rPr>
      </w:pPr>
    </w:p>
    <w:p w14:paraId="21C2FF3E" w14:textId="4AF2C1C3" w:rsidR="003129FE" w:rsidRPr="0059240B" w:rsidRDefault="003129FE" w:rsidP="004E4618">
      <w:pPr>
        <w:spacing w:after="220"/>
        <w:ind w:left="720"/>
        <w:rPr>
          <w:rFonts w:ascii="Times New Roman" w:eastAsia="Times New Roman" w:hAnsi="Times New Roman"/>
        </w:rPr>
      </w:pPr>
      <w:r w:rsidRPr="0059240B">
        <w:rPr>
          <w:rFonts w:ascii="Times New Roman" w:eastAsia="Times New Roman" w:hAnsi="Times New Roman"/>
        </w:rPr>
        <w:t xml:space="preserve">At the option of the </w:t>
      </w:r>
      <w:r w:rsidR="005B7E6B" w:rsidRPr="0059240B">
        <w:rPr>
          <w:rFonts w:ascii="Times New Roman" w:eastAsia="Times New Roman" w:hAnsi="Times New Roman"/>
        </w:rPr>
        <w:t>company</w:t>
      </w:r>
      <w:r w:rsidRPr="0059240B">
        <w:rPr>
          <w:rFonts w:ascii="Times New Roman" w:eastAsia="Times New Roman" w:hAnsi="Times New Roman"/>
        </w:rPr>
        <w:t>, interest rates and total investment return scenarios for equity assets and separate account fund returns may be generated in part or in full using non-prescribed scenario generators in lieu of the prescribed</w:t>
      </w:r>
      <w:r w:rsidR="005B7E6B" w:rsidRPr="0059240B">
        <w:rPr>
          <w:rFonts w:ascii="Times New Roman" w:eastAsia="Times New Roman" w:hAnsi="Times New Roman"/>
        </w:rPr>
        <w:t xml:space="preserve"> economic</w:t>
      </w:r>
      <w:r w:rsidRPr="0059240B">
        <w:rPr>
          <w:rFonts w:ascii="Times New Roman" w:eastAsia="Times New Roman" w:hAnsi="Times New Roman"/>
        </w:rPr>
        <w:t xml:space="preserve"> generators, provided that the scenarios thus generated do not result in a TAR that is materially lower than the TAR resulting from the use of the scenarios from the prescribed</w:t>
      </w:r>
      <w:r w:rsidR="005B7E6B" w:rsidRPr="0059240B">
        <w:rPr>
          <w:rFonts w:ascii="Times New Roman" w:eastAsia="Times New Roman" w:hAnsi="Times New Roman"/>
        </w:rPr>
        <w:t xml:space="preserve"> economic</w:t>
      </w:r>
      <w:r w:rsidRPr="0059240B">
        <w:rPr>
          <w:rFonts w:ascii="Times New Roman" w:eastAsia="Times New Roman" w:hAnsi="Times New Roman"/>
        </w:rPr>
        <w:t xml:space="preserve"> generators as defined in B, and C. above.  As defined in the RBC instructions, TAR is defined to be the sum of the reserve that results from the application of these VM-21 requirements plus the </w:t>
      </w:r>
      <w:r w:rsidR="00802562" w:rsidRPr="0059240B">
        <w:rPr>
          <w:rFonts w:ascii="Times New Roman" w:eastAsia="Times New Roman" w:hAnsi="Times New Roman"/>
        </w:rPr>
        <w:t xml:space="preserve">C-3 </w:t>
      </w:r>
      <w:r w:rsidRPr="0059240B">
        <w:rPr>
          <w:rFonts w:ascii="Times New Roman" w:eastAsia="Times New Roman" w:hAnsi="Times New Roman"/>
        </w:rPr>
        <w:t xml:space="preserve">RBC amount determined by step 4 of the </w:t>
      </w:r>
      <w:r w:rsidR="003C482A" w:rsidRPr="0059240B">
        <w:rPr>
          <w:rFonts w:ascii="Times New Roman" w:eastAsia="Times New Roman" w:hAnsi="Times New Roman"/>
        </w:rPr>
        <w:t>7-step</w:t>
      </w:r>
      <w:r w:rsidRPr="0059240B">
        <w:rPr>
          <w:rFonts w:ascii="Times New Roman" w:eastAsia="Times New Roman" w:hAnsi="Times New Roman"/>
        </w:rPr>
        <w:t xml:space="preserve"> process in the Life RBC formula page LR027 instructions for 2020.  </w:t>
      </w:r>
    </w:p>
    <w:p w14:paraId="50C6A951" w14:textId="77777777" w:rsidR="003129FE" w:rsidRPr="0059240B" w:rsidRDefault="003129FE" w:rsidP="004E4618">
      <w:pPr>
        <w:spacing w:after="220"/>
        <w:ind w:left="720"/>
        <w:rPr>
          <w:rFonts w:ascii="Times New Roman" w:eastAsia="Times New Roman" w:hAnsi="Times New Roman"/>
        </w:rPr>
      </w:pPr>
    </w:p>
    <w:p w14:paraId="705A6050" w14:textId="77777777" w:rsidR="003129FE" w:rsidRPr="0059240B" w:rsidRDefault="003129FE" w:rsidP="00063E8C">
      <w:pPr>
        <w:spacing w:after="220"/>
        <w:ind w:left="720"/>
        <w:rPr>
          <w:rFonts w:ascii="Times New Roman" w:hAnsi="Times New Roman"/>
        </w:rPr>
      </w:pPr>
    </w:p>
    <w:p w14:paraId="562DDFBD" w14:textId="77777777" w:rsidR="003129FE" w:rsidRPr="0059240B" w:rsidRDefault="003129FE" w:rsidP="00063E8C">
      <w:pPr>
        <w:keepNext/>
        <w:spacing w:after="220"/>
        <w:ind w:left="720" w:hanging="720"/>
        <w:rPr>
          <w:rFonts w:ascii="Times New Roman" w:hAnsi="Times New Roman"/>
        </w:rPr>
      </w:pPr>
      <w:r w:rsidRPr="0059240B">
        <w:rPr>
          <w:rFonts w:ascii="Times New Roman" w:hAnsi="Times New Roman"/>
        </w:rPr>
        <w:t>F.</w:t>
      </w:r>
      <w:r w:rsidRPr="0059240B">
        <w:rPr>
          <w:rFonts w:ascii="Times New Roman" w:hAnsi="Times New Roman"/>
        </w:rPr>
        <w:tab/>
        <w:t>Number of Scenarios and Efficiency in Estimation</w:t>
      </w:r>
    </w:p>
    <w:p w14:paraId="38ED271C" w14:textId="5E002869" w:rsidR="003129FE" w:rsidRPr="0059240B" w:rsidRDefault="003129FE" w:rsidP="00063E8C">
      <w:pPr>
        <w:pStyle w:val="ListParagraph"/>
        <w:keepNext/>
        <w:numPr>
          <w:ilvl w:val="0"/>
          <w:numId w:val="56"/>
        </w:numPr>
        <w:spacing w:after="220"/>
        <w:rPr>
          <w:rFonts w:ascii="Times New Roman" w:eastAsia="Times New Roman" w:hAnsi="Times New Roman"/>
          <w:spacing w:val="-2"/>
        </w:rPr>
      </w:pPr>
      <w:r w:rsidRPr="0059240B">
        <w:rPr>
          <w:rFonts w:ascii="Times New Roman" w:eastAsia="Times New Roman" w:hAnsi="Times New Roman"/>
          <w:spacing w:val="-2"/>
        </w:rPr>
        <w:t>For straight Monte Carlo simulation (with equally probable “paths” of fund returns), the number of scenarios should typically equal or exceed 1000. The appropriate number will depend on how the scenarios will be used and the materiality of the results. The company should use a number of scenarios that will provide an acceptable level of precision.</w:t>
      </w:r>
    </w:p>
    <w:p w14:paraId="7D0221A7" w14:textId="471B246D" w:rsidR="003129FE" w:rsidRPr="0059240B" w:rsidRDefault="003129FE" w:rsidP="00063E8C">
      <w:pPr>
        <w:pStyle w:val="ListParagraph"/>
        <w:numPr>
          <w:ilvl w:val="0"/>
          <w:numId w:val="56"/>
        </w:numPr>
        <w:spacing w:after="220"/>
        <w:rPr>
          <w:rFonts w:ascii="Times New Roman" w:eastAsia="Times New Roman" w:hAnsi="Times New Roman"/>
          <w:spacing w:val="-2"/>
        </w:rPr>
      </w:pPr>
      <w:r w:rsidRPr="0059240B">
        <w:rPr>
          <w:rFonts w:ascii="Times New Roman" w:eastAsia="Times New Roman" w:hAnsi="Times New Roman"/>
          <w:spacing w:val="-2"/>
        </w:rPr>
        <w:t>Fewer than 1,000 scenarios may be used provided that the company has determined through prior testing (perhaps on a subset of the portfolio) that the CTE values so obtained materially reproduce the results from running a larger scenario set.</w:t>
      </w:r>
    </w:p>
    <w:p w14:paraId="55D2049E" w14:textId="77515318" w:rsidR="003129FE" w:rsidRPr="0059240B" w:rsidRDefault="003129FE" w:rsidP="00063E8C">
      <w:pPr>
        <w:pStyle w:val="ListParagraph"/>
        <w:numPr>
          <w:ilvl w:val="0"/>
          <w:numId w:val="56"/>
        </w:numPr>
        <w:spacing w:after="220"/>
        <w:rPr>
          <w:rFonts w:ascii="Times New Roman" w:eastAsia="Times New Roman" w:hAnsi="Times New Roman"/>
        </w:rPr>
      </w:pPr>
      <w:r w:rsidRPr="0059240B">
        <w:rPr>
          <w:rFonts w:ascii="Times New Roman" w:eastAsia="Times New Roman" w:hAnsi="Times New Roman"/>
        </w:rPr>
        <w:t>Variance reduction and other sampling techniques are intended to improve the accuracy of an estimate more efficiently than simply increasing the number of simulations. Such methods can be used provided the company can demonstrate that they do not lead to a material understatement of results. Many of the techniques are specifically designed for estimating means, not tail measures, and could in fact reduce accuracy (and efficiency) relative to straight Monte Carlo simulation.</w:t>
      </w:r>
    </w:p>
    <w:p w14:paraId="75081276" w14:textId="77777777" w:rsidR="003129FE" w:rsidRPr="0059240B"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With careful implementation, many variance reduction techniques can work well for CTE estimators. For example, see Manistre, B.J. and Hancock, G. (2003), “Variance of the CTE Estimator,” 2003 Stochastic Modeling Symposium, Toronto, September 2003.</w:t>
      </w:r>
    </w:p>
    <w:p w14:paraId="51B93CBD" w14:textId="0B78A30A" w:rsidR="003129FE" w:rsidRPr="0059240B" w:rsidRDefault="003129FE" w:rsidP="00063E8C">
      <w:pPr>
        <w:pStyle w:val="ListParagraph"/>
        <w:numPr>
          <w:ilvl w:val="0"/>
          <w:numId w:val="56"/>
        </w:numPr>
        <w:spacing w:after="220"/>
        <w:rPr>
          <w:rFonts w:ascii="Times New Roman" w:eastAsia="Times New Roman" w:hAnsi="Times New Roman"/>
        </w:rPr>
      </w:pPr>
      <w:r w:rsidRPr="0059240B">
        <w:rPr>
          <w:rFonts w:ascii="Times New Roman" w:eastAsia="Times New Roman" w:hAnsi="Times New Roman"/>
        </w:rPr>
        <w: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t>
      </w:r>
    </w:p>
    <w:p w14:paraId="7E8B5D78" w14:textId="2A0586C2" w:rsidR="003129FE" w:rsidRPr="0059240B" w:rsidRDefault="003129FE" w:rsidP="00FC117C">
      <w:pPr>
        <w:keepNext/>
        <w:spacing w:after="220"/>
        <w:ind w:left="720" w:hanging="720"/>
        <w:rPr>
          <w:rFonts w:ascii="Times New Roman" w:hAnsi="Times New Roman"/>
        </w:rPr>
      </w:pPr>
    </w:p>
    <w:p w14:paraId="0ACF6648" w14:textId="1A9419C9" w:rsidR="003129FE" w:rsidRPr="0059240B" w:rsidRDefault="003129FE" w:rsidP="004E4618">
      <w:pPr>
        <w:spacing w:after="220"/>
        <w:ind w:left="1440" w:hanging="705"/>
        <w:rPr>
          <w:rFonts w:ascii="Times New Roman" w:eastAsia="Times New Roman" w:hAnsi="Times New Roman"/>
        </w:rPr>
      </w:pPr>
    </w:p>
    <w:p w14:paraId="519394FF" w14:textId="77777777" w:rsidR="003129FE" w:rsidRPr="0059240B" w:rsidRDefault="003129FE" w:rsidP="004E4618">
      <w:pPr>
        <w:spacing w:after="220"/>
        <w:ind w:left="720"/>
        <w:rPr>
          <w:rFonts w:ascii="Times New Roman" w:hAnsi="Times New Roman"/>
        </w:rPr>
      </w:pPr>
    </w:p>
    <w:p w14:paraId="443E95FF" w14:textId="5D6B7B4D" w:rsidR="003129FE" w:rsidRPr="0059240B" w:rsidRDefault="003129FE">
      <w:pPr>
        <w:rPr>
          <w:rFonts w:ascii="Times New Roman" w:eastAsia="Times New Roman" w:hAnsi="Times New Roman"/>
        </w:rPr>
      </w:pPr>
      <w:r w:rsidRPr="0059240B">
        <w:rPr>
          <w:rFonts w:ascii="Times New Roman" w:eastAsia="Times New Roman" w:hAnsi="Times New Roman"/>
        </w:rPr>
        <w:br w:type="page"/>
      </w:r>
    </w:p>
    <w:p w14:paraId="7F6625FD" w14:textId="6D0BEF81" w:rsidR="003129FE" w:rsidRPr="0059240B" w:rsidRDefault="003129FE">
      <w:pPr>
        <w:rPr>
          <w:rFonts w:ascii="Times New Roman" w:eastAsia="Times New Roman" w:hAnsi="Times New Roman"/>
        </w:rPr>
      </w:pPr>
      <w:r w:rsidRPr="0059240B">
        <w:rPr>
          <w:rFonts w:ascii="Times New Roman" w:eastAsia="Times New Roman" w:hAnsi="Times New Roman"/>
        </w:rPr>
        <w:lastRenderedPageBreak/>
        <w:br w:type="page"/>
      </w:r>
    </w:p>
    <w:p w14:paraId="7DA04C0E" w14:textId="58DB8809" w:rsidR="003129FE" w:rsidRPr="0059240B" w:rsidRDefault="003129FE" w:rsidP="00063E8C">
      <w:pPr>
        <w:pStyle w:val="Heading2"/>
        <w:spacing w:after="280"/>
        <w:jc w:val="center"/>
        <w:rPr>
          <w:sz w:val="22"/>
        </w:rPr>
      </w:pPr>
      <w:r w:rsidRPr="0059240B">
        <w:lastRenderedPageBreak/>
        <w:t xml:space="preserve"> </w:t>
      </w:r>
    </w:p>
    <w:p w14:paraId="0992B2E5" w14:textId="475582DB" w:rsidR="003129FE" w:rsidRPr="0059240B" w:rsidRDefault="003129FE" w:rsidP="0021502F">
      <w:pPr>
        <w:pStyle w:val="Heading3"/>
        <w:spacing w:after="220"/>
        <w:rPr>
          <w:sz w:val="22"/>
          <w:szCs w:val="22"/>
        </w:rPr>
      </w:pPr>
      <w:bookmarkStart w:id="21" w:name="_Section_1._Background"/>
      <w:bookmarkEnd w:id="21"/>
      <w:r w:rsidRPr="0059240B">
        <w:rPr>
          <w:sz w:val="22"/>
          <w:szCs w:val="22"/>
        </w:rPr>
        <w:t>Section 9: Modeling of Hedges under a CDHS</w:t>
      </w:r>
    </w:p>
    <w:p w14:paraId="5BE5ADC4" w14:textId="77777777" w:rsidR="003129FE" w:rsidRPr="0059240B" w:rsidRDefault="003129FE" w:rsidP="0021502F">
      <w:pPr>
        <w:spacing w:after="220" w:line="240" w:lineRule="auto"/>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Initial Considerations</w:t>
      </w:r>
    </w:p>
    <w:p w14:paraId="15482959" w14:textId="224EF04D" w:rsidR="003129FE" w:rsidRPr="0059240B" w:rsidRDefault="003129FE" w:rsidP="00E87EFC">
      <w:pPr>
        <w:pStyle w:val="ListParagraph"/>
        <w:numPr>
          <w:ilvl w:val="0"/>
          <w:numId w:val="60"/>
        </w:numPr>
        <w:spacing w:after="220" w:line="240" w:lineRule="auto"/>
        <w:jc w:val="both"/>
        <w:rPr>
          <w:rFonts w:ascii="Times New Roman" w:eastAsia="Times New Roman" w:hAnsi="Times New Roman"/>
        </w:rPr>
      </w:pPr>
      <w:r w:rsidRPr="0059240B">
        <w:rPr>
          <w:rFonts w:ascii="Times New Roman" w:hAnsi="Times New Roman"/>
        </w:rPr>
        <w:t>Subject to Section 9.C.2., t</w:t>
      </w:r>
      <w:r w:rsidRPr="0059240B">
        <w:rPr>
          <w:rFonts w:ascii="Times New Roman" w:eastAsia="Times New Roman" w:hAnsi="Times New Roman"/>
        </w:rPr>
        <w:t xml:space="preserve">he appropriate costs and benefits of hedging instruments that are currently held by the company in support of the contracts falling under the scope of these requirements shall be included in the calculation of the stochastic reserve, determined in accordance with Section 3.D and Section 4.D. </w:t>
      </w:r>
    </w:p>
    <w:p w14:paraId="0C66F973" w14:textId="5307E7BE" w:rsidR="003129FE" w:rsidRPr="0059240B" w:rsidRDefault="003129FE" w:rsidP="000E04EA">
      <w:pPr>
        <w:pStyle w:val="ListParagraph"/>
        <w:numPr>
          <w:ilvl w:val="0"/>
          <w:numId w:val="60"/>
        </w:numPr>
        <w:spacing w:after="220" w:line="240" w:lineRule="auto"/>
        <w:jc w:val="both"/>
        <w:rPr>
          <w:rFonts w:ascii="Times New Roman" w:eastAsia="Times New Roman" w:hAnsi="Times New Roman"/>
        </w:rPr>
      </w:pPr>
      <w:r w:rsidRPr="0059240B">
        <w:rPr>
          <w:rFonts w:ascii="Times New Roman" w:eastAsia="Times New Roman" w:hAnsi="Times New Roman"/>
        </w:rPr>
        <w:t>If the company is following a clearly defined hedging strategy (“CDHS”), in accordance with an investment policy adopted by the board of directors, or a committee of board members, the company shall take into account the costs and benefits of hedge positions expected to be held by the company in the future along each scenario based on the execution of the hedging strategy and is eligible to reduce the amount of the stochastic 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657C7A81" w14:textId="77777777" w:rsidR="003129FE" w:rsidRPr="0059240B" w:rsidRDefault="003129FE" w:rsidP="000E04EA">
      <w:pPr>
        <w:pStyle w:val="ListParagraph"/>
        <w:numPr>
          <w:ilvl w:val="0"/>
          <w:numId w:val="60"/>
        </w:numPr>
        <w:spacing w:after="220" w:line="240" w:lineRule="auto"/>
        <w:jc w:val="both"/>
        <w:rPr>
          <w:rFonts w:ascii="Times New Roman" w:eastAsia="Times New Roman" w:hAnsi="Times New Roman"/>
        </w:rPr>
      </w:pPr>
      <w:r w:rsidRPr="0059240B">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3749CDF" w14:textId="77777777" w:rsidR="003129FE" w:rsidRPr="0059240B" w:rsidRDefault="003129FE" w:rsidP="000E04EA">
      <w:pPr>
        <w:pStyle w:val="ListParagraph"/>
        <w:numPr>
          <w:ilvl w:val="0"/>
          <w:numId w:val="60"/>
        </w:numPr>
        <w:spacing w:after="220" w:line="240" w:lineRule="auto"/>
        <w:jc w:val="both"/>
        <w:rPr>
          <w:rFonts w:ascii="Times New Roman" w:eastAsia="Times New Roman" w:hAnsi="Times New Roman"/>
        </w:rPr>
      </w:pPr>
      <w:r w:rsidRPr="0059240B">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010A053F" w14:textId="67749E3A" w:rsidR="003129FE" w:rsidRPr="0059240B" w:rsidRDefault="003129FE" w:rsidP="000E04EA">
      <w:pPr>
        <w:pStyle w:val="ListParagraph"/>
        <w:numPr>
          <w:ilvl w:val="0"/>
          <w:numId w:val="60"/>
        </w:numPr>
        <w:spacing w:after="220" w:line="240" w:lineRule="auto"/>
        <w:jc w:val="both"/>
        <w:rPr>
          <w:rFonts w:ascii="Times New Roman" w:eastAsia="Times New Roman" w:hAnsi="Times New Roman"/>
        </w:rPr>
      </w:pPr>
      <w:r w:rsidRPr="0059240B">
        <w:rPr>
          <w:rFonts w:ascii="Times New Roman" w:eastAsia="Times New Roman" w:hAnsi="Times New Roman"/>
        </w:rPr>
        <w:t>Before either a new or revised hedging strategy can be used to reduce the amount of the stochastic 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2B82F42D" w14:textId="6C99C343" w:rsidR="003129FE" w:rsidRPr="0059240B" w:rsidRDefault="003129FE" w:rsidP="0021502F">
      <w:pPr>
        <w:spacing w:after="220" w:line="240" w:lineRule="auto"/>
        <w:ind w:left="72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r>
      <w:r w:rsidR="00851E8F" w:rsidRPr="0059240B">
        <w:rPr>
          <w:rFonts w:ascii="Times New Roman" w:eastAsia="Times New Roman" w:hAnsi="Times New Roman"/>
        </w:rPr>
        <w:t>Modeling Approaches</w:t>
      </w:r>
    </w:p>
    <w:p w14:paraId="59DE3C7C" w14:textId="61E4D8EC" w:rsidR="003129FE" w:rsidRPr="0059240B" w:rsidRDefault="003129FE" w:rsidP="000E04EA">
      <w:pPr>
        <w:pStyle w:val="ListParagraph"/>
        <w:numPr>
          <w:ilvl w:val="0"/>
          <w:numId w:val="61"/>
        </w:numPr>
        <w:spacing w:after="220" w:line="240" w:lineRule="auto"/>
        <w:jc w:val="both"/>
        <w:rPr>
          <w:rFonts w:ascii="Times New Roman" w:eastAsia="Times New Roman" w:hAnsi="Times New Roman"/>
        </w:rPr>
      </w:pPr>
      <w:r w:rsidRPr="0059240B">
        <w:rPr>
          <w:rFonts w:ascii="Times New Roman" w:eastAsia="Times New Roman" w:hAnsi="Times New Roman"/>
        </w:rPr>
        <w:t xml:space="preserve">The analysis of the impact of the hedging strategy on cash flows is typically performed using either one of two </w:t>
      </w:r>
      <w:r w:rsidR="00851E8F" w:rsidRPr="0059240B">
        <w:rPr>
          <w:rFonts w:ascii="Times New Roman" w:eastAsia="Times New Roman" w:hAnsi="Times New Roman"/>
        </w:rPr>
        <w:t xml:space="preserve">types of </w:t>
      </w:r>
      <w:r w:rsidRPr="0059240B">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 stochastic reserve otherwise calculated.</w:t>
      </w:r>
    </w:p>
    <w:p w14:paraId="3DC34E98" w14:textId="7111C224" w:rsidR="003129FE" w:rsidRPr="0059240B" w:rsidRDefault="003129FE" w:rsidP="000E04EA">
      <w:pPr>
        <w:pStyle w:val="ListParagraph"/>
        <w:numPr>
          <w:ilvl w:val="0"/>
          <w:numId w:val="61"/>
        </w:numPr>
        <w:spacing w:after="220" w:line="240" w:lineRule="auto"/>
        <w:jc w:val="both"/>
        <w:rPr>
          <w:rFonts w:ascii="Times New Roman" w:eastAsia="Times New Roman" w:hAnsi="Times New Roman"/>
        </w:rPr>
      </w:pPr>
      <w:r w:rsidRPr="0059240B">
        <w:rPr>
          <w:rFonts w:ascii="Times New Roman" w:eastAsia="Times New Roman" w:hAnsi="Times New Roman"/>
        </w:rPr>
        <w:t xml:space="preserve">The fundamental characteristic of the first </w:t>
      </w:r>
      <w:r w:rsidR="00851E8F" w:rsidRPr="0059240B">
        <w:rPr>
          <w:rFonts w:ascii="Times New Roman" w:eastAsia="Times New Roman" w:hAnsi="Times New Roman"/>
        </w:rPr>
        <w:t xml:space="preserve">type of </w:t>
      </w:r>
      <w:r w:rsidRPr="0059240B">
        <w:rPr>
          <w:rFonts w:ascii="Times New Roman" w:eastAsia="Times New Roman" w:hAnsi="Times New Roman"/>
        </w:rPr>
        <w:t>method, referred to as the “explicit method,” is that hedging positions and their resulting cash flows are included in the stochastic cash-flow model used to determine the scenario reserve, as discussed in Section 3.D, for each scenario.</w:t>
      </w:r>
    </w:p>
    <w:p w14:paraId="08AAE621" w14:textId="40AD0BA7" w:rsidR="003129FE" w:rsidRPr="0059240B" w:rsidRDefault="003129FE" w:rsidP="000E04EA">
      <w:pPr>
        <w:pStyle w:val="ListParagraph"/>
        <w:numPr>
          <w:ilvl w:val="0"/>
          <w:numId w:val="61"/>
        </w:numPr>
        <w:spacing w:after="220" w:line="240" w:lineRule="auto"/>
        <w:jc w:val="both"/>
        <w:rPr>
          <w:rFonts w:ascii="Times New Roman" w:eastAsia="Times New Roman" w:hAnsi="Times New Roman"/>
        </w:rPr>
      </w:pPr>
      <w:r w:rsidRPr="0059240B">
        <w:rPr>
          <w:rFonts w:ascii="Times New Roman" w:eastAsia="Times New Roman" w:hAnsi="Times New Roman"/>
        </w:rPr>
        <w:t xml:space="preserve">The fundamental characteristic of the second </w:t>
      </w:r>
      <w:r w:rsidR="00851E8F" w:rsidRPr="0059240B">
        <w:rPr>
          <w:rFonts w:ascii="Times New Roman" w:eastAsia="Times New Roman" w:hAnsi="Times New Roman"/>
        </w:rPr>
        <w:t>type of method</w:t>
      </w:r>
      <w:r w:rsidRPr="0059240B">
        <w:rPr>
          <w:rFonts w:ascii="Times New Roman" w:eastAsia="Times New Roman" w:hAnsi="Times New Roman"/>
        </w:rPr>
        <w:t xml:space="preserve">, referred to as  “implicit method,” is </w:t>
      </w:r>
      <w:r w:rsidRPr="0059240B">
        <w:rPr>
          <w:rFonts w:ascii="Times New Roman" w:eastAsia="Times New Roman" w:hAnsi="Times New Roman"/>
        </w:rPr>
        <w:lastRenderedPageBreak/>
        <w:t xml:space="preserve">that the effectiveness of the current hedging strategy on future cash flows is evaluated, in part or in whole, outside of the stochastic cash-flow model. </w:t>
      </w:r>
      <w:r w:rsidRPr="0059240B">
        <w:rPr>
          <w:rFonts w:ascii="Times New Roman" w:hAnsi="Times New Roman"/>
        </w:rPr>
        <w:t>There are multiple ways that this type of modeling can be implemented.</w:t>
      </w:r>
      <w:r w:rsidRPr="0059240B">
        <w:rPr>
          <w:rFonts w:ascii="Times New Roman" w:eastAsia="Times New Roman" w:hAnsi="Times New Roman"/>
        </w:rPr>
        <w:t xml:space="preserve">  In this case, the reduction to the stochastic reserve otherwise calculated should be commensurate with the degree of effectiveness of the hedging strategy in reducing accumulated deficiencies otherwise calculated.</w:t>
      </w:r>
    </w:p>
    <w:p w14:paraId="5A87D227" w14:textId="5AF97FC4" w:rsidR="00851E8F" w:rsidRPr="0059240B" w:rsidRDefault="003129FE" w:rsidP="00851E8F">
      <w:pPr>
        <w:pStyle w:val="ListParagraph"/>
        <w:numPr>
          <w:ilvl w:val="0"/>
          <w:numId w:val="61"/>
        </w:numPr>
        <w:spacing w:after="220" w:line="240" w:lineRule="auto"/>
        <w:jc w:val="both"/>
        <w:rPr>
          <w:rFonts w:ascii="Times New Roman" w:eastAsia="Times New Roman" w:hAnsi="Times New Roman"/>
        </w:rPr>
      </w:pPr>
      <w:r w:rsidRPr="0059240B">
        <w:rPr>
          <w:rFonts w:ascii="Times New Roman" w:eastAsia="Times New Roman" w:hAnsi="Times New Roman"/>
        </w:rPr>
        <w:t>Regardless of the methodology used by the company, the ultimate effect of the current hedging strategy (including currently held hedge positions) on the stochastic reserve 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stochastic reserve 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6C9BB17C" w14:textId="77777777" w:rsidR="00851E8F" w:rsidRPr="0059240B" w:rsidRDefault="00851E8F" w:rsidP="00851E8F">
      <w:pPr>
        <w:pStyle w:val="ListParagraph"/>
        <w:spacing w:after="220" w:line="240" w:lineRule="auto"/>
        <w:ind w:left="1440"/>
        <w:jc w:val="both"/>
        <w:rPr>
          <w:rFonts w:ascii="Times New Roman" w:eastAsia="Times New Roman" w:hAnsi="Times New Roman"/>
        </w:rPr>
      </w:pPr>
    </w:p>
    <w:p w14:paraId="5ADEE849" w14:textId="1CA7CE22" w:rsidR="00851E8F" w:rsidRPr="0059240B" w:rsidRDefault="00851E8F" w:rsidP="00851E8F">
      <w:pPr>
        <w:pStyle w:val="ListParagraph"/>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59240B">
        <w:rPr>
          <w:rFonts w:ascii="Times New Roman" w:eastAsia="Times New Roman" w:hAnsi="Times New Roman"/>
          <w:b/>
        </w:rPr>
        <w:t>Guidance Note:</w:t>
      </w:r>
      <w:r w:rsidRPr="0059240B">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4D4BED2C" w14:textId="77777777" w:rsidR="00851E8F" w:rsidRPr="0059240B" w:rsidRDefault="00851E8F" w:rsidP="00851E8F">
      <w:pPr>
        <w:pStyle w:val="ListParagraph"/>
        <w:spacing w:after="220" w:line="240" w:lineRule="auto"/>
        <w:ind w:left="1440"/>
        <w:jc w:val="both"/>
        <w:rPr>
          <w:rFonts w:ascii="Times New Roman" w:eastAsia="Times New Roman" w:hAnsi="Times New Roman"/>
        </w:rPr>
      </w:pPr>
    </w:p>
    <w:p w14:paraId="217E1F5D" w14:textId="40008C6D" w:rsidR="003129FE" w:rsidRPr="0059240B" w:rsidRDefault="00851E8F" w:rsidP="000E04EA">
      <w:pPr>
        <w:pStyle w:val="ListParagraph"/>
        <w:numPr>
          <w:ilvl w:val="0"/>
          <w:numId w:val="61"/>
        </w:numPr>
        <w:spacing w:after="220" w:line="240" w:lineRule="auto"/>
        <w:jc w:val="both"/>
        <w:rPr>
          <w:rFonts w:ascii="Times New Roman" w:eastAsia="Times New Roman" w:hAnsi="Times New Roman"/>
        </w:rPr>
      </w:pPr>
      <w:r w:rsidRPr="0059240B">
        <w:rPr>
          <w:rFonts w:ascii="Times New Roman" w:eastAsia="Times New Roman" w:hAnsi="Times New Roman"/>
        </w:rPr>
        <w: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t>
      </w:r>
    </w:p>
    <w:p w14:paraId="7E85F910" w14:textId="7017F5DB" w:rsidR="003129FE" w:rsidRPr="0059240B" w:rsidRDefault="003129FE" w:rsidP="0021502F">
      <w:pPr>
        <w:spacing w:after="220" w:line="240" w:lineRule="auto"/>
        <w:ind w:left="72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Calculation of Stochastic Reserve (Reported)</w:t>
      </w:r>
    </w:p>
    <w:p w14:paraId="74B0E98C" w14:textId="3E9AA98E" w:rsidR="003129FE" w:rsidRPr="0059240B" w:rsidRDefault="003129FE" w:rsidP="0021502F">
      <w:pPr>
        <w:spacing w:after="220" w:line="240" w:lineRule="auto"/>
        <w:ind w:left="720"/>
        <w:jc w:val="both"/>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The company shall calculate CTE70 (best efforts) —the results obtained when the CTE70 is based on incorporating the CDHS (including both currently held and future hedge positions) into the stochastic cash-flow model on a best efforts basis, including all of the factors and assumptions needed to execute the CDHS (e.g., stochastic implied volatility).   The determination of CTE70 (best efforts) may utilize either explicit or implicit modeling techniques.</w:t>
      </w:r>
    </w:p>
    <w:p w14:paraId="41FCA11C" w14:textId="77777777" w:rsidR="003129FE" w:rsidRPr="0059240B" w:rsidRDefault="003129FE" w:rsidP="0021502F">
      <w:pPr>
        <w:spacing w:after="220" w:line="240" w:lineRule="auto"/>
        <w:ind w:left="720"/>
        <w:jc w:val="both"/>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The company shall calculate a CTE70 (adjusted) by recalculating the CTE70 assuming the company has no dynamic hedging strategy, and shall reflect either:</w:t>
      </w:r>
    </w:p>
    <w:p w14:paraId="13BD95C0" w14:textId="77777777" w:rsidR="003129FE" w:rsidRPr="0059240B" w:rsidRDefault="003129FE" w:rsidP="004E4618">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Only hedge positions held by the company on the valuation date; or</w:t>
      </w:r>
    </w:p>
    <w:p w14:paraId="6B26B3C6" w14:textId="77777777" w:rsidR="003129FE" w:rsidRPr="0059240B" w:rsidRDefault="003129FE" w:rsidP="004E4618">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 The cash may then be invested following the company’s investment strategy.</w:t>
      </w:r>
    </w:p>
    <w:p w14:paraId="46CBA8A4" w14:textId="77777777" w:rsidR="003129FE" w:rsidRPr="0059240B" w:rsidRDefault="003129FE" w:rsidP="004E4618">
      <w:pPr>
        <w:spacing w:after="220" w:line="240" w:lineRule="auto"/>
        <w:ind w:left="1440"/>
        <w:jc w:val="both"/>
        <w:rPr>
          <w:rFonts w:ascii="Times New Roman" w:eastAsia="Times New Roman" w:hAnsi="Times New Roman"/>
        </w:rPr>
      </w:pPr>
      <w:r w:rsidRPr="0059240B">
        <w:rPr>
          <w:rFonts w:ascii="Times New Roman" w:eastAsia="Times New Roman" w:hAnsi="Times New Roman"/>
        </w:rPr>
        <w:t>The determination of CTE70 (adjusted) may utilize either explicit or implicit modeling techniques.</w:t>
      </w:r>
    </w:p>
    <w:p w14:paraId="0E118335" w14:textId="3B53DE7C" w:rsidR="003129FE" w:rsidRPr="0059240B" w:rsidRDefault="003129FE" w:rsidP="0021502F">
      <w:pPr>
        <w:spacing w:after="220" w:line="240" w:lineRule="auto"/>
        <w:ind w:left="720"/>
        <w:jc w:val="both"/>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 xml:space="preserve"> Because most models will include at least some approximations or idealistic assumptions, CTE70(best efforts) may overstate the impact of the hedging strategy. To compensate for potential overstatement of the impact of the hedging strategy, the value for the stochastic reserve is given by:</w:t>
      </w:r>
    </w:p>
    <w:p w14:paraId="39AAD8C5" w14:textId="67DBBC0D" w:rsidR="003129FE" w:rsidRPr="0059240B" w:rsidRDefault="003129FE" w:rsidP="0021502F">
      <w:pPr>
        <w:spacing w:after="220" w:line="240" w:lineRule="auto"/>
        <w:ind w:left="720"/>
        <w:jc w:val="both"/>
        <w:rPr>
          <w:rFonts w:ascii="Times New Roman" w:eastAsia="Times New Roman" w:hAnsi="Times New Roman"/>
        </w:rPr>
      </w:pPr>
    </w:p>
    <w:p w14:paraId="6A4AC3FF" w14:textId="16B6CEB2" w:rsidR="003129FE" w:rsidRPr="0059240B" w:rsidRDefault="003129FE" w:rsidP="0021502F">
      <w:pPr>
        <w:spacing w:after="220" w:line="240" w:lineRule="auto"/>
        <w:ind w:left="720"/>
        <w:jc w:val="both"/>
        <w:rPr>
          <w:rFonts w:ascii="Times New Roman" w:eastAsia="Times New Roman" w:hAnsi="Times New Roman"/>
        </w:rPr>
      </w:pPr>
      <w:r w:rsidRPr="0059240B">
        <w:rPr>
          <w:rFonts w:ascii="Times New Roman" w:eastAsia="Times New Roman" w:hAnsi="Times New Roman"/>
        </w:rPr>
        <w:t xml:space="preserve">Stochastic reserve  = CTE70 (best efforts) + E </w:t>
      </w:r>
    </w:p>
    <w:p w14:paraId="514E03F3" w14:textId="77777777" w:rsidR="003129FE" w:rsidRPr="0059240B" w:rsidRDefault="003129FE" w:rsidP="000E04EA">
      <w:pPr>
        <w:spacing w:after="220" w:line="240" w:lineRule="auto"/>
        <w:ind w:left="2160" w:firstLine="720"/>
        <w:jc w:val="both"/>
        <w:rPr>
          <w:rFonts w:ascii="Times New Roman" w:eastAsia="Times New Roman" w:hAnsi="Times New Roman"/>
        </w:rPr>
      </w:pPr>
      <w:r w:rsidRPr="0059240B">
        <w:rPr>
          <w:rFonts w:ascii="Times New Roman" w:eastAsia="Arial" w:hAnsi="Times New Roman"/>
        </w:rPr>
        <w:t xml:space="preserve">     × max[0, </w:t>
      </w:r>
      <w:r w:rsidRPr="0059240B">
        <w:rPr>
          <w:rFonts w:ascii="Times New Roman" w:eastAsia="Times New Roman" w:hAnsi="Times New Roman"/>
        </w:rPr>
        <w:t>CTE70 (adjusted) – CTE70 (best efforts)]</w:t>
      </w:r>
    </w:p>
    <w:p w14:paraId="38FA53D9" w14:textId="014F88B2" w:rsidR="003129FE" w:rsidRPr="0059240B" w:rsidRDefault="003129FE" w:rsidP="0021502F">
      <w:pPr>
        <w:spacing w:after="220" w:line="240" w:lineRule="auto"/>
        <w:ind w:left="720"/>
        <w:jc w:val="both"/>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 xml:space="preserve">The </w:t>
      </w:r>
      <w:r w:rsidRPr="0059240B">
        <w:rPr>
          <w:rFonts w:ascii="Times New Roman" w:hAnsi="Times New Roman"/>
        </w:rPr>
        <w:t xml:space="preserve">company shall specify a </w:t>
      </w:r>
      <w:r w:rsidRPr="0059240B">
        <w:rPr>
          <w:rFonts w:ascii="Times New Roman" w:eastAsia="Times New Roman" w:hAnsi="Times New Roman"/>
        </w:rPr>
        <w:t xml:space="preserve">value for </w:t>
      </w:r>
      <w:r w:rsidRPr="0059240B">
        <w:rPr>
          <w:rFonts w:ascii="Times New Roman" w:eastAsia="Times New Roman" w:hAnsi="Times New Roman"/>
          <w:i/>
        </w:rPr>
        <w:t xml:space="preserve">E </w:t>
      </w:r>
      <w:r w:rsidRPr="0059240B">
        <w:rPr>
          <w:rFonts w:ascii="Times New Roman" w:eastAsia="Times New Roman" w:hAnsi="Times New Roman"/>
        </w:rPr>
        <w:t xml:space="preserve">(the “error factor”) </w:t>
      </w:r>
      <w:r w:rsidRPr="0059240B">
        <w:rPr>
          <w:rFonts w:ascii="Times New Roman" w:hAnsi="Times New Roman"/>
        </w:rPr>
        <w:t>in the range from 5% to 100% to reflect the company’s</w:t>
      </w:r>
      <w:r w:rsidRPr="0059240B">
        <w:rPr>
          <w:rFonts w:ascii="Times New Roman" w:eastAsia="Times New Roman" w:hAnsi="Times New Roman"/>
        </w:rPr>
        <w:t xml:space="preserve"> view </w:t>
      </w:r>
      <w:r w:rsidRPr="0059240B">
        <w:rPr>
          <w:rFonts w:ascii="Times New Roman" w:hAnsi="Times New Roman"/>
        </w:rPr>
        <w:t>of the potential error resulting from</w:t>
      </w:r>
      <w:r w:rsidRPr="0059240B">
        <w:rPr>
          <w:rFonts w:ascii="Times New Roman" w:eastAsia="Times New Roman" w:hAnsi="Times New Roman"/>
        </w:rPr>
        <w:t xml:space="preserve"> the level of sophistication of the stochastic cash-flow model and its ability to properly reflect the parameters of the hedging strategy (i.e., the “Greeks” being covered by the strategy) as well as the associated costs, risks, and benefits. The greater the ability of the stochastic model to capture all risks and uncertainties, the lower the value of </w:t>
      </w:r>
      <w:r w:rsidRPr="0059240B">
        <w:rPr>
          <w:rFonts w:ascii="Times New Roman" w:eastAsia="Times New Roman" w:hAnsi="Times New Roman"/>
          <w:i/>
        </w:rPr>
        <w:t>E</w:t>
      </w:r>
      <w:r w:rsidRPr="0059240B">
        <w:rPr>
          <w:rFonts w:ascii="Times New Roman" w:eastAsia="Times New Roman" w:hAnsi="Times New Roman"/>
        </w:rPr>
        <w:t xml:space="preserve">.  </w:t>
      </w:r>
      <w:r w:rsidRPr="0059240B">
        <w:rPr>
          <w:rFonts w:ascii="Times New Roman" w:hAnsi="Times New Roman"/>
        </w:rPr>
        <w:t xml:space="preserve">The value of </w:t>
      </w:r>
      <w:r w:rsidRPr="0059240B">
        <w:rPr>
          <w:rFonts w:ascii="Times New Roman" w:hAnsi="Times New Roman"/>
          <w:i/>
        </w:rPr>
        <w:t>E</w:t>
      </w:r>
      <w:r w:rsidRPr="0059240B">
        <w:rPr>
          <w:rFonts w:ascii="Times New Roman" w:hAnsi="Times New Roman"/>
        </w:rPr>
        <w:t xml:space="preserve"> may be as low as 5% only if </w:t>
      </w:r>
      <w:r w:rsidRPr="0059240B">
        <w:rPr>
          <w:rFonts w:ascii="Times New Roman" w:eastAsia="Times New Roman" w:hAnsi="Times New Roman"/>
        </w:rPr>
        <w:t xml:space="preserve">the model used to determine the </w:t>
      </w:r>
      <w:r w:rsidRPr="0059240B">
        <w:rPr>
          <w:rFonts w:ascii="Times New Roman" w:hAnsi="Times New Roman"/>
        </w:rPr>
        <w:t>CTE70</w:t>
      </w:r>
      <w:r w:rsidRPr="0059240B">
        <w:rPr>
          <w:rFonts w:ascii="Times New Roman" w:eastAsia="Times New Roman" w:hAnsi="Times New Roman"/>
        </w:rPr>
        <w:t xml:space="preserve"> (best efforts</w:t>
      </w:r>
      <w:r w:rsidRPr="0059240B">
        <w:rPr>
          <w:rFonts w:ascii="Times New Roman" w:hAnsi="Times New Roman"/>
        </w:rPr>
        <w:t>)</w:t>
      </w:r>
      <w:r w:rsidRPr="0059240B">
        <w:rPr>
          <w:rFonts w:ascii="Times New Roman" w:eastAsia="Times New Roman" w:hAnsi="Times New Roman"/>
        </w:rPr>
        <w:t xml:space="preserve"> effectively reflects all of the parameters used in the hedging strategy</w:t>
      </w:r>
      <w:r w:rsidRPr="0059240B">
        <w:rPr>
          <w:rFonts w:ascii="Times New Roman" w:hAnsi="Times New Roman"/>
        </w:rPr>
        <w:t>.</w:t>
      </w:r>
      <w:r w:rsidRPr="0059240B">
        <w:rPr>
          <w:rFonts w:ascii="Times New Roman" w:eastAsia="Times New Roman" w:hAnsi="Times New Roman"/>
        </w:rPr>
        <w:t xml:space="preserve"> If certain economic risks are not hedged, yet the model does not generate scenarios that sufficiently capture those risks, </w:t>
      </w:r>
      <w:r w:rsidRPr="0059240B">
        <w:rPr>
          <w:rFonts w:ascii="Times New Roman" w:eastAsia="Times New Roman" w:hAnsi="Times New Roman"/>
          <w:i/>
        </w:rPr>
        <w:t>E</w:t>
      </w:r>
      <w:r w:rsidRPr="0059240B">
        <w:rPr>
          <w:rFonts w:ascii="Times New Roman" w:eastAsia="Times New Roman" w:hAnsi="Times New Roman"/>
        </w:rPr>
        <w:t xml:space="preserve"> must be in the higher end of the range reflecting the greater likelihood of error.  Likewise, simplistic hedge cash-flow models shall assume a higher likelihood of error. </w:t>
      </w:r>
    </w:p>
    <w:p w14:paraId="766F8C1D" w14:textId="3C6DB011" w:rsidR="003129FE" w:rsidRPr="0059240B" w:rsidRDefault="003129FE" w:rsidP="0021502F">
      <w:pPr>
        <w:spacing w:after="220" w:line="240" w:lineRule="auto"/>
        <w:ind w:left="720"/>
        <w:jc w:val="both"/>
        <w:rPr>
          <w:rFonts w:ascii="Times New Roman" w:eastAsia="Times New Roman" w:hAnsi="Times New Roman"/>
        </w:rPr>
      </w:pPr>
      <w:r w:rsidRPr="0059240B">
        <w:rPr>
          <w:rFonts w:ascii="Times New Roman" w:eastAsia="Times New Roman" w:hAnsi="Times New Roman"/>
        </w:rPr>
        <w:t>5.</w:t>
      </w:r>
      <w:r w:rsidRPr="0059240B">
        <w:rPr>
          <w:rFonts w:ascii="Times New Roman" w:eastAsia="Times New Roman" w:hAnsi="Times New Roman"/>
        </w:rPr>
        <w:tab/>
        <w:t xml:space="preserve">The company shall conduct a formal back-test, based on an analysis of at least the most recent 12 months, to assess how well the model is able to replicate the hedging strategy in a way that supports determination of the value used for </w:t>
      </w:r>
      <w:r w:rsidRPr="0059240B">
        <w:rPr>
          <w:rFonts w:ascii="Times New Roman" w:eastAsia="Times New Roman" w:hAnsi="Times New Roman"/>
          <w:i/>
        </w:rPr>
        <w:t>E</w:t>
      </w:r>
      <w:r w:rsidRPr="0059240B">
        <w:rPr>
          <w:rFonts w:ascii="Times New Roman" w:eastAsia="Times New Roman" w:hAnsi="Times New Roman"/>
        </w:rPr>
        <w:t xml:space="preserve">. </w:t>
      </w:r>
    </w:p>
    <w:p w14:paraId="305F1E09" w14:textId="77777777" w:rsidR="003129FE" w:rsidRPr="0059240B" w:rsidRDefault="003129FE" w:rsidP="00B45463">
      <w:pPr>
        <w:spacing w:after="220" w:line="240" w:lineRule="auto"/>
        <w:ind w:left="720"/>
        <w:jc w:val="both"/>
        <w:rPr>
          <w:rFonts w:ascii="Times New Roman" w:eastAsia="Times New Roman" w:hAnsi="Times New Roman"/>
        </w:rPr>
      </w:pPr>
      <w:r w:rsidRPr="0059240B">
        <w:rPr>
          <w:rFonts w:ascii="Times New Roman" w:eastAsia="Times New Roman" w:hAnsi="Times New Roman"/>
        </w:rPr>
        <w:t>6.</w:t>
      </w:r>
      <w:r w:rsidRPr="0059240B">
        <w:rPr>
          <w:rFonts w:ascii="Times New Roman" w:eastAsia="Times New Roman" w:hAnsi="Times New Roman"/>
        </w:rPr>
        <w:tab/>
        <w:t>Such a back-test shall involve one of the following analyses:</w:t>
      </w:r>
    </w:p>
    <w:p w14:paraId="4C100F84" w14:textId="2E1BAA57" w:rsidR="003129FE" w:rsidRPr="0059240B" w:rsidRDefault="003129FE" w:rsidP="004E4618">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For companies that model hedge cash flows directly (“explicit method”), replace the stochastic scenarios used in calculating the CTE70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1F302966" w14:textId="77777777" w:rsidR="003129FE" w:rsidRPr="0059240B" w:rsidRDefault="003129FE" w:rsidP="004E4618">
      <w:pPr>
        <w:spacing w:after="220" w:line="240" w:lineRule="auto"/>
        <w:ind w:left="2160" w:hanging="720"/>
        <w:jc w:val="both"/>
        <w:rPr>
          <w:rFonts w:ascii="Times New Roman" w:hAnsi="Times New Roman"/>
        </w:rPr>
      </w:pPr>
      <w:r w:rsidRPr="0059240B">
        <w:rPr>
          <w:rFonts w:ascii="Times New Roman" w:eastAsia="Times New Roman" w:hAnsi="Times New Roman"/>
        </w:rPr>
        <w:tab/>
      </w:r>
      <w:r w:rsidRPr="0059240B">
        <w:rPr>
          <w:rFonts w:ascii="Times New Roman" w:hAnsi="Times New Roman"/>
        </w:rPr>
        <w:t>To support the choice of a low value of E, the company should ascertain that the projected hedge asset gains and losses are within close range of 100 percent – e.g., 80 to 125 percent – of the actual hedge asset gains and losses. The company may also support the choice of a low value of E by achieving a high R-squared – e.g., 0.80 or higher – when using a regression analysis technique;</w:t>
      </w:r>
    </w:p>
    <w:p w14:paraId="15B0FDDB" w14:textId="17A60F05" w:rsidR="003129FE" w:rsidRPr="0059240B" w:rsidRDefault="003129FE" w:rsidP="004E4618">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For companies that model hedge cash flows implicitly by quantifying the cost and benefit of hedging using the fair value of the hedged item, (</w:t>
      </w:r>
      <w:r w:rsidR="00535B78" w:rsidRPr="0059240B">
        <w:rPr>
          <w:rFonts w:ascii="Times New Roman" w:eastAsia="Times New Roman" w:hAnsi="Times New Roman"/>
        </w:rPr>
        <w:t xml:space="preserve">an </w:t>
      </w:r>
      <w:r w:rsidRPr="0059240B">
        <w:rPr>
          <w:rFonts w:ascii="Times New Roman" w:eastAsia="Times New Roman" w:hAnsi="Times New Roman"/>
        </w:rPr>
        <w:t>“implicit method”, or “cost of reinsurance method”), calculate the delta, rho, and vega coverage ratios in each month over the selected back-testing period in the following manner:</w:t>
      </w:r>
    </w:p>
    <w:p w14:paraId="42077F31" w14:textId="77777777" w:rsidR="003129FE" w:rsidRPr="0059240B" w:rsidRDefault="003129FE" w:rsidP="004E4618">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i.</w:t>
      </w:r>
      <w:r w:rsidRPr="0059240B">
        <w:rPr>
          <w:rFonts w:ascii="Times New Roman" w:eastAsia="Times New Roman" w:hAnsi="Times New Roman"/>
        </w:rPr>
        <w:tab/>
        <w:t>Determine the hedge asset gains and losses – both realized and unrealized – incurred over the month attributable to equity, interest rate, and implied volatility movements;</w:t>
      </w:r>
    </w:p>
    <w:p w14:paraId="34A76354" w14:textId="77777777" w:rsidR="003129FE" w:rsidRPr="0059240B" w:rsidRDefault="003129FE" w:rsidP="004E4618">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ii.</w:t>
      </w:r>
      <w:r w:rsidRPr="0059240B">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a manner that reflects the proportion of risks hedged – for example, if a company elects to hedge 50% of a contract’s market risks, it </w:t>
      </w:r>
      <w:r w:rsidRPr="0059240B">
        <w:rPr>
          <w:rFonts w:ascii="Times New Roman" w:eastAsia="Times New Roman" w:hAnsi="Times New Roman"/>
        </w:rPr>
        <w:lastRenderedPageBreak/>
        <w:t>should quantify the fair value of the hedged item as 50% of the fair value of the contract;</w:t>
      </w:r>
    </w:p>
    <w:p w14:paraId="149A4FE8" w14:textId="70A81802" w:rsidR="003129FE" w:rsidRPr="0059240B" w:rsidRDefault="003129FE" w:rsidP="004E4618">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iii.</w:t>
      </w:r>
      <w:r w:rsidRPr="0059240B">
        <w:rPr>
          <w:rFonts w:ascii="Times New Roman" w:eastAsia="Times New Roman" w:hAnsi="Times New Roman"/>
        </w:rPr>
        <w:tab/>
        <w:t>Calculate the delta coverage ratio as the ratio between (i) and (ii) attributable to equity movements;</w:t>
      </w:r>
    </w:p>
    <w:p w14:paraId="7EF82835" w14:textId="5AD554AD" w:rsidR="003129FE" w:rsidRPr="0059240B" w:rsidRDefault="003129FE" w:rsidP="004E4618">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iv.</w:t>
      </w:r>
      <w:r w:rsidRPr="0059240B">
        <w:rPr>
          <w:rFonts w:ascii="Times New Roman" w:eastAsia="Times New Roman" w:hAnsi="Times New Roman"/>
        </w:rPr>
        <w:tab/>
        <w:t>Calculate the rho coverage ratio as the ratio between (i) and (ii) attributable to interest rate movements;</w:t>
      </w:r>
    </w:p>
    <w:p w14:paraId="112B6A8C" w14:textId="38D034D5" w:rsidR="003129FE" w:rsidRPr="0059240B" w:rsidRDefault="003129FE" w:rsidP="004E4618">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v.</w:t>
      </w:r>
      <w:r w:rsidRPr="0059240B">
        <w:rPr>
          <w:rFonts w:ascii="Times New Roman" w:eastAsia="Times New Roman" w:hAnsi="Times New Roman"/>
        </w:rPr>
        <w:tab/>
        <w:t>Calculate the vega coverage ratio as the ratio between (i) and (ii) attributable to implied volatility movements.</w:t>
      </w:r>
    </w:p>
    <w:p w14:paraId="49A348E9" w14:textId="77777777" w:rsidR="003129FE" w:rsidRPr="0059240B" w:rsidRDefault="003129FE" w:rsidP="004E4618">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vi.</w:t>
      </w:r>
      <w:r w:rsidRPr="0059240B">
        <w:rPr>
          <w:rFonts w:ascii="Times New Roman" w:eastAsia="Times New Roman" w:hAnsi="Times New Roman"/>
        </w:rPr>
        <w:tab/>
        <w:t>To support the company’s choice of a low value of E, the company should be able to demonstrate that the delta and rho coverage ratios are both within close range of 100 percent – e.g., 80 to 125 percent – consistently across the back-testing period.</w:t>
      </w:r>
    </w:p>
    <w:p w14:paraId="1830FA7F" w14:textId="3A20C14C" w:rsidR="003129FE" w:rsidRPr="0059240B" w:rsidRDefault="003129FE" w:rsidP="004E4618">
      <w:pPr>
        <w:spacing w:after="220" w:line="240" w:lineRule="auto"/>
        <w:ind w:left="2880" w:hanging="720"/>
        <w:jc w:val="both"/>
        <w:rPr>
          <w:rFonts w:ascii="Times New Roman" w:eastAsia="Times New Roman" w:hAnsi="Times New Roman"/>
        </w:rPr>
      </w:pPr>
      <w:r w:rsidRPr="0059240B">
        <w:rPr>
          <w:rFonts w:ascii="Times New Roman" w:eastAsia="Times New Roman" w:hAnsi="Times New Roman"/>
        </w:rPr>
        <w:t>vii.</w:t>
      </w:r>
      <w:r w:rsidRPr="0059240B">
        <w:rPr>
          <w:rFonts w:ascii="Times New Roman" w:eastAsia="Times New Roman" w:hAnsi="Times New Roman"/>
        </w:rPr>
        <w:tab/>
        <w:t>In addition, the company should be able to demonstrate that the vega coverage ratio is within close range of 100 percent in order to use the prevailing implied volatility levels as of the valuation date in quantifying the fair value of the hedged item for the purpose of calculating CTE70 (best efforts). Otherwise, the company shall quantify the fair value of the hedged item for the purpose of calculating CTE70 (best efforts) in a manner consistent with the realized volatility of the scenarios captured in the</w:t>
      </w:r>
      <w:r w:rsidR="00535B78" w:rsidRPr="0059240B">
        <w:rPr>
          <w:rFonts w:ascii="Times New Roman" w:eastAsia="Times New Roman" w:hAnsi="Times New Roman"/>
        </w:rPr>
        <w:t xml:space="preserve"> CTE (best efforts)</w:t>
      </w:r>
      <w:r w:rsidRPr="0059240B">
        <w:rPr>
          <w:rFonts w:ascii="Times New Roman" w:eastAsia="Times New Roman" w:hAnsi="Times New Roman"/>
        </w:rPr>
        <w:t xml:space="preserve">. </w:t>
      </w:r>
    </w:p>
    <w:p w14:paraId="2A06AA89" w14:textId="15A45236" w:rsidR="003129FE" w:rsidRPr="0059240B" w:rsidRDefault="003129FE" w:rsidP="004E4618">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 xml:space="preserve">Companies that do not model hedge cash flows explicitly, but that also do not use the implicit </w:t>
      </w:r>
      <w:r w:rsidR="003C482A" w:rsidRPr="0059240B">
        <w:rPr>
          <w:rFonts w:ascii="Times New Roman" w:eastAsia="Times New Roman" w:hAnsi="Times New Roman"/>
        </w:rPr>
        <w:t>method as</w:t>
      </w:r>
      <w:r w:rsidRPr="0059240B">
        <w:rPr>
          <w:rFonts w:ascii="Times New Roman" w:eastAsia="Times New Roman" w:hAnsi="Times New Roman"/>
        </w:rPr>
        <w:t xml:space="preserve"> outlined in Section 9.C.6.b above, shall conduct the formal back-test in a manner that allows the company to clearly illustrates the appropriateness of the selected method for reflecting the cost and benefit of hedging as well as the value used for E.</w:t>
      </w:r>
    </w:p>
    <w:p w14:paraId="5CC91FC9" w14:textId="2F0B618B" w:rsidR="003129FE" w:rsidRPr="0059240B" w:rsidRDefault="003129FE" w:rsidP="00345C8C">
      <w:pPr>
        <w:spacing w:after="220" w:line="240" w:lineRule="auto"/>
        <w:ind w:left="720"/>
        <w:jc w:val="both"/>
        <w:rPr>
          <w:rFonts w:ascii="Times New Roman" w:eastAsia="Times New Roman" w:hAnsi="Times New Roman"/>
        </w:rPr>
      </w:pPr>
      <w:r w:rsidRPr="0059240B">
        <w:rPr>
          <w:rFonts w:ascii="Times New Roman" w:eastAsia="Times New Roman" w:hAnsi="Times New Roman"/>
        </w:rPr>
        <w:t>7.</w:t>
      </w:r>
      <w:r w:rsidRPr="0059240B">
        <w:rPr>
          <w:rFonts w:ascii="Times New Roman" w:eastAsia="Times New Roman" w:hAnsi="Times New Roman"/>
        </w:rPr>
        <w:tab/>
        <w:t xml:space="preserve">A company that does not have 12 months of experience to date shall set </w:t>
      </w:r>
      <w:r w:rsidRPr="0059240B">
        <w:rPr>
          <w:rFonts w:ascii="Times New Roman" w:hAnsi="Times New Roman"/>
        </w:rPr>
        <w:t xml:space="preserve">E </w:t>
      </w:r>
      <w:r w:rsidRPr="0059240B">
        <w:rPr>
          <w:rFonts w:ascii="Times New Roman" w:eastAsia="Times New Roman" w:hAnsi="Times New Roman"/>
        </w:rPr>
        <w:t xml:space="preserve">to a value that reflects the amount of experience available, and the degree and nature of any change to the hedge program.  For a material change in strategy, with no history, E should be at least 0.50.  However, E may be lower than 0.50 if some reliable experience is available and/or if the change in strategy is a refinement rather than a substantial change in strategy.  </w:t>
      </w:r>
    </w:p>
    <w:p w14:paraId="2AD54FF1" w14:textId="62A9E0FF" w:rsidR="003129FE" w:rsidRPr="0059240B" w:rsidRDefault="003129FE" w:rsidP="00345C8C">
      <w:pPr>
        <w:spacing w:after="220" w:line="240" w:lineRule="auto"/>
        <w:ind w:left="720" w:hanging="720"/>
        <w:jc w:val="both"/>
        <w:rPr>
          <w:rFonts w:ascii="Times New Roman" w:eastAsia="Times New Roman" w:hAnsi="Times New Roman"/>
        </w:rPr>
      </w:pPr>
    </w:p>
    <w:p w14:paraId="546895EF"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4B4CD34E"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5D533D3D" w14:textId="77777777" w:rsidR="003129FE" w:rsidRPr="0059240B" w:rsidRDefault="003129FE" w:rsidP="00345C8C">
      <w:pPr>
        <w:spacing w:after="220" w:line="240" w:lineRule="auto"/>
        <w:ind w:left="720" w:hanging="720"/>
        <w:jc w:val="both"/>
        <w:rPr>
          <w:rFonts w:ascii="Times New Roman" w:eastAsia="Times New Roman" w:hAnsi="Times New Roman"/>
        </w:rPr>
      </w:pPr>
      <w:r w:rsidRPr="0059240B">
        <w:rPr>
          <w:rFonts w:ascii="Times New Roman" w:eastAsia="Times New Roman" w:hAnsi="Times New Roman"/>
          <w:noProof/>
        </w:rPr>
        <mc:AlternateContent>
          <mc:Choice Requires="wps">
            <w:drawing>
              <wp:anchor distT="0" distB="0" distL="114300" distR="114300" simplePos="0" relativeHeight="251678720" behindDoc="0" locked="0" layoutInCell="1" allowOverlap="1" wp14:anchorId="2EB3CF3B" wp14:editId="4321C793">
                <wp:simplePos x="0" y="0"/>
                <wp:positionH relativeFrom="column">
                  <wp:posOffset>-184785</wp:posOffset>
                </wp:positionH>
                <wp:positionV relativeFrom="paragraph">
                  <wp:posOffset>32581</wp:posOffset>
                </wp:positionV>
                <wp:extent cx="5731099" cy="2954215"/>
                <wp:effectExtent l="0" t="0" r="9525" b="17780"/>
                <wp:wrapNone/>
                <wp:docPr id="20" name="Text Box 20"/>
                <wp:cNvGraphicFramePr/>
                <a:graphic xmlns:a="http://schemas.openxmlformats.org/drawingml/2006/main">
                  <a:graphicData uri="http://schemas.microsoft.com/office/word/2010/wordprocessingShape">
                    <wps:wsp>
                      <wps:cNvSpPr txBox="1"/>
                      <wps:spPr>
                        <a:xfrm>
                          <a:off x="0" y="0"/>
                          <a:ext cx="5731099" cy="2954215"/>
                        </a:xfrm>
                        <a:prstGeom prst="rect">
                          <a:avLst/>
                        </a:prstGeom>
                        <a:solidFill>
                          <a:schemeClr val="lt1"/>
                        </a:solidFill>
                        <a:ln w="6350">
                          <a:solidFill>
                            <a:prstClr val="black"/>
                          </a:solidFill>
                        </a:ln>
                      </wps:spPr>
                      <wps:txbx>
                        <w:txbxContent>
                          <w:p w14:paraId="61677D0C" w14:textId="77777777" w:rsidR="00B76878" w:rsidRPr="001E1622" w:rsidRDefault="00B76878" w:rsidP="004E4618">
                            <w:pPr>
                              <w:rPr>
                                <w:rFonts w:ascii="Times New Roman" w:hAnsi="Times New Roman"/>
                              </w:rPr>
                            </w:pPr>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p>
                          <w:p w14:paraId="5A35242D" w14:textId="77777777" w:rsidR="00B76878" w:rsidRPr="001E1622" w:rsidRDefault="00B76878"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p>
                          <w:p w14:paraId="43B9C4FD" w14:textId="77777777" w:rsidR="00B76878" w:rsidRPr="001E1622" w:rsidRDefault="00B76878" w:rsidP="004E4618">
                            <w:pPr>
                              <w:pStyle w:val="ListParagraph"/>
                              <w:ind w:left="360"/>
                              <w:rPr>
                                <w:rFonts w:ascii="Times New Roman" w:hAnsi="Times New Roman"/>
                              </w:rPr>
                            </w:pPr>
                          </w:p>
                          <w:p w14:paraId="48C6F44D" w14:textId="77777777" w:rsidR="00B76878" w:rsidRPr="001E1622" w:rsidRDefault="00B76878"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p>
                          <w:p w14:paraId="13971860" w14:textId="77777777" w:rsidR="00B76878" w:rsidRPr="001E1622" w:rsidRDefault="00B76878" w:rsidP="004E4618">
                            <w:pPr>
                              <w:pStyle w:val="ListParagraph"/>
                              <w:ind w:left="360"/>
                              <w:rPr>
                                <w:rFonts w:ascii="Times New Roman" w:hAnsi="Times New Roman"/>
                              </w:rPr>
                            </w:pPr>
                          </w:p>
                          <w:p w14:paraId="268ECBA8" w14:textId="77777777" w:rsidR="00B76878" w:rsidRPr="001E1622" w:rsidRDefault="00B76878"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p>
                          <w:p w14:paraId="4F27A906" w14:textId="77777777" w:rsidR="00B76878" w:rsidRPr="00E83AE7" w:rsidRDefault="00B76878" w:rsidP="004E4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3CF3B" id="Text Box 20" o:spid="_x0000_s1031" type="#_x0000_t202" style="position:absolute;left:0;text-align:left;margin-left:-14.55pt;margin-top:2.55pt;width:451.25pt;height:23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" fillcolor="white [3201]" strokeweight=".5pt">
                <v:textbox>
                  <w:txbxContent>
                    <w:p w14:paraId="61677D0C" w14:textId="77777777" w:rsidR="00B76878" w:rsidRPr="001E1622" w:rsidRDefault="00B76878" w:rsidP="004E4618">
                      <w:pPr>
                        <w:rPr>
                          <w:rFonts w:ascii="Times New Roman" w:hAnsi="Times New Roman"/>
                        </w:rPr>
                      </w:pPr>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p>
                    <w:p w14:paraId="5A35242D" w14:textId="77777777" w:rsidR="00B76878" w:rsidRPr="001E1622" w:rsidRDefault="00B76878"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p>
                    <w:p w14:paraId="43B9C4FD" w14:textId="77777777" w:rsidR="00B76878" w:rsidRPr="001E1622" w:rsidRDefault="00B76878" w:rsidP="004E4618">
                      <w:pPr>
                        <w:pStyle w:val="ListParagraph"/>
                        <w:ind w:left="360"/>
                        <w:rPr>
                          <w:rFonts w:ascii="Times New Roman" w:hAnsi="Times New Roman"/>
                        </w:rPr>
                      </w:pPr>
                    </w:p>
                    <w:p w14:paraId="48C6F44D" w14:textId="77777777" w:rsidR="00B76878" w:rsidRPr="001E1622" w:rsidRDefault="00B76878"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p>
                    <w:p w14:paraId="13971860" w14:textId="77777777" w:rsidR="00B76878" w:rsidRPr="001E1622" w:rsidRDefault="00B76878" w:rsidP="004E4618">
                      <w:pPr>
                        <w:pStyle w:val="ListParagraph"/>
                        <w:ind w:left="360"/>
                        <w:rPr>
                          <w:rFonts w:ascii="Times New Roman" w:hAnsi="Times New Roman"/>
                        </w:rPr>
                      </w:pPr>
                    </w:p>
                    <w:p w14:paraId="268ECBA8" w14:textId="77777777" w:rsidR="00B76878" w:rsidRPr="001E1622" w:rsidRDefault="00B76878" w:rsidP="00E87EFC">
                      <w:pPr>
                        <w:pStyle w:val="ListParagraph"/>
                        <w:numPr>
                          <w:ilvl w:val="0"/>
                          <w:numId w:val="59"/>
                        </w:numPr>
                        <w:autoSpaceDE w:val="0"/>
                        <w:autoSpaceDN w:val="0"/>
                        <w:spacing w:after="0" w:line="240" w:lineRule="auto"/>
                        <w:ind w:left="720"/>
                        <w:contextualSpacing w:val="0"/>
                        <w:rPr>
                          <w:rFonts w:ascii="Times New Roman" w:hAnsi="Times New Roman"/>
                        </w:rPr>
                      </w:pPr>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p>
                    <w:p w14:paraId="4F27A906" w14:textId="77777777" w:rsidR="00B76878" w:rsidRPr="00E83AE7" w:rsidRDefault="00B76878" w:rsidP="004E4618"/>
                  </w:txbxContent>
                </v:textbox>
              </v:shape>
            </w:pict>
          </mc:Fallback>
        </mc:AlternateContent>
      </w:r>
    </w:p>
    <w:p w14:paraId="5D612832"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734FFA9A"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5E4DCA1F"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695001EB"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3D667B79"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1F9BA867"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319829EC"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358D068C"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7E40EB18"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1B87E770"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47C686EF" w14:textId="7A89C4BA" w:rsidR="003129FE" w:rsidRPr="0059240B" w:rsidRDefault="003129FE" w:rsidP="004E4618">
      <w:pPr>
        <w:spacing w:after="220"/>
        <w:ind w:left="720"/>
        <w:rPr>
          <w:rFonts w:ascii="Times New Roman" w:eastAsia="Times New Roman" w:hAnsi="Times New Roman"/>
        </w:rPr>
      </w:pPr>
    </w:p>
    <w:p w14:paraId="26335119" w14:textId="77777777" w:rsidR="003129FE" w:rsidRPr="0059240B" w:rsidRDefault="003129FE" w:rsidP="00345C8C">
      <w:pPr>
        <w:spacing w:after="220" w:line="240" w:lineRule="auto"/>
        <w:ind w:left="720" w:hanging="720"/>
        <w:jc w:val="both"/>
        <w:rPr>
          <w:rFonts w:ascii="Times New Roman" w:eastAsia="Times New Roman" w:hAnsi="Times New Roman"/>
        </w:rPr>
      </w:pPr>
    </w:p>
    <w:p w14:paraId="19BAF07F" w14:textId="77777777" w:rsidR="003129FE" w:rsidRPr="0059240B" w:rsidRDefault="003129FE" w:rsidP="004E4618">
      <w:pPr>
        <w:spacing w:after="220" w:line="240" w:lineRule="auto"/>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Additional Considerations for CTE70 (best efforts)</w:t>
      </w:r>
    </w:p>
    <w:p w14:paraId="33A8E565" w14:textId="64EEA7FE" w:rsidR="003129FE" w:rsidRPr="0059240B" w:rsidRDefault="003129FE" w:rsidP="004E4618">
      <w:pPr>
        <w:spacing w:after="220" w:line="240" w:lineRule="auto"/>
        <w:ind w:left="720"/>
        <w:jc w:val="both"/>
        <w:rPr>
          <w:rFonts w:ascii="Times New Roman" w:eastAsia="Times New Roman" w:hAnsi="Times New Roman"/>
        </w:rPr>
      </w:pPr>
      <w:r w:rsidRPr="0059240B">
        <w:rPr>
          <w:rFonts w:ascii="Times New Roman" w:eastAsia="Times New Roman" w:hAnsi="Times New Roman"/>
        </w:rPr>
        <w:t>If the company is following a CDHS, the fair value of the portfolio of contracts falling within the scope of these requirements shall be computed, and compared to the CTE70 (best efforts) and to CTE70 (adjusted).  If the CTE70 (best efforts) is below both the fair value and CTE</w:t>
      </w:r>
      <w:r w:rsidR="004424F9" w:rsidRPr="0059240B">
        <w:rPr>
          <w:rFonts w:ascii="Times New Roman" w:eastAsia="Times New Roman" w:hAnsi="Times New Roman"/>
        </w:rPr>
        <w:t>70</w:t>
      </w:r>
      <w:r w:rsidRPr="0059240B">
        <w:rPr>
          <w:rFonts w:ascii="Times New Roman" w:eastAsia="Times New Roman" w:hAnsi="Times New Roman"/>
        </w:rPr>
        <w:t xml:space="preserve"> (adjusted), the company should be prepared to explain why that result is reasonable.  </w:t>
      </w:r>
    </w:p>
    <w:p w14:paraId="71752270" w14:textId="32AFAE4A" w:rsidR="003129FE" w:rsidRPr="0059240B" w:rsidRDefault="003129FE" w:rsidP="004E4618">
      <w:pPr>
        <w:spacing w:after="220" w:line="240" w:lineRule="auto"/>
        <w:ind w:left="720"/>
        <w:jc w:val="both"/>
        <w:rPr>
          <w:rFonts w:ascii="Times New Roman" w:eastAsia="Times New Roman" w:hAnsi="Times New Roman"/>
        </w:rPr>
      </w:pPr>
      <w:r w:rsidRPr="0059240B">
        <w:rPr>
          <w:rFonts w:ascii="Times New Roman" w:eastAsia="Times New Roman" w:hAnsi="Times New Roman"/>
        </w:rPr>
        <w:t>For the purposes of this analysis, the stochastic reserve and fair value calculations shall be done without requiring the scenario reserve for any given scenario to be equal to or in excess of the cash surrender value in aggregate for the group of contracts modeled in the projection.</w:t>
      </w:r>
    </w:p>
    <w:p w14:paraId="35B71F38" w14:textId="77777777" w:rsidR="003129FE" w:rsidRPr="0059240B" w:rsidRDefault="003129FE" w:rsidP="0021502F">
      <w:pPr>
        <w:spacing w:after="220" w:line="240" w:lineRule="auto"/>
        <w:ind w:left="720" w:hanging="720"/>
        <w:jc w:val="both"/>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Specific Considerations and Requirements</w:t>
      </w:r>
    </w:p>
    <w:p w14:paraId="4D357CFC" w14:textId="172A114D" w:rsidR="003129FE" w:rsidRPr="0059240B" w:rsidRDefault="003129FE" w:rsidP="000E04EA">
      <w:pPr>
        <w:pStyle w:val="ListParagraph"/>
        <w:numPr>
          <w:ilvl w:val="1"/>
          <w:numId w:val="62"/>
        </w:numPr>
        <w:spacing w:after="220" w:line="240" w:lineRule="auto"/>
        <w:jc w:val="both"/>
        <w:rPr>
          <w:rFonts w:ascii="Times New Roman" w:eastAsia="Times New Roman" w:hAnsi="Times New Roman"/>
        </w:rPr>
      </w:pPr>
      <w:r w:rsidRPr="0059240B">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 stochastic reserve, the company should review actual historical hedging effectiveness. The company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1808C0FE" w14:textId="484D7F9A" w:rsidR="003129FE" w:rsidRPr="0059240B" w:rsidRDefault="003129FE" w:rsidP="000E04EA">
      <w:pPr>
        <w:pStyle w:val="ListParagraph"/>
        <w:numPr>
          <w:ilvl w:val="1"/>
          <w:numId w:val="62"/>
        </w:numPr>
        <w:spacing w:after="220" w:line="240" w:lineRule="auto"/>
        <w:jc w:val="both"/>
        <w:rPr>
          <w:rFonts w:ascii="Times New Roman" w:eastAsia="Times New Roman" w:hAnsi="Times New Roman"/>
        </w:rPr>
      </w:pPr>
      <w:r w:rsidRPr="0059240B">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sidR="003B2C27" w:rsidRPr="0059240B">
        <w:rPr>
          <w:rFonts w:ascii="Times New Roman" w:eastAsia="Times New Roman" w:hAnsi="Times New Roman"/>
        </w:rPr>
        <w:t xml:space="preserve"> </w:t>
      </w:r>
      <w:r w:rsidRPr="0059240B">
        <w:rPr>
          <w:rFonts w:ascii="Times New Roman" w:eastAsia="Times New Roman" w:hAnsi="Times New Roman"/>
        </w:rPr>
        <w:t>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w:t>
      </w:r>
      <w:r w:rsidR="003B2C27" w:rsidRPr="0059240B">
        <w:rPr>
          <w:rFonts w:ascii="Times New Roman" w:eastAsia="Times New Roman" w:hAnsi="Times New Roman"/>
        </w:rPr>
        <w:t xml:space="preserve"> </w:t>
      </w:r>
      <w:r w:rsidRPr="0059240B">
        <w:rPr>
          <w:rFonts w:ascii="Times New Roman" w:eastAsia="Times New Roman" w:hAnsi="Times New Roman"/>
        </w:rPr>
        <w:t>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stochastic reserve,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22E083E7" w14:textId="77777777" w:rsidR="003129FE" w:rsidRPr="0059240B" w:rsidRDefault="003129FE" w:rsidP="000E04EA">
      <w:pPr>
        <w:pStyle w:val="ListParagraph"/>
        <w:numPr>
          <w:ilvl w:val="1"/>
          <w:numId w:val="62"/>
        </w:numPr>
        <w:spacing w:after="220" w:line="240" w:lineRule="auto"/>
        <w:jc w:val="both"/>
        <w:rPr>
          <w:rFonts w:ascii="Times New Roman" w:eastAsia="Times New Roman" w:hAnsi="Times New Roman"/>
        </w:rPr>
      </w:pPr>
      <w:r w:rsidRPr="0059240B">
        <w:rPr>
          <w:rFonts w:ascii="Times New Roman" w:eastAsia="Times New Roman" w:hAnsi="Times New Roman"/>
        </w:rPr>
        <w:t xml:space="preserve">A strategy that has a strong dependence on acquiring hedging assets at specific times that depend on specific values of an index or other market indicators may not be implemented as precisely as </w:t>
      </w:r>
      <w:r w:rsidRPr="0059240B">
        <w:rPr>
          <w:rFonts w:ascii="Times New Roman" w:eastAsia="Times New Roman" w:hAnsi="Times New Roman"/>
        </w:rPr>
        <w:lastRenderedPageBreak/>
        <w:t>planned.</w:t>
      </w:r>
    </w:p>
    <w:p w14:paraId="1A30EE2A" w14:textId="0C1B1D00" w:rsidR="003129FE" w:rsidRPr="0059240B" w:rsidRDefault="003129FE" w:rsidP="000E04EA">
      <w:pPr>
        <w:pStyle w:val="ListParagraph"/>
        <w:numPr>
          <w:ilvl w:val="1"/>
          <w:numId w:val="62"/>
        </w:numPr>
        <w:spacing w:after="220" w:line="240" w:lineRule="auto"/>
        <w:jc w:val="both"/>
        <w:rPr>
          <w:rFonts w:ascii="Times New Roman" w:eastAsia="Times New Roman" w:hAnsi="Times New Roman"/>
        </w:rPr>
      </w:pPr>
      <w:r w:rsidRPr="0059240B">
        <w:rPr>
          <w:rFonts w:ascii="Times New Roman" w:eastAsia="Times New Roman" w:hAnsi="Times New Roman"/>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622D9267" w14:textId="07344984" w:rsidR="003129FE" w:rsidRPr="0059240B" w:rsidRDefault="003129FE" w:rsidP="000E04EA">
      <w:pPr>
        <w:pStyle w:val="ListParagraph"/>
        <w:numPr>
          <w:ilvl w:val="2"/>
          <w:numId w:val="63"/>
        </w:numPr>
        <w:spacing w:after="220" w:line="240" w:lineRule="auto"/>
        <w:jc w:val="both"/>
        <w:rPr>
          <w:rFonts w:ascii="Times New Roman" w:eastAsia="Times New Roman" w:hAnsi="Times New Roman"/>
        </w:rPr>
      </w:pPr>
      <w:r w:rsidRPr="0059240B">
        <w:rPr>
          <w:rFonts w:ascii="Times New Roman" w:eastAsia="Times New Roman" w:hAnsi="Times New Roman"/>
        </w:rPr>
        <w:t>Hedging strategies with no initial investment that never lose money in any scenario and in some scenarios make money.</w:t>
      </w:r>
    </w:p>
    <w:p w14:paraId="09566EC2" w14:textId="7BF50F7C" w:rsidR="003129FE" w:rsidRPr="0059240B" w:rsidRDefault="003129FE" w:rsidP="000E04EA">
      <w:pPr>
        <w:pStyle w:val="ListParagraph"/>
        <w:numPr>
          <w:ilvl w:val="2"/>
          <w:numId w:val="63"/>
        </w:numPr>
        <w:spacing w:after="220" w:line="240" w:lineRule="auto"/>
        <w:jc w:val="both"/>
        <w:rPr>
          <w:rFonts w:ascii="Times New Roman" w:eastAsia="Times New Roman" w:hAnsi="Times New Roman"/>
        </w:rPr>
      </w:pPr>
      <w:r w:rsidRPr="0059240B">
        <w:rPr>
          <w:rFonts w:ascii="Times New Roman" w:eastAsia="Times New Roman" w:hAnsi="Times New Roman"/>
        </w:rPr>
        <w:t>Hedging strategies that, with a given amount of initial money, never make less than accumulation at the one-period risk free rates in any scenario but make more than this in one or more scenarios.</w:t>
      </w:r>
    </w:p>
    <w:p w14:paraId="53E3CD2F" w14:textId="622B2967" w:rsidR="003129FE" w:rsidRPr="0059240B" w:rsidRDefault="003129FE" w:rsidP="000E04EA">
      <w:pPr>
        <w:pStyle w:val="ListParagraph"/>
        <w:numPr>
          <w:ilvl w:val="1"/>
          <w:numId w:val="62"/>
        </w:numPr>
        <w:spacing w:after="220" w:line="240" w:lineRule="auto"/>
        <w:jc w:val="both"/>
        <w:rPr>
          <w:rFonts w:ascii="Times New Roman" w:eastAsia="Times New Roman" w:hAnsi="Times New Roman"/>
        </w:rPr>
      </w:pPr>
      <w:r w:rsidRPr="0059240B">
        <w:rPr>
          <w:rFonts w:ascii="Times New Roman" w:eastAsia="Times New Roman" w:hAnsi="Times New Roman"/>
        </w:rPr>
        <w:t>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stochastic reserve otherwise calculated.</w:t>
      </w:r>
    </w:p>
    <w:p w14:paraId="65437391" w14:textId="0686A9FD" w:rsidR="003129FE" w:rsidRPr="0059240B" w:rsidRDefault="003129FE" w:rsidP="000E04EA">
      <w:pPr>
        <w:pStyle w:val="ListParagraph"/>
        <w:numPr>
          <w:ilvl w:val="1"/>
          <w:numId w:val="62"/>
        </w:numPr>
        <w:spacing w:after="220" w:line="240" w:lineRule="auto"/>
        <w:jc w:val="both"/>
        <w:rPr>
          <w:rFonts w:ascii="Times New Roman" w:eastAsia="Times New Roman" w:hAnsi="Times New Roman"/>
        </w:rPr>
      </w:pPr>
      <w:r w:rsidRPr="0059240B">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4F04261" w14:textId="77341291" w:rsidR="003129FE" w:rsidRPr="0059240B" w:rsidRDefault="003129FE" w:rsidP="0021502F">
      <w:pPr>
        <w:spacing w:after="220" w:line="240" w:lineRule="auto"/>
        <w:ind w:left="720"/>
        <w:jc w:val="both"/>
        <w:rPr>
          <w:rFonts w:ascii="Times New Roman" w:eastAsia="Times New Roman" w:hAnsi="Times New Roman"/>
        </w:rPr>
      </w:pPr>
    </w:p>
    <w:p w14:paraId="102F469A" w14:textId="77777777" w:rsidR="003129FE" w:rsidRPr="0059240B" w:rsidRDefault="003129FE" w:rsidP="0021502F">
      <w:pPr>
        <w:spacing w:after="220" w:line="240" w:lineRule="auto"/>
        <w:ind w:left="720"/>
        <w:jc w:val="both"/>
        <w:rPr>
          <w:rFonts w:ascii="Times New Roman" w:eastAsia="Times New Roman" w:hAnsi="Times New Roman"/>
        </w:rPr>
      </w:pPr>
    </w:p>
    <w:p w14:paraId="00B440BD" w14:textId="77777777" w:rsidR="003129FE" w:rsidRPr="0059240B" w:rsidRDefault="003129FE">
      <w:pPr>
        <w:rPr>
          <w:rFonts w:ascii="Times New Roman" w:eastAsia="Times New Roman" w:hAnsi="Times New Roman"/>
        </w:rPr>
      </w:pPr>
      <w:r w:rsidRPr="0059240B">
        <w:rPr>
          <w:rFonts w:ascii="Times New Roman" w:eastAsia="Times New Roman" w:hAnsi="Times New Roman"/>
        </w:rPr>
        <w:br w:type="page"/>
      </w:r>
    </w:p>
    <w:p w14:paraId="1E244E61" w14:textId="70C1ACC9" w:rsidR="003129FE" w:rsidRPr="0059240B" w:rsidRDefault="003129FE" w:rsidP="000E04EA">
      <w:pPr>
        <w:pStyle w:val="Heading3"/>
        <w:spacing w:after="220"/>
        <w:jc w:val="left"/>
        <w:rPr>
          <w:sz w:val="22"/>
          <w:szCs w:val="22"/>
        </w:rPr>
      </w:pPr>
      <w:r w:rsidRPr="0059240B">
        <w:rPr>
          <w:sz w:val="22"/>
          <w:szCs w:val="22"/>
        </w:rPr>
        <w:lastRenderedPageBreak/>
        <w:t>Section 10: Contract</w:t>
      </w:r>
      <w:r w:rsidR="003B2C27" w:rsidRPr="0059240B">
        <w:rPr>
          <w:sz w:val="22"/>
          <w:szCs w:val="22"/>
        </w:rPr>
        <w:t xml:space="preserve"> </w:t>
      </w:r>
      <w:r w:rsidRPr="0059240B">
        <w:rPr>
          <w:sz w:val="22"/>
          <w:szCs w:val="22"/>
        </w:rPr>
        <w:t>Holder Behavior Assumptions</w:t>
      </w:r>
    </w:p>
    <w:p w14:paraId="71DFB029" w14:textId="77777777" w:rsidR="003129FE" w:rsidRPr="0059240B" w:rsidRDefault="003129FE" w:rsidP="000E04EA">
      <w:pPr>
        <w:spacing w:after="220" w:line="240" w:lineRule="auto"/>
        <w:ind w:left="72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General</w:t>
      </w:r>
    </w:p>
    <w:p w14:paraId="2D7600D5" w14:textId="7AF510E5" w:rsidR="003129FE" w:rsidRPr="0059240B" w:rsidRDefault="003129FE" w:rsidP="000E04EA">
      <w:pPr>
        <w:spacing w:after="220" w:line="240" w:lineRule="auto"/>
        <w:ind w:left="720"/>
        <w:rPr>
          <w:rFonts w:ascii="Times New Roman" w:eastAsia="Times New Roman" w:hAnsi="Times New Roman"/>
        </w:rPr>
      </w:pPr>
      <w:r w:rsidRPr="0059240B">
        <w:rPr>
          <w:rFonts w:ascii="Times New Roman" w:eastAsia="Times New Roman" w:hAnsi="Times New Roman"/>
        </w:rPr>
        <w:t>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assumptions encompass actions such as lapses, withdrawals, transfers, recurring deposits, benefit utilization, option election, etc.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is difficult to predict accurately, and variance in behavior assumptions can significantly affect the results. In the absence of relevant and fully credible empirical data, the company should set behavior assumptions as guided by Principle 3 in Section 1.B.</w:t>
      </w:r>
    </w:p>
    <w:p w14:paraId="230AA4DA" w14:textId="26962225" w:rsidR="003129FE" w:rsidRPr="0059240B" w:rsidRDefault="003129FE" w:rsidP="000E04EA">
      <w:pPr>
        <w:spacing w:after="220" w:line="240" w:lineRule="auto"/>
        <w:ind w:left="720"/>
        <w:rPr>
          <w:rFonts w:ascii="Times New Roman" w:eastAsia="Times New Roman" w:hAnsi="Times New Roman"/>
        </w:rPr>
      </w:pPr>
      <w:r w:rsidRPr="0059240B">
        <w:rPr>
          <w:rFonts w:ascii="Times New Roman" w:eastAsia="Times New Roman" w:hAnsi="Times New Roman"/>
        </w:rPr>
        <w:t>In setting behavior assumptions, the company should examine, but not be limited by, the following considerations:</w:t>
      </w:r>
    </w:p>
    <w:p w14:paraId="6A62FEE2" w14:textId="77777777"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Behavior can vary by product, market, distribution channel, fund performance, time/product duration, etc.</w:t>
      </w:r>
    </w:p>
    <w:p w14:paraId="72D90D13" w14:textId="77777777"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Options embedded in the product may affect behavior.</w:t>
      </w:r>
    </w:p>
    <w:p w14:paraId="0BD77E1A" w14:textId="68A8B025"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Utilization of options may be elective or non-elective in nature. Living benefits often are elective, and death benefit options are generally non-elective.</w:t>
      </w:r>
    </w:p>
    <w:p w14:paraId="650D6A02" w14:textId="07A161A5"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Elective contract</w:t>
      </w:r>
      <w:r w:rsidR="003B2C27" w:rsidRPr="0059240B">
        <w:rPr>
          <w:rFonts w:ascii="Times New Roman" w:eastAsia="Times New Roman" w:hAnsi="Times New Roman"/>
        </w:rPr>
        <w:t xml:space="preserve"> </w:t>
      </w:r>
      <w:r w:rsidRPr="0059240B">
        <w:rPr>
          <w:rFonts w:ascii="Times New Roman" w:eastAsia="Times New Roman" w:hAnsi="Times New Roman"/>
        </w:rPr>
        <w:t>holder options may be more driven by economic conditions than non-elective options.</w:t>
      </w:r>
    </w:p>
    <w:p w14:paraId="4EA8C244" w14:textId="77777777"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 xml:space="preserve">As the value of a product option increases, there is an increased likelihood that contract holders will behave in a manner that maximizes their financial interest (e.g., lower lapses, higher benefit utilization, etc.).  </w:t>
      </w:r>
    </w:p>
    <w:p w14:paraId="3B3187FD" w14:textId="2A7A58F4"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 xml:space="preserve">Behavior formulas may have both rational and irrational components (irrational behavior is defined as situations where some contract holders may not always act in their best financial interest). The rational component should be </w:t>
      </w:r>
      <w:r w:rsidR="003C482A" w:rsidRPr="0059240B">
        <w:rPr>
          <w:rFonts w:ascii="Times New Roman" w:eastAsia="Times New Roman" w:hAnsi="Times New Roman"/>
        </w:rPr>
        <w:t>dynamic,</w:t>
      </w:r>
      <w:r w:rsidRPr="0059240B">
        <w:rPr>
          <w:rFonts w:ascii="Times New Roman" w:eastAsia="Times New Roman" w:hAnsi="Times New Roman"/>
        </w:rPr>
        <w:t xml:space="preserve"> but the concept of rationality need not be interpreted in strict financial terms and might change over time in response to observed trends in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based on increased or decreased financial efficiency in exercising their contractual options.</w:t>
      </w:r>
    </w:p>
    <w:p w14:paraId="763AD437" w14:textId="77777777"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Options that are ancillary to the primary product features may not be significant drivers of behavior. Whether an option is ancillary to the primary product features depends on many things such as:</w:t>
      </w:r>
    </w:p>
    <w:p w14:paraId="49EC43FB"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For what purpose was the product purchased?</w:t>
      </w:r>
    </w:p>
    <w:p w14:paraId="07F8D3B9"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Is the option elective or non-elective?</w:t>
      </w:r>
    </w:p>
    <w:p w14:paraId="6FDF0405"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Is the value of the option well-known?</w:t>
      </w:r>
    </w:p>
    <w:p w14:paraId="59AA2D46" w14:textId="09247FF2" w:rsidR="003129FE" w:rsidRPr="0059240B"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59240B">
        <w:rPr>
          <w:rFonts w:ascii="Times New Roman" w:eastAsia="Times New Roman" w:hAnsi="Times New Roman"/>
        </w:rPr>
        <w:t>External influences, may affect behavior.</w:t>
      </w:r>
    </w:p>
    <w:p w14:paraId="7097C133" w14:textId="77777777" w:rsidR="003129FE" w:rsidRPr="0059240B" w:rsidRDefault="003129FE" w:rsidP="000E04EA">
      <w:pPr>
        <w:pStyle w:val="ListParagraph"/>
        <w:spacing w:after="220" w:line="240" w:lineRule="auto"/>
        <w:ind w:left="0"/>
        <w:contextualSpacing w:val="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Aggregate vs. Individual Margins</w:t>
      </w:r>
    </w:p>
    <w:p w14:paraId="08DBBB84" w14:textId="204A7D8C"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r w:rsidR="004424F9" w:rsidRPr="0059240B">
        <w:rPr>
          <w:rFonts w:ascii="Times New Roman" w:eastAsia="Times New Roman" w:hAnsi="Times New Roman"/>
        </w:rPr>
        <w:t>.</w:t>
      </w:r>
    </w:p>
    <w:p w14:paraId="791762C5" w14:textId="312BCB63" w:rsidR="003129FE" w:rsidRPr="0059240B" w:rsidRDefault="004424F9"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2</w:t>
      </w:r>
      <w:r w:rsidR="003129FE" w:rsidRPr="0059240B">
        <w:rPr>
          <w:rFonts w:ascii="Times New Roman" w:eastAsia="Times New Roman" w:hAnsi="Times New Roman"/>
        </w:rPr>
        <w:t>.</w:t>
      </w:r>
      <w:r w:rsidR="003129FE" w:rsidRPr="0059240B">
        <w:rPr>
          <w:rFonts w:ascii="Times New Roman" w:eastAsia="Times New Roman" w:hAnsi="Times New Roman"/>
        </w:rPr>
        <w:tab/>
        <w:t xml:space="preserve">Although this principle discusses the concept of determining the level of margins in aggregate, it notes that the application of this concept shall be guided by evolving practice and expanding </w:t>
      </w:r>
      <w:r w:rsidR="003129FE" w:rsidRPr="0059240B">
        <w:rPr>
          <w:rFonts w:ascii="Times New Roman" w:eastAsia="Times New Roman" w:hAnsi="Times New Roman"/>
        </w:rPr>
        <w:lastRenderedPageBreak/>
        <w:t>knowledge. From a practical standpoint, it may not always be possible to completely apply this concept to determine the level of margins in aggregate for all behavior assumptions.</w:t>
      </w:r>
    </w:p>
    <w:p w14:paraId="11351B93" w14:textId="4327C41D" w:rsidR="003129FE" w:rsidRPr="0059240B" w:rsidRDefault="004424F9"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3</w:t>
      </w:r>
      <w:r w:rsidR="003129FE" w:rsidRPr="0059240B">
        <w:rPr>
          <w:rFonts w:ascii="Times New Roman" w:eastAsia="Times New Roman" w:hAnsi="Times New Roman"/>
        </w:rPr>
        <w:t>.</w:t>
      </w:r>
      <w:r w:rsidR="003129FE" w:rsidRPr="0059240B">
        <w:rPr>
          <w:rFonts w:ascii="Times New Roman" w:eastAsia="Times New Roman" w:hAnsi="Times New Roman"/>
        </w:rPr>
        <w:tab/>
        <w:t>Therefore, the company shall determine prudent estimate assumptions independently for each behavior (e.g., mortality lapses and benefit utilization), using the requirements and guidance in this section and throughout these requirements, unless the company can demonstrate that an appropriate method was used to determine the level of margin in aggregate for two or more behaviors.</w:t>
      </w:r>
    </w:p>
    <w:p w14:paraId="3D6FA18E" w14:textId="77777777" w:rsidR="003129FE" w:rsidRPr="0059240B" w:rsidRDefault="003129FE" w:rsidP="004E4618">
      <w:pPr>
        <w:spacing w:after="220" w:line="240" w:lineRule="auto"/>
        <w:jc w:val="both"/>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Sensitivity Testing</w:t>
      </w:r>
    </w:p>
    <w:p w14:paraId="7E95A58A" w14:textId="17C9AB66" w:rsidR="003129FE" w:rsidRPr="0059240B" w:rsidRDefault="003129FE" w:rsidP="004E4618">
      <w:pPr>
        <w:spacing w:after="220" w:line="240" w:lineRule="auto"/>
        <w:ind w:left="720"/>
        <w:jc w:val="both"/>
        <w:rPr>
          <w:rFonts w:ascii="Times New Roman" w:eastAsia="Times New Roman" w:hAnsi="Times New Roman"/>
        </w:rPr>
      </w:pPr>
      <w:r w:rsidRPr="0059240B">
        <w:rPr>
          <w:rFonts w:ascii="Times New Roman" w:eastAsia="Times New Roman" w:hAnsi="Times New Roman"/>
        </w:rPr>
        <w:t>The impact of behavior can vary by product, time period, etc. Sensitivity testing of assumptions is required and shall be more complex than, for example, base lapse assumption minus 1%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4DFCA0FC" w14:textId="77777777" w:rsidR="003129FE" w:rsidRPr="0059240B" w:rsidRDefault="003129FE" w:rsidP="004E4618">
      <w:pPr>
        <w:spacing w:after="220" w:line="240" w:lineRule="auto"/>
        <w:jc w:val="both"/>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Specific Considerations and Requirements</w:t>
      </w:r>
    </w:p>
    <w:p w14:paraId="6FB8B524" w14:textId="2EC12CD7"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Within materiality considerations, the company should consider all relevant forms of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and persistency, including, but not limited to, the following:</w:t>
      </w:r>
    </w:p>
    <w:p w14:paraId="1C0A1EDD" w14:textId="43E20434" w:rsidR="003129FE" w:rsidRPr="0059240B"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Mortality (additional guidance and requirements regarding mortality is contained in Section 11).</w:t>
      </w:r>
    </w:p>
    <w:p w14:paraId="4B4ED6A2" w14:textId="77777777" w:rsidR="003129FE" w:rsidRPr="0059240B"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Surrenders.</w:t>
      </w:r>
    </w:p>
    <w:p w14:paraId="2A8CD03B" w14:textId="77777777" w:rsidR="003129FE" w:rsidRPr="0059240B"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Partial withdrawals (systematic and elective).</w:t>
      </w:r>
    </w:p>
    <w:p w14:paraId="771D36EE" w14:textId="77777777" w:rsidR="003129FE" w:rsidRPr="0059240B"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Fund transfers (switching/exchanges).</w:t>
      </w:r>
    </w:p>
    <w:p w14:paraId="36D13DF3" w14:textId="77777777" w:rsidR="003129FE" w:rsidRPr="0059240B"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Resets/ratchets of the guaranteed amounts (automatic and elective).</w:t>
      </w:r>
    </w:p>
    <w:p w14:paraId="144265ED" w14:textId="77777777" w:rsidR="003129FE" w:rsidRPr="0059240B"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Future deposits.</w:t>
      </w:r>
    </w:p>
    <w:p w14:paraId="524CF5FC" w14:textId="77777777"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2. </w:t>
      </w:r>
      <w:r w:rsidRPr="0059240B">
        <w:rPr>
          <w:rFonts w:ascii="Times New Roman" w:eastAsia="Times New Roman" w:hAnsi="Times New Roman"/>
        </w:rPr>
        <w:tab/>
        <w:t>It may be acceptable to ignore certain items that might otherwise be explicitly modeled in an ideal world, particularly if the inclusion of such items reduces the calculated provisions. For example:</w:t>
      </w:r>
    </w:p>
    <w:p w14:paraId="6D85A9EC" w14:textId="77777777" w:rsidR="003129FE" w:rsidRPr="0059240B" w:rsidRDefault="003129FE">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The impact of fund transfers (intra-contract fund “switching”) might be ignored, unless required under the terms of the contract (e.g., automatic asset re-allocation/rebalancing, dollar cost averaging accounts, etc.).</w:t>
      </w:r>
    </w:p>
    <w:p w14:paraId="3BD4B9B9" w14:textId="77777777" w:rsidR="003129FE" w:rsidRPr="0059240B" w:rsidRDefault="003129FE">
      <w:pPr>
        <w:spacing w:after="220" w:line="240" w:lineRule="auto"/>
        <w:ind w:left="216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p>
    <w:p w14:paraId="6AE5B2C4" w14:textId="50C81F66"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3. </w:t>
      </w:r>
      <w:r w:rsidRPr="0059240B">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0907EAC3" w14:textId="5B91BC28"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4. </w:t>
      </w:r>
      <w:r w:rsidRPr="0059240B">
        <w:rPr>
          <w:rFonts w:ascii="Times New Roman" w:eastAsia="Times New Roman" w:hAnsi="Times New Roman"/>
        </w:rPr>
        <w:tab/>
        <w:t>Normally, the underlying model assumptions would differ according to the attributes of the contract being valued. This would typically mean that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and persistency may be expected to vary according to such characteristics as (this is not an exhaustive list):</w:t>
      </w:r>
    </w:p>
    <w:p w14:paraId="0FC60180"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lastRenderedPageBreak/>
        <w:t>Gender.</w:t>
      </w:r>
    </w:p>
    <w:p w14:paraId="3A3449FE"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Attained age.</w:t>
      </w:r>
    </w:p>
    <w:p w14:paraId="03075B7C"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Issue age.</w:t>
      </w:r>
    </w:p>
    <w:p w14:paraId="4C4D5F17"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Contract duration.</w:t>
      </w:r>
    </w:p>
    <w:p w14:paraId="4F45D44B"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Time to maturity.</w:t>
      </w:r>
    </w:p>
    <w:p w14:paraId="44EE110B"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Tax status.</w:t>
      </w:r>
    </w:p>
    <w:p w14:paraId="7C10BDFE"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Fund value.</w:t>
      </w:r>
    </w:p>
    <w:p w14:paraId="2955A1CD"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Investment option.</w:t>
      </w:r>
    </w:p>
    <w:p w14:paraId="552CF7EF"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Guaranteed benefit amounts.</w:t>
      </w:r>
    </w:p>
    <w:p w14:paraId="39306A16"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Surrender charges, transaction fees or other contract charges.</w:t>
      </w:r>
    </w:p>
    <w:p w14:paraId="116294CD" w14:textId="77777777" w:rsidR="003129FE" w:rsidRPr="0059240B"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Distribution channel.</w:t>
      </w:r>
    </w:p>
    <w:p w14:paraId="0DF348E7" w14:textId="776EE73D" w:rsidR="003129FE" w:rsidRPr="0059240B" w:rsidRDefault="003129FE" w:rsidP="000E04EA">
      <w:pPr>
        <w:pStyle w:val="ListParagraph"/>
        <w:spacing w:after="220" w:line="240" w:lineRule="auto"/>
        <w:ind w:left="1440" w:hanging="720"/>
        <w:contextualSpacing w:val="0"/>
        <w:jc w:val="both"/>
        <w:rPr>
          <w:rFonts w:ascii="Times New Roman" w:eastAsia="Times New Roman" w:hAnsi="Times New Roman"/>
        </w:rPr>
      </w:pPr>
      <w:r w:rsidRPr="0059240B">
        <w:rPr>
          <w:rFonts w:ascii="Times New Roman" w:eastAsia="Times New Roman" w:hAnsi="Times New Roman"/>
        </w:rPr>
        <w:t xml:space="preserve">5. </w:t>
      </w:r>
      <w:r w:rsidRPr="0059240B">
        <w:rPr>
          <w:rFonts w:ascii="Times New Roman" w:eastAsia="Times New Roman" w:hAnsi="Times New Roman"/>
        </w:rPr>
        <w:tab/>
        <w:t>Unless there is clear evidence to the contrary, behavior assumptions should be no less conservative than past experience. Margins for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assumptions shall assume, without relevant and credible experience or clear evidence to the contrary, that contract</w:t>
      </w:r>
      <w:r w:rsidR="003B2C27" w:rsidRPr="0059240B">
        <w:rPr>
          <w:rFonts w:ascii="Times New Roman" w:eastAsia="Times New Roman" w:hAnsi="Times New Roman"/>
        </w:rPr>
        <w:t xml:space="preserve"> </w:t>
      </w:r>
      <w:r w:rsidRPr="0059240B">
        <w:rPr>
          <w:rFonts w:ascii="Times New Roman" w:eastAsia="Times New Roman" w:hAnsi="Times New Roman"/>
        </w:rPr>
        <w:t>holders’ efficiency will increase over time.</w:t>
      </w:r>
    </w:p>
    <w:p w14:paraId="494083E2" w14:textId="0E6E50AC"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6. </w:t>
      </w:r>
      <w:r w:rsidRPr="0059240B">
        <w:rPr>
          <w:rFonts w:ascii="Times New Roman" w:eastAsia="Times New Roman" w:hAnsi="Times New Roman"/>
        </w:rPr>
        <w:tab/>
        <w:t>In determining contract</w:t>
      </w:r>
      <w:r w:rsidR="003B2C27" w:rsidRPr="0059240B">
        <w:rPr>
          <w:rFonts w:ascii="Times New Roman" w:eastAsia="Times New Roman" w:hAnsi="Times New Roman"/>
        </w:rPr>
        <w:t xml:space="preserve"> </w:t>
      </w:r>
      <w:r w:rsidRPr="0059240B">
        <w:rPr>
          <w:rFonts w:ascii="Times New Roman" w:eastAsia="Times New Roman" w:hAnsi="Times New Roman"/>
        </w:rPr>
        <w:t xml:space="preserve">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B105742" w14:textId="6625A23C"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7. </w:t>
      </w:r>
      <w:r w:rsidRPr="0059240B">
        <w:rPr>
          <w:rFonts w:ascii="Times New Roman" w:eastAsia="Times New Roman" w:hAnsi="Times New Roman"/>
        </w:rPr>
        <w:tab/>
        <w:t>Where relevant and fully credible empirical data do not exist for a given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assumption, the company shall set the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assumption to reflect the increased uncertainty such that the contract</w:t>
      </w:r>
      <w:r w:rsidR="003B2C27" w:rsidRPr="0059240B">
        <w:rPr>
          <w:rFonts w:ascii="Times New Roman" w:eastAsia="Times New Roman" w:hAnsi="Times New Roman"/>
        </w:rPr>
        <w:t xml:space="preserve"> </w:t>
      </w:r>
      <w:r w:rsidRPr="0059240B">
        <w:rPr>
          <w:rFonts w:ascii="Times New Roman" w:eastAsia="Times New Roman" w:hAnsi="Times New Roman"/>
        </w:rPr>
        <w:t xml:space="preserve">holder behavior assumption is shifted towards the conservative end of the plausible range of expected experience that serves to increase the </w:t>
      </w:r>
      <w:r w:rsidR="003F7B53" w:rsidRPr="0059240B">
        <w:rPr>
          <w:rFonts w:ascii="Times New Roman" w:eastAsia="Times New Roman" w:hAnsi="Times New Roman"/>
        </w:rPr>
        <w:t xml:space="preserve">stochastic </w:t>
      </w:r>
      <w:r w:rsidRPr="0059240B">
        <w:rPr>
          <w:rFonts w:ascii="Times New Roman" w:eastAsia="Times New Roman" w:hAnsi="Times New Roman"/>
        </w:rPr>
        <w:t>reserve. If there are no relevant data, the company shall set the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assumption to reflect the increased uncertainty such that the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assumption is at the conservative end of the range. Such adjustments shall be consistent with the definition of prudent estimate, with the principles described in Section 1.B, and with the guidance and requirements in this section.</w:t>
      </w:r>
    </w:p>
    <w:p w14:paraId="4CF056DE" w14:textId="2214AEB6"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8. </w:t>
      </w:r>
      <w:r w:rsidRPr="0059240B">
        <w:rPr>
          <w:rFonts w:ascii="Times New Roman" w:eastAsia="Times New Roman" w:hAnsi="Times New Roman"/>
        </w:rPr>
        <w:tab/>
        <w:t>Ideally,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would be modeled dynamically according to the simulated economic environment and/or other conditions. It is important to note, however, that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3B415EF6" w14:textId="77777777" w:rsidR="003129FE" w:rsidRPr="0059240B" w:rsidRDefault="003129FE" w:rsidP="004E4618">
      <w:pPr>
        <w:keepNext/>
        <w:spacing w:after="220" w:line="240" w:lineRule="auto"/>
        <w:jc w:val="both"/>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Dynamic Assumptions</w:t>
      </w:r>
    </w:p>
    <w:p w14:paraId="55E4D4D0" w14:textId="77777777" w:rsidR="003129FE" w:rsidRPr="0059240B"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59240B">
        <w:rPr>
          <w:rFonts w:ascii="Times New Roman" w:eastAsia="Times New Roman" w:hAnsi="Times New Roman"/>
        </w:rPr>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46C51A69" w14:textId="4CCDC99D" w:rsidR="003129FE" w:rsidRPr="0059240B"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59240B">
        <w:rPr>
          <w:rFonts w:ascii="Times New Roman" w:eastAsia="Times New Roman" w:hAnsi="Times New Roman"/>
        </w:rPr>
        <w:lastRenderedPageBreak/>
        <w:t>The company 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129308BC" w14:textId="0DBC6281" w:rsidR="003129FE" w:rsidRPr="0059240B"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59240B">
        <w:rPr>
          <w:rFonts w:ascii="Times New Roman" w:eastAsia="Times New Roman" w:hAnsi="Times New Roman"/>
        </w:rPr>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2DC2DEED" w14:textId="77777777" w:rsidR="003129FE" w:rsidRPr="0059240B" w:rsidRDefault="003129FE" w:rsidP="004E4618">
      <w:pPr>
        <w:spacing w:after="220" w:line="240" w:lineRule="auto"/>
        <w:jc w:val="both"/>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t>Consistency with the CTE Level</w:t>
      </w:r>
    </w:p>
    <w:p w14:paraId="27EF00A4" w14:textId="2DA81FDA" w:rsidR="003129FE" w:rsidRPr="0059240B" w:rsidRDefault="003129FE" w:rsidP="000E04EA">
      <w:pPr>
        <w:pStyle w:val="ListParagraph"/>
        <w:numPr>
          <w:ilvl w:val="0"/>
          <w:numId w:val="67"/>
        </w:numPr>
        <w:spacing w:after="220" w:line="240" w:lineRule="auto"/>
        <w:ind w:hanging="720"/>
        <w:jc w:val="both"/>
        <w:rPr>
          <w:rFonts w:ascii="Times New Roman" w:eastAsia="Times New Roman" w:hAnsi="Times New Roman"/>
        </w:rPr>
      </w:pPr>
      <w:r w:rsidRPr="0059240B">
        <w:rPr>
          <w:rFonts w:ascii="Times New Roman" w:eastAsia="Times New Roman" w:hAnsi="Times New Roman"/>
        </w:rPr>
        <w:t>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variable annuities, these “valuation” scenarios would typically display one or more of the following attributes:</w:t>
      </w:r>
    </w:p>
    <w:p w14:paraId="16F8658D" w14:textId="77777777" w:rsidR="003129FE" w:rsidRPr="0059240B" w:rsidRDefault="003129FE" w:rsidP="004E4618">
      <w:pPr>
        <w:pStyle w:val="ListParagraph"/>
        <w:spacing w:after="220" w:line="240" w:lineRule="auto"/>
        <w:ind w:left="1440" w:hanging="720"/>
        <w:jc w:val="both"/>
        <w:rPr>
          <w:rFonts w:ascii="Times New Roman" w:eastAsia="Times New Roman" w:hAnsi="Times New Roman"/>
        </w:rPr>
      </w:pPr>
    </w:p>
    <w:p w14:paraId="525CA11F" w14:textId="77777777" w:rsidR="003129FE" w:rsidRPr="0059240B"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Declining and/or volatile separate account asset values.</w:t>
      </w:r>
    </w:p>
    <w:p w14:paraId="469E065E" w14:textId="77777777" w:rsidR="003129FE" w:rsidRPr="0059240B"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Market index volatility, price gaps and/or liquidity constraints.</w:t>
      </w:r>
    </w:p>
    <w:p w14:paraId="37671166" w14:textId="77777777" w:rsidR="003129FE" w:rsidRPr="0059240B"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Rapidly changing interest rates.</w:t>
      </w:r>
    </w:p>
    <w:p w14:paraId="08135A50" w14:textId="25DABEF8"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2. </w:t>
      </w:r>
      <w:r w:rsidRPr="0059240B">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97C63E2" w14:textId="77777777" w:rsidR="003129FE" w:rsidRPr="0059240B"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Remain logically and internally consistent across the scenarios tested.</w:t>
      </w:r>
    </w:p>
    <w:p w14:paraId="6410D77A" w14:textId="77777777" w:rsidR="003129FE" w:rsidRPr="0059240B"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Represent plausible outcomes.</w:t>
      </w:r>
    </w:p>
    <w:p w14:paraId="75273F41" w14:textId="77777777" w:rsidR="003129FE" w:rsidRPr="0059240B"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59240B">
        <w:rPr>
          <w:rFonts w:ascii="Times New Roman" w:eastAsia="Times New Roman" w:hAnsi="Times New Roman"/>
        </w:rPr>
        <w:t>Lead to appropriate, but not excessive, asset requirements.</w:t>
      </w:r>
    </w:p>
    <w:p w14:paraId="7DB29BF1" w14:textId="53DD0297"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4. </w:t>
      </w:r>
      <w:r w:rsidRPr="0059240B">
        <w:rPr>
          <w:rFonts w:ascii="Times New Roman" w:eastAsia="Times New Roman" w:hAnsi="Times New Roman"/>
        </w:rPr>
        <w:tab/>
        <w:t>The company should remember that the continuum of “plausibility” should not be confined or constrained to the outcomes and events exhibited by historic experience.</w:t>
      </w:r>
    </w:p>
    <w:p w14:paraId="48156C27" w14:textId="434E497D" w:rsidR="003129FE" w:rsidRPr="0059240B" w:rsidRDefault="003129FE" w:rsidP="000E04EA">
      <w:pPr>
        <w:spacing w:after="220" w:line="240" w:lineRule="auto"/>
        <w:ind w:left="1440" w:hanging="720"/>
        <w:jc w:val="both"/>
        <w:rPr>
          <w:rFonts w:ascii="Times New Roman" w:eastAsia="Times New Roman" w:hAnsi="Times New Roman"/>
        </w:rPr>
      </w:pPr>
      <w:r w:rsidRPr="0059240B">
        <w:rPr>
          <w:rFonts w:ascii="Times New Roman" w:eastAsia="Times New Roman" w:hAnsi="Times New Roman"/>
        </w:rPr>
        <w:t xml:space="preserve">5. </w:t>
      </w:r>
      <w:r w:rsidRPr="0059240B">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w:t>
      </w:r>
      <w:r w:rsidR="003B2C27" w:rsidRPr="0059240B">
        <w:rPr>
          <w:rFonts w:ascii="Times New Roman" w:eastAsia="Times New Roman" w:hAnsi="Times New Roman"/>
        </w:rPr>
        <w:t xml:space="preserve"> </w:t>
      </w:r>
      <w:r w:rsidRPr="0059240B">
        <w:rPr>
          <w:rFonts w:ascii="Times New Roman" w:eastAsia="Times New Roman" w:hAnsi="Times New Roman"/>
        </w:rPr>
        <w:t>holder behavior.</w:t>
      </w:r>
    </w:p>
    <w:p w14:paraId="78E2FAE4" w14:textId="77777777" w:rsidR="003129FE" w:rsidRPr="0059240B" w:rsidRDefault="003129FE" w:rsidP="004E4618">
      <w:pPr>
        <w:spacing w:after="220" w:line="240" w:lineRule="auto"/>
        <w:ind w:left="720" w:hanging="720"/>
        <w:jc w:val="both"/>
        <w:rPr>
          <w:rFonts w:ascii="Times New Roman" w:eastAsia="Times New Roman" w:hAnsi="Times New Roman"/>
        </w:rPr>
      </w:pPr>
      <w:r w:rsidRPr="0059240B">
        <w:rPr>
          <w:rFonts w:ascii="Times New Roman" w:eastAsia="Times New Roman" w:hAnsi="Times New Roman"/>
        </w:rPr>
        <w:t>G.</w:t>
      </w:r>
      <w:r w:rsidRPr="0059240B">
        <w:rPr>
          <w:rFonts w:ascii="Times New Roman" w:eastAsia="Times New Roman" w:hAnsi="Times New Roman"/>
        </w:rPr>
        <w:tab/>
        <w:t>Additional Considerations and Requirements for Assumptions Applicable to Guaranteed Living Benefits</w:t>
      </w:r>
    </w:p>
    <w:p w14:paraId="36BFFE28" w14:textId="3C13433E" w:rsidR="003129FE" w:rsidRPr="0059240B" w:rsidRDefault="003129FE" w:rsidP="004E4618">
      <w:pPr>
        <w:spacing w:after="220" w:line="240" w:lineRule="auto"/>
        <w:ind w:left="720"/>
        <w:jc w:val="both"/>
        <w:rPr>
          <w:rFonts w:ascii="Times New Roman" w:eastAsia="Times New Roman" w:hAnsi="Times New Roman"/>
        </w:rPr>
      </w:pPr>
      <w:r w:rsidRPr="0059240B">
        <w:rPr>
          <w:rFonts w:ascii="Times New Roman" w:eastAsia="Times New Roman" w:hAnsi="Times New Roman"/>
        </w:rPr>
        <w:t xml:space="preserve">Experience for contracts without guaranteed living benefits may be of limited use in setting a lapse assumption for contracts with in-the-money or at-the-money guaranteed living benefits. Such experience </w:t>
      </w:r>
      <w:r w:rsidRPr="0059240B">
        <w:rPr>
          <w:rFonts w:ascii="Times New Roman" w:eastAsia="Times New Roman" w:hAnsi="Times New Roman"/>
        </w:rPr>
        <w:lastRenderedPageBreak/>
        <w:t xml:space="preserve">may only be used if it is appropriate (e.g., lapse experience on contracts without a living benefit may have relevance to the early durations of contracts with living benefits) and relevant to the business. </w:t>
      </w:r>
    </w:p>
    <w:p w14:paraId="5D574D97" w14:textId="06CE63E0" w:rsidR="003129FE" w:rsidRPr="0059240B" w:rsidRDefault="003129FE">
      <w:pPr>
        <w:spacing w:after="0" w:line="240" w:lineRule="auto"/>
        <w:rPr>
          <w:rFonts w:ascii="Times New Roman" w:eastAsia="Times New Roman" w:hAnsi="Times New Roman"/>
          <w:b/>
        </w:rPr>
      </w:pPr>
      <w:r w:rsidRPr="0059240B">
        <w:br w:type="page"/>
      </w:r>
    </w:p>
    <w:p w14:paraId="794879FC" w14:textId="36DA33FC" w:rsidR="003129FE" w:rsidRPr="0059240B" w:rsidRDefault="003129FE" w:rsidP="004E4618">
      <w:pPr>
        <w:pStyle w:val="Heading3"/>
        <w:spacing w:after="220"/>
        <w:jc w:val="left"/>
        <w:rPr>
          <w:sz w:val="22"/>
          <w:szCs w:val="22"/>
        </w:rPr>
      </w:pPr>
      <w:r w:rsidRPr="0059240B">
        <w:rPr>
          <w:sz w:val="22"/>
          <w:szCs w:val="22"/>
        </w:rPr>
        <w:lastRenderedPageBreak/>
        <w:t>Section 11: Guidance and Requirements for Setting Prudent Estimate Mortality Assumptions</w:t>
      </w:r>
    </w:p>
    <w:p w14:paraId="6C7CBA78" w14:textId="77777777" w:rsidR="003129FE" w:rsidRPr="0059240B" w:rsidRDefault="003129FE" w:rsidP="000E04EA">
      <w:pPr>
        <w:spacing w:after="220" w:line="240" w:lineRule="auto"/>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Overview</w:t>
      </w:r>
    </w:p>
    <w:p w14:paraId="080A8C9A"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Intent</w:t>
      </w:r>
    </w:p>
    <w:p w14:paraId="17C09EEE" w14:textId="3FE16F5D"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The guidance and requirements in this section apply </w:t>
      </w:r>
      <w:r w:rsidR="00891064" w:rsidRPr="0059240B">
        <w:rPr>
          <w:rFonts w:ascii="Times New Roman" w:eastAsia="Times New Roman" w:hAnsi="Times New Roman"/>
        </w:rPr>
        <w:t>to</w:t>
      </w:r>
      <w:r w:rsidRPr="0059240B">
        <w:rPr>
          <w:rFonts w:ascii="Times New Roman" w:eastAsia="Times New Roman" w:hAnsi="Times New Roman"/>
        </w:rPr>
        <w:t xml:space="preserve"> setting prudent estimate mortality assumptions when determining either  </w:t>
      </w:r>
      <w:r w:rsidR="00665557" w:rsidRPr="0059240B">
        <w:rPr>
          <w:rFonts w:ascii="Times New Roman" w:eastAsia="Times New Roman" w:hAnsi="Times New Roman"/>
        </w:rPr>
        <w:t xml:space="preserve">the </w:t>
      </w:r>
      <w:r w:rsidRPr="0059240B">
        <w:rPr>
          <w:rFonts w:ascii="Times New Roman" w:eastAsia="Times New Roman" w:hAnsi="Times New Roman"/>
        </w:rPr>
        <w:t xml:space="preserve">stochastic reserve or </w:t>
      </w:r>
      <w:r w:rsidR="00891064" w:rsidRPr="0059240B">
        <w:rPr>
          <w:rFonts w:ascii="Times New Roman" w:eastAsia="Times New Roman" w:hAnsi="Times New Roman"/>
        </w:rPr>
        <w:t xml:space="preserve">the reserve for any contracts determined using </w:t>
      </w:r>
      <w:r w:rsidRPr="0059240B">
        <w:rPr>
          <w:rFonts w:ascii="Times New Roman" w:eastAsia="Times New Roman" w:hAnsi="Times New Roman"/>
        </w:rPr>
        <w:t>the Alternative Methodology. The intent is for prudent estimate mortality assumptions to be based on facts, circumstances and appropriate actuarial practice, with only a limited role for unsupported actuarial judgment. (Where more than one approach to appropriate actuarial practice exists, the company should select the practice that the company deems most appropriate under the circumstances.)</w:t>
      </w:r>
    </w:p>
    <w:p w14:paraId="539DBFAA"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Description</w:t>
      </w:r>
    </w:p>
    <w:p w14:paraId="65CEC73B" w14:textId="00B35E58"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Prudent estimate mortality assumptions </w:t>
      </w:r>
      <w:r w:rsidR="00891064" w:rsidRPr="0059240B">
        <w:rPr>
          <w:rFonts w:ascii="Times New Roman" w:eastAsia="Times New Roman" w:hAnsi="Times New Roman"/>
        </w:rPr>
        <w:t>shall be</w:t>
      </w:r>
      <w:r w:rsidRPr="0059240B">
        <w:rPr>
          <w:rFonts w:ascii="Times New Roman" w:eastAsia="Times New Roman" w:hAnsi="Times New Roman"/>
        </w:rPr>
        <w:t xml:space="preserve"> determined by first developing expected mortality curves based on either available experience or published tables. Where necessary, margins </w:t>
      </w:r>
      <w:r w:rsidR="00891064" w:rsidRPr="0059240B">
        <w:rPr>
          <w:rFonts w:ascii="Times New Roman" w:eastAsia="Times New Roman" w:hAnsi="Times New Roman"/>
        </w:rPr>
        <w:t>shall be</w:t>
      </w:r>
      <w:r w:rsidRPr="0059240B">
        <w:rPr>
          <w:rFonts w:ascii="Times New Roman" w:eastAsia="Times New Roman" w:hAnsi="Times New Roman"/>
        </w:rPr>
        <w:t xml:space="preserve"> applied to the experience to reflect data uncertainty. The expected mortality curves </w:t>
      </w:r>
      <w:r w:rsidR="00891064" w:rsidRPr="0059240B">
        <w:rPr>
          <w:rFonts w:ascii="Times New Roman" w:eastAsia="Times New Roman" w:hAnsi="Times New Roman"/>
        </w:rPr>
        <w:t>shall</w:t>
      </w:r>
      <w:r w:rsidRPr="0059240B">
        <w:rPr>
          <w:rFonts w:ascii="Times New Roman" w:eastAsia="Times New Roman" w:hAnsi="Times New Roman"/>
        </w:rPr>
        <w:t xml:space="preserve"> then </w:t>
      </w:r>
      <w:r w:rsidR="00891064" w:rsidRPr="0059240B">
        <w:rPr>
          <w:rFonts w:ascii="Times New Roman" w:eastAsia="Times New Roman" w:hAnsi="Times New Roman"/>
        </w:rPr>
        <w:t xml:space="preserve">be </w:t>
      </w:r>
      <w:r w:rsidRPr="0059240B">
        <w:rPr>
          <w:rFonts w:ascii="Times New Roman" w:eastAsia="Times New Roman" w:hAnsi="Times New Roman"/>
        </w:rPr>
        <w:t xml:space="preserve">adjusted based on the credibility of the experience used to determine the expected mortality curve. Section </w:t>
      </w:r>
      <w:r w:rsidR="00C82945" w:rsidRPr="0059240B">
        <w:rPr>
          <w:rFonts w:ascii="Times New Roman" w:eastAsia="Times New Roman" w:hAnsi="Times New Roman"/>
        </w:rPr>
        <w:t>11.</w:t>
      </w:r>
      <w:r w:rsidRPr="0059240B">
        <w:rPr>
          <w:rFonts w:ascii="Times New Roman" w:eastAsia="Times New Roman" w:hAnsi="Times New Roman"/>
        </w:rPr>
        <w:t xml:space="preserve">B addresses guidance and requirements for determining expected mortality curves, and Section </w:t>
      </w:r>
      <w:r w:rsidR="00DA1604" w:rsidRPr="0059240B">
        <w:rPr>
          <w:rFonts w:ascii="Times New Roman" w:eastAsia="Times New Roman" w:hAnsi="Times New Roman"/>
        </w:rPr>
        <w:t>11</w:t>
      </w:r>
      <w:r w:rsidRPr="0059240B">
        <w:rPr>
          <w:rFonts w:ascii="Times New Roman" w:eastAsia="Times New Roman" w:hAnsi="Times New Roman"/>
        </w:rPr>
        <w:t>.C addresses guidance and requirements for adjusting the expected mortality curves to determine prudent estimate mortality.</w:t>
      </w:r>
    </w:p>
    <w:p w14:paraId="48BE008B" w14:textId="7C36F835"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sidR="00C82945" w:rsidRPr="0059240B">
        <w:rPr>
          <w:rFonts w:ascii="Times New Roman" w:eastAsia="Times New Roman" w:hAnsi="Times New Roman"/>
        </w:rPr>
        <w:t>11.</w:t>
      </w:r>
      <w:r w:rsidRPr="0059240B">
        <w:rPr>
          <w:rFonts w:ascii="Times New Roman" w:eastAsia="Times New Roman" w:hAnsi="Times New Roman"/>
        </w:rPr>
        <w:t>D.</w:t>
      </w:r>
    </w:p>
    <w:p w14:paraId="3C27B3BB"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Business Segments</w:t>
      </w:r>
    </w:p>
    <w:p w14:paraId="20A9B487" w14:textId="5894C985"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assumptions. The grouping</w:t>
      </w:r>
      <w:r w:rsidR="00B8079F" w:rsidRPr="0059240B">
        <w:rPr>
          <w:rFonts w:ascii="Times New Roman" w:eastAsia="Times New Roman" w:hAnsi="Times New Roman"/>
        </w:rPr>
        <w:t>, at a  minimum,</w:t>
      </w:r>
      <w:r w:rsidRPr="0059240B">
        <w:rPr>
          <w:rFonts w:ascii="Times New Roman" w:eastAsia="Times New Roman" w:hAnsi="Times New Roman"/>
        </w:rPr>
        <w:t xml:space="preserve"> should </w:t>
      </w:r>
      <w:r w:rsidR="00B8079F" w:rsidRPr="0059240B">
        <w:rPr>
          <w:rFonts w:ascii="Times New Roman" w:eastAsia="Times New Roman" w:hAnsi="Times New Roman"/>
          <w:u w:val="single"/>
        </w:rPr>
        <w:t xml:space="preserve">differentiate </w:t>
      </w:r>
      <w:r w:rsidR="000E6E7C" w:rsidRPr="0059240B">
        <w:rPr>
          <w:rFonts w:ascii="Times New Roman" w:eastAsia="Times New Roman" w:hAnsi="Times New Roman"/>
          <w:u w:val="single"/>
        </w:rPr>
        <w:t xml:space="preserve">whether the contracts contain </w:t>
      </w:r>
      <w:r w:rsidR="00B8079F" w:rsidRPr="0059240B">
        <w:rPr>
          <w:rFonts w:ascii="Times New Roman" w:eastAsia="Times New Roman" w:hAnsi="Times New Roman"/>
          <w:u w:val="single"/>
        </w:rPr>
        <w:t xml:space="preserve"> VAGLBs or do not, where the no-VAGLB segments would include both contracts with </w:t>
      </w:r>
      <w:r w:rsidR="000E6E7C" w:rsidRPr="0059240B">
        <w:rPr>
          <w:rFonts w:ascii="Times New Roman" w:eastAsia="Times New Roman" w:hAnsi="Times New Roman"/>
          <w:u w:val="single"/>
        </w:rPr>
        <w:t xml:space="preserve">no guaranteed benefits </w:t>
      </w:r>
      <w:r w:rsidR="00B8079F" w:rsidRPr="0059240B">
        <w:rPr>
          <w:rFonts w:ascii="Times New Roman" w:eastAsia="Times New Roman" w:hAnsi="Times New Roman"/>
          <w:u w:val="single"/>
        </w:rPr>
        <w:t xml:space="preserve"> and </w:t>
      </w:r>
      <w:r w:rsidR="009322F5" w:rsidRPr="0059240B">
        <w:rPr>
          <w:rFonts w:ascii="Times New Roman" w:eastAsia="Times New Roman" w:hAnsi="Times New Roman"/>
          <w:u w:val="single"/>
        </w:rPr>
        <w:t xml:space="preserve">contracts with </w:t>
      </w:r>
      <w:r w:rsidR="000E6E7C" w:rsidRPr="0059240B">
        <w:rPr>
          <w:rFonts w:ascii="Times New Roman" w:eastAsia="Times New Roman" w:hAnsi="Times New Roman"/>
          <w:u w:val="single"/>
        </w:rPr>
        <w:t>only GMDBs</w:t>
      </w:r>
      <w:r w:rsidR="009322F5" w:rsidRPr="0059240B">
        <w:rPr>
          <w:rFonts w:ascii="Times New Roman" w:eastAsia="Times New Roman" w:hAnsi="Times New Roman"/>
          <w:u w:val="single"/>
        </w:rPr>
        <w:t>. The grouping should also</w:t>
      </w:r>
      <w:r w:rsidR="000E6E7C" w:rsidRPr="0059240B">
        <w:rPr>
          <w:rFonts w:ascii="Times New Roman" w:eastAsia="Times New Roman" w:hAnsi="Times New Roman"/>
        </w:rPr>
        <w:t xml:space="preserve"> </w:t>
      </w:r>
      <w:r w:rsidRPr="0059240B">
        <w:rPr>
          <w:rFonts w:ascii="Times New Roman" w:eastAsia="Times New Roman" w:hAnsi="Times New Roman"/>
        </w:rPr>
        <w:t xml:space="preserve">generally follow the pricing, marketing, management and/or reinsurance programs of the company. </w:t>
      </w:r>
    </w:p>
    <w:p w14:paraId="297F61E1" w14:textId="77777777" w:rsidR="003129FE" w:rsidRPr="0059240B" w:rsidRDefault="003129FE" w:rsidP="000E04EA">
      <w:pPr>
        <w:spacing w:after="220" w:line="240" w:lineRule="auto"/>
        <w:ind w:left="1440" w:hanging="720"/>
        <w:rPr>
          <w:rFonts w:ascii="Times New Roman" w:eastAsia="Times New Roman" w:hAnsi="Times New Roman"/>
          <w:spacing w:val="-2"/>
        </w:rPr>
      </w:pPr>
      <w:r w:rsidRPr="0059240B">
        <w:rPr>
          <w:rFonts w:ascii="Times New Roman" w:eastAsia="Times New Roman" w:hAnsi="Times New Roman"/>
          <w:spacing w:val="-2"/>
        </w:rPr>
        <w:t xml:space="preserve">4. </w:t>
      </w:r>
      <w:r w:rsidRPr="0059240B">
        <w:rPr>
          <w:rFonts w:ascii="Times New Roman" w:eastAsia="Times New Roman" w:hAnsi="Times New Roman"/>
          <w:spacing w:val="-2"/>
        </w:rPr>
        <w:tab/>
        <w:t>Margin for Data Uncertainty</w:t>
      </w:r>
    </w:p>
    <w:p w14:paraId="16DACF7B" w14:textId="5F03E8F4" w:rsidR="003129FE" w:rsidRPr="0059240B" w:rsidRDefault="003129FE" w:rsidP="000E04EA">
      <w:pPr>
        <w:pStyle w:val="ListParagraph"/>
        <w:spacing w:after="220" w:line="240" w:lineRule="auto"/>
        <w:ind w:left="1440"/>
        <w:contextualSpacing w:val="0"/>
        <w:rPr>
          <w:rFonts w:ascii="Times New Roman" w:eastAsia="Times New Roman" w:hAnsi="Times New Roman"/>
        </w:rPr>
      </w:pPr>
      <w:r w:rsidRPr="0059240B">
        <w:rPr>
          <w:rFonts w:ascii="Times New Roman" w:eastAsia="Times New Roman" w:hAnsi="Times New Roman"/>
          <w:spacing w:val="-2"/>
        </w:rPr>
        <w:t xml:space="preserve">The expected mortality curves that are determined in Section </w:t>
      </w:r>
      <w:r w:rsidR="00C82945" w:rsidRPr="0059240B">
        <w:rPr>
          <w:rFonts w:ascii="Times New Roman" w:eastAsia="Times New Roman" w:hAnsi="Times New Roman"/>
          <w:spacing w:val="-2"/>
        </w:rPr>
        <w:t>11.</w:t>
      </w:r>
      <w:r w:rsidRPr="0059240B">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635653E2" w14:textId="77777777"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For purposes of this section, if mortality must be increased (decreased) to provide for uncertainty, the business segment is referred to as a plus (minus) segment.</w:t>
      </w:r>
    </w:p>
    <w:p w14:paraId="01DCF9C5" w14:textId="77777777"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It may be necessary, because of a change in the mortality risk profile of the segment, to reclassify a business segment from a plus (minus) segment to a minus (plus) segment to the extent compliance with this section requires such a reclassification.</w:t>
      </w:r>
    </w:p>
    <w:p w14:paraId="1566A6ED" w14:textId="77777777" w:rsidR="003129FE" w:rsidRPr="0059240B" w:rsidRDefault="003129FE" w:rsidP="000E04EA">
      <w:pPr>
        <w:spacing w:after="220" w:line="240" w:lineRule="auto"/>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Determination of Expected Mortality Curves</w:t>
      </w:r>
    </w:p>
    <w:p w14:paraId="1E1E99F5"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lastRenderedPageBreak/>
        <w:t>1.</w:t>
      </w:r>
      <w:r w:rsidRPr="0059240B">
        <w:rPr>
          <w:rFonts w:ascii="Times New Roman" w:eastAsia="Times New Roman" w:hAnsi="Times New Roman"/>
        </w:rPr>
        <w:tab/>
        <w:t>Experience Data</w:t>
      </w:r>
    </w:p>
    <w:p w14:paraId="17051DE7" w14:textId="672A9EB7"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See Section </w:t>
      </w:r>
      <w:r w:rsidR="00C82945" w:rsidRPr="0059240B">
        <w:rPr>
          <w:rFonts w:ascii="Times New Roman" w:eastAsia="Times New Roman" w:hAnsi="Times New Roman"/>
        </w:rPr>
        <w:t>11.</w:t>
      </w:r>
      <w:r w:rsidRPr="0059240B">
        <w:rPr>
          <w:rFonts w:ascii="Times New Roman" w:eastAsia="Times New Roman" w:hAnsi="Times New Roman"/>
        </w:rPr>
        <w:t xml:space="preserve">B.2. for additional considerations. Finally, if there is no data, the company shall use the applicable table, as required in Section </w:t>
      </w:r>
      <w:r w:rsidR="00C82945" w:rsidRPr="0059240B">
        <w:rPr>
          <w:rFonts w:ascii="Times New Roman" w:eastAsia="Times New Roman" w:hAnsi="Times New Roman"/>
        </w:rPr>
        <w:t>11.</w:t>
      </w:r>
      <w:r w:rsidRPr="0059240B">
        <w:rPr>
          <w:rFonts w:ascii="Times New Roman" w:eastAsia="Times New Roman" w:hAnsi="Times New Roman"/>
        </w:rPr>
        <w:t>B.3.</w:t>
      </w:r>
    </w:p>
    <w:p w14:paraId="3A58EEDA"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Data Other Than Direct Experience</w:t>
      </w:r>
    </w:p>
    <w:p w14:paraId="00CFE310" w14:textId="5E119193"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Adjustments shall be applied to the data to reflect differences between the business segments, and margins shall be applied to the adjusted expected mortality curves to reflect the data uncertainty associated with using data from a similar but not identical business segment. </w:t>
      </w:r>
    </w:p>
    <w:p w14:paraId="42468353" w14:textId="630A9595"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2628EEEE"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No Data Requirements</w:t>
      </w:r>
    </w:p>
    <w:p w14:paraId="0B62F55C" w14:textId="34248F2A"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When little or no experience or information is available on a business segment, the company shall use expected mortality curves that would produce expected deaths no less than </w:t>
      </w:r>
      <w:r w:rsidR="00D22A19" w:rsidRPr="0059240B">
        <w:rPr>
          <w:rFonts w:ascii="Times New Roman" w:eastAsia="Times New Roman" w:hAnsi="Times New Roman"/>
        </w:rPr>
        <w:t>the appropriate percentage (F</w:t>
      </w:r>
      <w:r w:rsidR="00D22A19" w:rsidRPr="0059240B">
        <w:rPr>
          <w:rFonts w:ascii="Times New Roman" w:eastAsia="Times New Roman" w:hAnsi="Times New Roman"/>
          <w:vertAlign w:val="subscript"/>
        </w:rPr>
        <w:t>x</w:t>
      </w:r>
      <w:r w:rsidR="00D22A19" w:rsidRPr="0059240B">
        <w:rPr>
          <w:rFonts w:ascii="Times New Roman" w:eastAsia="Times New Roman" w:hAnsi="Times New Roman"/>
        </w:rPr>
        <w:t xml:space="preserve">) from Table 1 of the 2012 IAM Basic Table with projection scale G2 for </w:t>
      </w:r>
      <w:r w:rsidR="00D22A19" w:rsidRPr="0059240B">
        <w:rPr>
          <w:rFonts w:ascii="Times New Roman" w:eastAsia="Times New Roman" w:hAnsi="Times New Roman"/>
          <w:u w:val="single"/>
        </w:rPr>
        <w:t>contracts with no VAGLBs</w:t>
      </w:r>
      <w:r w:rsidR="00D22A19" w:rsidRPr="0059240B">
        <w:rPr>
          <w:rFonts w:ascii="Times New Roman" w:eastAsia="Times New Roman" w:hAnsi="Times New Roman"/>
        </w:rPr>
        <w:t xml:space="preserve"> </w:t>
      </w:r>
      <w:r w:rsidRPr="0059240B">
        <w:rPr>
          <w:rFonts w:ascii="Times New Roman" w:eastAsia="Times New Roman" w:hAnsi="Times New Roman"/>
        </w:rPr>
        <w:t xml:space="preserve">and expected deaths no greater than </w:t>
      </w:r>
      <w:r w:rsidR="00D22A19" w:rsidRPr="0059240B">
        <w:rPr>
          <w:rFonts w:ascii="Times New Roman" w:eastAsia="Times New Roman" w:hAnsi="Times New Roman"/>
          <w:shd w:val="clear" w:color="auto" w:fill="FFFF00"/>
        </w:rPr>
        <w:t>the appropriate percentage (F</w:t>
      </w:r>
      <w:r w:rsidR="00D22A19" w:rsidRPr="0059240B">
        <w:rPr>
          <w:rFonts w:ascii="Times New Roman" w:eastAsia="Times New Roman" w:hAnsi="Times New Roman"/>
          <w:shd w:val="clear" w:color="auto" w:fill="FFFF00"/>
          <w:vertAlign w:val="subscript"/>
        </w:rPr>
        <w:t>x</w:t>
      </w:r>
      <w:r w:rsidR="00D22A19" w:rsidRPr="0059240B">
        <w:rPr>
          <w:rFonts w:ascii="Times New Roman" w:eastAsia="Times New Roman" w:hAnsi="Times New Roman"/>
          <w:shd w:val="clear" w:color="auto" w:fill="FFFF00"/>
        </w:rPr>
        <w:t>) from Table 1 of</w:t>
      </w:r>
      <w:r w:rsidR="00D22A19" w:rsidRPr="0059240B">
        <w:rPr>
          <w:rFonts w:ascii="Times New Roman" w:eastAsia="Times New Roman" w:hAnsi="Times New Roman"/>
        </w:rPr>
        <w:t xml:space="preserve"> </w:t>
      </w:r>
      <w:r w:rsidRPr="0059240B">
        <w:rPr>
          <w:rFonts w:ascii="Times New Roman" w:eastAsia="Times New Roman" w:hAnsi="Times New Roman"/>
        </w:rPr>
        <w:t>the 2012 IAM Basic Mortality Table</w:t>
      </w:r>
      <w:r w:rsidR="00D22A19" w:rsidRPr="0059240B">
        <w:rPr>
          <w:rFonts w:ascii="Times New Roman" w:eastAsia="Times New Roman" w:hAnsi="Times New Roman"/>
        </w:rPr>
        <w:t xml:space="preserve"> with projection scale G2  for </w:t>
      </w:r>
      <w:r w:rsidR="00D22A19" w:rsidRPr="0059240B">
        <w:rPr>
          <w:rFonts w:ascii="Times New Roman" w:eastAsia="Times New Roman" w:hAnsi="Times New Roman"/>
          <w:u w:val="single"/>
        </w:rPr>
        <w:t>contracts with VAGLBs</w:t>
      </w:r>
      <w:r w:rsidRPr="0059240B">
        <w:rPr>
          <w:rFonts w:ascii="Times New Roman" w:eastAsia="Times New Roman" w:hAnsi="Times New Roman"/>
        </w:rPr>
        <w:t>. If mortality experience on the business segment is expected to be atypical (e.g., demographics of target markets are known to have higher [lower] mortality than typical), these “no data” mortality requirements may not be adequate.</w:t>
      </w:r>
    </w:p>
    <w:p w14:paraId="678A4784" w14:textId="77777777" w:rsidR="00E33858" w:rsidRPr="0059240B" w:rsidRDefault="00B76878" w:rsidP="00E33858">
      <w:pPr>
        <w:spacing w:after="22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7FDF5D83" w14:textId="77777777" w:rsidR="00E33858" w:rsidRPr="0059240B" w:rsidRDefault="00E33858" w:rsidP="000E04EA">
      <w:pPr>
        <w:spacing w:after="220" w:line="240" w:lineRule="auto"/>
        <w:ind w:left="1440"/>
        <w:rPr>
          <w:rFonts w:ascii="Times New Roman" w:eastAsia="Times New Roman" w:hAnsi="Times New Roman"/>
        </w:rPr>
      </w:pPr>
    </w:p>
    <w:p w14:paraId="0259F85B" w14:textId="77777777" w:rsidR="00E33858" w:rsidRPr="0059240B" w:rsidRDefault="00E33858" w:rsidP="00E33858">
      <w:pPr>
        <w:spacing w:after="220" w:line="259" w:lineRule="auto"/>
        <w:ind w:firstLine="720"/>
        <w:rPr>
          <w:rFonts w:ascii="Times New Roman" w:eastAsia="Times New Roman" w:hAnsi="Times New Roman"/>
          <w:color w:val="FF0000"/>
          <w:u w:val="single"/>
        </w:rPr>
      </w:pPr>
      <w:r w:rsidRPr="0059240B">
        <w:rPr>
          <w:rFonts w:ascii="Times New Roman" w:eastAsia="Times New Roman" w:hAnsi="Times New Roman"/>
          <w:color w:val="FF0000"/>
          <w:u w:val="single"/>
        </w:rPr>
        <w:t>Table 11.1</w:t>
      </w:r>
    </w:p>
    <w:tbl>
      <w:tblPr>
        <w:tblStyle w:val="TableGrid11"/>
        <w:tblW w:w="0" w:type="auto"/>
        <w:tblInd w:w="720" w:type="dxa"/>
        <w:tblLook w:val="04A0" w:firstRow="1" w:lastRow="0" w:firstColumn="1" w:lastColumn="0" w:noHBand="0" w:noVBand="1"/>
      </w:tblPr>
      <w:tblGrid>
        <w:gridCol w:w="2876"/>
        <w:gridCol w:w="2877"/>
        <w:gridCol w:w="2877"/>
      </w:tblGrid>
      <w:tr w:rsidR="00E33858" w:rsidRPr="0059240B" w14:paraId="27A509D9" w14:textId="77777777" w:rsidTr="00E33858">
        <w:trPr>
          <w:trHeight w:val="252"/>
        </w:trPr>
        <w:tc>
          <w:tcPr>
            <w:tcW w:w="2876" w:type="dxa"/>
            <w:shd w:val="clear" w:color="auto" w:fill="FFFF00"/>
            <w:hideMark/>
          </w:tcPr>
          <w:p w14:paraId="5099707B" w14:textId="77777777" w:rsidR="00E33858" w:rsidRPr="0059240B" w:rsidRDefault="00E33858" w:rsidP="00E33858">
            <w:pPr>
              <w:jc w:val="center"/>
              <w:rPr>
                <w:rFonts w:cs="Calibri"/>
                <w:color w:val="000000"/>
                <w:sz w:val="24"/>
                <w:szCs w:val="24"/>
              </w:rPr>
            </w:pPr>
            <w:r w:rsidRPr="0059240B">
              <w:rPr>
                <w:rFonts w:cs="Calibri"/>
                <w:color w:val="000000"/>
                <w:sz w:val="24"/>
                <w:szCs w:val="24"/>
              </w:rPr>
              <w:t>Attained Age (x)</w:t>
            </w:r>
          </w:p>
        </w:tc>
        <w:tc>
          <w:tcPr>
            <w:tcW w:w="2877" w:type="dxa"/>
            <w:shd w:val="clear" w:color="auto" w:fill="FFFF00"/>
            <w:hideMark/>
          </w:tcPr>
          <w:p w14:paraId="297D0C15" w14:textId="77777777" w:rsidR="00E33858" w:rsidRPr="0059240B" w:rsidRDefault="00E33858" w:rsidP="00E33858">
            <w:pPr>
              <w:jc w:val="center"/>
              <w:rPr>
                <w:rFonts w:cs="Calibri"/>
                <w:color w:val="000000"/>
                <w:sz w:val="24"/>
                <w:szCs w:val="24"/>
              </w:rPr>
            </w:pPr>
            <w:r w:rsidRPr="0059240B">
              <w:rPr>
                <w:rFonts w:cs="Calibri"/>
                <w:color w:val="000000"/>
                <w:sz w:val="24"/>
                <w:szCs w:val="24"/>
              </w:rPr>
              <w:t>F</w:t>
            </w:r>
            <w:r w:rsidRPr="0059240B">
              <w:rPr>
                <w:rFonts w:cs="Calibri"/>
                <w:color w:val="000000"/>
                <w:sz w:val="24"/>
                <w:szCs w:val="24"/>
                <w:vertAlign w:val="subscript"/>
              </w:rPr>
              <w:t>x</w:t>
            </w:r>
            <w:r w:rsidRPr="0059240B">
              <w:rPr>
                <w:rFonts w:cs="Calibri"/>
                <w:color w:val="000000"/>
                <w:sz w:val="24"/>
                <w:szCs w:val="24"/>
              </w:rPr>
              <w:t xml:space="preserve"> for VA with GLB</w:t>
            </w:r>
          </w:p>
        </w:tc>
        <w:tc>
          <w:tcPr>
            <w:tcW w:w="2877" w:type="dxa"/>
            <w:shd w:val="clear" w:color="auto" w:fill="FFFF00"/>
            <w:hideMark/>
          </w:tcPr>
          <w:p w14:paraId="3D45539A" w14:textId="77777777" w:rsidR="00E33858" w:rsidRPr="0059240B" w:rsidRDefault="00E33858" w:rsidP="00E33858">
            <w:pPr>
              <w:jc w:val="center"/>
              <w:rPr>
                <w:rFonts w:cs="Calibri"/>
                <w:color w:val="000000"/>
                <w:sz w:val="24"/>
                <w:szCs w:val="24"/>
              </w:rPr>
            </w:pPr>
            <w:r w:rsidRPr="0059240B">
              <w:rPr>
                <w:rFonts w:cs="Calibri"/>
                <w:color w:val="000000"/>
                <w:sz w:val="24"/>
                <w:szCs w:val="24"/>
              </w:rPr>
              <w:t>F</w:t>
            </w:r>
            <w:r w:rsidRPr="0059240B">
              <w:rPr>
                <w:rFonts w:cs="Calibri"/>
                <w:color w:val="000000"/>
                <w:sz w:val="24"/>
                <w:szCs w:val="24"/>
                <w:vertAlign w:val="subscript"/>
              </w:rPr>
              <w:t xml:space="preserve">x </w:t>
            </w:r>
            <w:r w:rsidRPr="0059240B">
              <w:rPr>
                <w:rFonts w:cs="Calibri"/>
                <w:color w:val="000000"/>
                <w:sz w:val="24"/>
                <w:szCs w:val="24"/>
              </w:rPr>
              <w:t>for All Other</w:t>
            </w:r>
          </w:p>
        </w:tc>
      </w:tr>
      <w:tr w:rsidR="00E33858" w:rsidRPr="0059240B" w14:paraId="775C5D62" w14:textId="77777777" w:rsidTr="00E33858">
        <w:trPr>
          <w:trHeight w:val="252"/>
        </w:trPr>
        <w:tc>
          <w:tcPr>
            <w:tcW w:w="2876" w:type="dxa"/>
            <w:shd w:val="clear" w:color="auto" w:fill="FFFF00"/>
            <w:noWrap/>
            <w:hideMark/>
          </w:tcPr>
          <w:p w14:paraId="01778794" w14:textId="77777777" w:rsidR="00E33858" w:rsidRPr="0059240B" w:rsidRDefault="00E33858" w:rsidP="00E33858">
            <w:pPr>
              <w:jc w:val="center"/>
              <w:rPr>
                <w:rFonts w:cs="Calibri"/>
                <w:color w:val="000000"/>
                <w:sz w:val="24"/>
                <w:szCs w:val="24"/>
              </w:rPr>
            </w:pPr>
            <w:r w:rsidRPr="0059240B">
              <w:rPr>
                <w:rFonts w:cs="Calibri"/>
                <w:color w:val="000000"/>
                <w:sz w:val="24"/>
                <w:szCs w:val="24"/>
              </w:rPr>
              <w:t>&lt;=65</w:t>
            </w:r>
          </w:p>
        </w:tc>
        <w:tc>
          <w:tcPr>
            <w:tcW w:w="2877" w:type="dxa"/>
            <w:shd w:val="clear" w:color="auto" w:fill="FFFF00"/>
            <w:noWrap/>
            <w:hideMark/>
          </w:tcPr>
          <w:p w14:paraId="6198DFA7" w14:textId="77777777" w:rsidR="00E33858" w:rsidRPr="0059240B" w:rsidRDefault="00E33858" w:rsidP="00E33858">
            <w:pPr>
              <w:jc w:val="center"/>
              <w:rPr>
                <w:rFonts w:cs="Calibri"/>
                <w:color w:val="FF0000"/>
                <w:sz w:val="24"/>
                <w:szCs w:val="24"/>
              </w:rPr>
            </w:pPr>
            <w:r w:rsidRPr="0059240B">
              <w:rPr>
                <w:rFonts w:cs="Calibri"/>
                <w:color w:val="FF0000"/>
                <w:sz w:val="24"/>
                <w:szCs w:val="24"/>
              </w:rPr>
              <w:t>80.0%</w:t>
            </w:r>
          </w:p>
        </w:tc>
        <w:tc>
          <w:tcPr>
            <w:tcW w:w="2877" w:type="dxa"/>
            <w:shd w:val="clear" w:color="auto" w:fill="FFFF00"/>
            <w:noWrap/>
            <w:hideMark/>
          </w:tcPr>
          <w:p w14:paraId="40C8EDEC" w14:textId="77777777" w:rsidR="00E33858" w:rsidRPr="0059240B" w:rsidRDefault="00E33858" w:rsidP="00E33858">
            <w:pPr>
              <w:jc w:val="center"/>
              <w:rPr>
                <w:rFonts w:cs="Calibri"/>
                <w:color w:val="FF0000"/>
                <w:sz w:val="24"/>
                <w:szCs w:val="24"/>
              </w:rPr>
            </w:pPr>
            <w:r w:rsidRPr="0059240B">
              <w:rPr>
                <w:rFonts w:cs="Calibri"/>
                <w:color w:val="FF0000"/>
                <w:sz w:val="24"/>
                <w:szCs w:val="24"/>
              </w:rPr>
              <w:t>100.0%</w:t>
            </w:r>
          </w:p>
        </w:tc>
      </w:tr>
      <w:tr w:rsidR="00E33858" w:rsidRPr="0059240B" w14:paraId="36B381B3" w14:textId="77777777" w:rsidTr="00E33858">
        <w:trPr>
          <w:trHeight w:val="252"/>
        </w:trPr>
        <w:tc>
          <w:tcPr>
            <w:tcW w:w="2876" w:type="dxa"/>
            <w:shd w:val="clear" w:color="auto" w:fill="FFFF00"/>
            <w:noWrap/>
            <w:hideMark/>
          </w:tcPr>
          <w:p w14:paraId="2D7772F6" w14:textId="77777777" w:rsidR="00E33858" w:rsidRPr="0059240B" w:rsidRDefault="00E33858" w:rsidP="00E33858">
            <w:pPr>
              <w:jc w:val="center"/>
              <w:rPr>
                <w:rFonts w:cs="Calibri"/>
                <w:color w:val="000000"/>
                <w:sz w:val="24"/>
                <w:szCs w:val="24"/>
              </w:rPr>
            </w:pPr>
            <w:r w:rsidRPr="0059240B">
              <w:rPr>
                <w:rFonts w:cs="Calibri"/>
                <w:color w:val="000000"/>
                <w:sz w:val="24"/>
                <w:szCs w:val="24"/>
              </w:rPr>
              <w:t>66</w:t>
            </w:r>
          </w:p>
        </w:tc>
        <w:tc>
          <w:tcPr>
            <w:tcW w:w="2877" w:type="dxa"/>
            <w:shd w:val="clear" w:color="auto" w:fill="FFFF00"/>
            <w:noWrap/>
            <w:hideMark/>
          </w:tcPr>
          <w:p w14:paraId="5A8212AB" w14:textId="77777777" w:rsidR="00E33858" w:rsidRPr="0059240B" w:rsidRDefault="00E33858" w:rsidP="00E33858">
            <w:pPr>
              <w:jc w:val="center"/>
              <w:rPr>
                <w:rFonts w:cs="Calibri"/>
                <w:color w:val="000000"/>
                <w:sz w:val="24"/>
                <w:szCs w:val="24"/>
              </w:rPr>
            </w:pPr>
            <w:r w:rsidRPr="0059240B">
              <w:rPr>
                <w:rFonts w:cs="Calibri"/>
                <w:color w:val="000000"/>
                <w:sz w:val="24"/>
                <w:szCs w:val="24"/>
              </w:rPr>
              <w:t>81.5%</w:t>
            </w:r>
          </w:p>
        </w:tc>
        <w:tc>
          <w:tcPr>
            <w:tcW w:w="2877" w:type="dxa"/>
            <w:shd w:val="clear" w:color="auto" w:fill="FFFF00"/>
            <w:noWrap/>
            <w:hideMark/>
          </w:tcPr>
          <w:p w14:paraId="4B131904" w14:textId="77777777" w:rsidR="00E33858" w:rsidRPr="0059240B" w:rsidRDefault="00E33858" w:rsidP="00E33858">
            <w:pPr>
              <w:jc w:val="center"/>
              <w:rPr>
                <w:rFonts w:cs="Calibri"/>
                <w:color w:val="000000"/>
                <w:sz w:val="24"/>
                <w:szCs w:val="24"/>
              </w:rPr>
            </w:pPr>
            <w:r w:rsidRPr="0059240B">
              <w:rPr>
                <w:rFonts w:cs="Calibri"/>
                <w:color w:val="000000"/>
                <w:sz w:val="24"/>
                <w:szCs w:val="24"/>
              </w:rPr>
              <w:t>102.0%</w:t>
            </w:r>
          </w:p>
        </w:tc>
      </w:tr>
      <w:tr w:rsidR="00E33858" w:rsidRPr="0059240B" w14:paraId="7452B874" w14:textId="77777777" w:rsidTr="00E33858">
        <w:trPr>
          <w:trHeight w:val="252"/>
        </w:trPr>
        <w:tc>
          <w:tcPr>
            <w:tcW w:w="2876" w:type="dxa"/>
            <w:shd w:val="clear" w:color="auto" w:fill="FFFF00"/>
            <w:noWrap/>
            <w:hideMark/>
          </w:tcPr>
          <w:p w14:paraId="1F83824D" w14:textId="77777777" w:rsidR="00E33858" w:rsidRPr="0059240B" w:rsidRDefault="00E33858" w:rsidP="00E33858">
            <w:pPr>
              <w:jc w:val="center"/>
              <w:rPr>
                <w:rFonts w:cs="Calibri"/>
                <w:color w:val="000000"/>
                <w:sz w:val="24"/>
                <w:szCs w:val="24"/>
              </w:rPr>
            </w:pPr>
            <w:r w:rsidRPr="0059240B">
              <w:rPr>
                <w:rFonts w:cs="Calibri"/>
                <w:color w:val="000000"/>
                <w:sz w:val="24"/>
                <w:szCs w:val="24"/>
              </w:rPr>
              <w:t>67</w:t>
            </w:r>
          </w:p>
        </w:tc>
        <w:tc>
          <w:tcPr>
            <w:tcW w:w="2877" w:type="dxa"/>
            <w:shd w:val="clear" w:color="auto" w:fill="FFFF00"/>
            <w:noWrap/>
            <w:hideMark/>
          </w:tcPr>
          <w:p w14:paraId="132A8863" w14:textId="77777777" w:rsidR="00E33858" w:rsidRPr="0059240B" w:rsidRDefault="00E33858" w:rsidP="00E33858">
            <w:pPr>
              <w:jc w:val="center"/>
              <w:rPr>
                <w:rFonts w:cs="Calibri"/>
                <w:color w:val="000000"/>
                <w:sz w:val="24"/>
                <w:szCs w:val="24"/>
              </w:rPr>
            </w:pPr>
            <w:r w:rsidRPr="0059240B">
              <w:rPr>
                <w:rFonts w:cs="Calibri"/>
                <w:color w:val="000000"/>
                <w:sz w:val="24"/>
                <w:szCs w:val="24"/>
              </w:rPr>
              <w:t>83.0%</w:t>
            </w:r>
          </w:p>
        </w:tc>
        <w:tc>
          <w:tcPr>
            <w:tcW w:w="2877" w:type="dxa"/>
            <w:shd w:val="clear" w:color="auto" w:fill="FFFF00"/>
            <w:noWrap/>
            <w:hideMark/>
          </w:tcPr>
          <w:p w14:paraId="61BEEB38" w14:textId="77777777" w:rsidR="00E33858" w:rsidRPr="0059240B" w:rsidRDefault="00E33858" w:rsidP="00E33858">
            <w:pPr>
              <w:jc w:val="center"/>
              <w:rPr>
                <w:rFonts w:cs="Calibri"/>
                <w:color w:val="000000"/>
                <w:sz w:val="24"/>
                <w:szCs w:val="24"/>
              </w:rPr>
            </w:pPr>
            <w:r w:rsidRPr="0059240B">
              <w:rPr>
                <w:rFonts w:cs="Calibri"/>
                <w:color w:val="000000"/>
                <w:sz w:val="24"/>
                <w:szCs w:val="24"/>
              </w:rPr>
              <w:t>104.0%</w:t>
            </w:r>
          </w:p>
        </w:tc>
      </w:tr>
      <w:tr w:rsidR="00E33858" w:rsidRPr="0059240B" w14:paraId="43A3992A" w14:textId="77777777" w:rsidTr="00E33858">
        <w:trPr>
          <w:trHeight w:val="252"/>
        </w:trPr>
        <w:tc>
          <w:tcPr>
            <w:tcW w:w="2876" w:type="dxa"/>
            <w:shd w:val="clear" w:color="auto" w:fill="FFFF00"/>
            <w:noWrap/>
            <w:hideMark/>
          </w:tcPr>
          <w:p w14:paraId="247B36AC" w14:textId="77777777" w:rsidR="00E33858" w:rsidRPr="0059240B" w:rsidRDefault="00E33858" w:rsidP="00E33858">
            <w:pPr>
              <w:jc w:val="center"/>
              <w:rPr>
                <w:rFonts w:cs="Calibri"/>
                <w:color w:val="000000"/>
                <w:sz w:val="24"/>
                <w:szCs w:val="24"/>
              </w:rPr>
            </w:pPr>
            <w:r w:rsidRPr="0059240B">
              <w:rPr>
                <w:rFonts w:cs="Calibri"/>
                <w:color w:val="000000"/>
                <w:sz w:val="24"/>
                <w:szCs w:val="24"/>
              </w:rPr>
              <w:t>68</w:t>
            </w:r>
          </w:p>
        </w:tc>
        <w:tc>
          <w:tcPr>
            <w:tcW w:w="2877" w:type="dxa"/>
            <w:shd w:val="clear" w:color="auto" w:fill="FFFF00"/>
            <w:noWrap/>
            <w:hideMark/>
          </w:tcPr>
          <w:p w14:paraId="25ED3A21" w14:textId="77777777" w:rsidR="00E33858" w:rsidRPr="0059240B" w:rsidRDefault="00E33858" w:rsidP="00E33858">
            <w:pPr>
              <w:jc w:val="center"/>
              <w:rPr>
                <w:rFonts w:cs="Calibri"/>
                <w:color w:val="000000"/>
                <w:sz w:val="24"/>
                <w:szCs w:val="24"/>
              </w:rPr>
            </w:pPr>
            <w:r w:rsidRPr="0059240B">
              <w:rPr>
                <w:rFonts w:cs="Calibri"/>
                <w:color w:val="000000"/>
                <w:sz w:val="24"/>
                <w:szCs w:val="24"/>
              </w:rPr>
              <w:t>84.5%</w:t>
            </w:r>
          </w:p>
        </w:tc>
        <w:tc>
          <w:tcPr>
            <w:tcW w:w="2877" w:type="dxa"/>
            <w:shd w:val="clear" w:color="auto" w:fill="FFFF00"/>
            <w:noWrap/>
            <w:hideMark/>
          </w:tcPr>
          <w:p w14:paraId="18DBCF12" w14:textId="77777777" w:rsidR="00E33858" w:rsidRPr="0059240B" w:rsidRDefault="00E33858" w:rsidP="00E33858">
            <w:pPr>
              <w:jc w:val="center"/>
              <w:rPr>
                <w:rFonts w:cs="Calibri"/>
                <w:color w:val="000000"/>
                <w:sz w:val="24"/>
                <w:szCs w:val="24"/>
              </w:rPr>
            </w:pPr>
            <w:r w:rsidRPr="0059240B">
              <w:rPr>
                <w:rFonts w:cs="Calibri"/>
                <w:color w:val="000000"/>
                <w:sz w:val="24"/>
                <w:szCs w:val="24"/>
              </w:rPr>
              <w:t>106.0%</w:t>
            </w:r>
          </w:p>
        </w:tc>
      </w:tr>
      <w:tr w:rsidR="00E33858" w:rsidRPr="0059240B" w14:paraId="3B396593" w14:textId="77777777" w:rsidTr="00E33858">
        <w:trPr>
          <w:trHeight w:val="252"/>
        </w:trPr>
        <w:tc>
          <w:tcPr>
            <w:tcW w:w="2876" w:type="dxa"/>
            <w:shd w:val="clear" w:color="auto" w:fill="FFFF00"/>
            <w:noWrap/>
            <w:hideMark/>
          </w:tcPr>
          <w:p w14:paraId="7637BFDD" w14:textId="77777777" w:rsidR="00E33858" w:rsidRPr="0059240B" w:rsidRDefault="00E33858" w:rsidP="00E33858">
            <w:pPr>
              <w:jc w:val="center"/>
              <w:rPr>
                <w:rFonts w:cs="Calibri"/>
                <w:color w:val="000000"/>
                <w:sz w:val="24"/>
                <w:szCs w:val="24"/>
              </w:rPr>
            </w:pPr>
            <w:r w:rsidRPr="0059240B">
              <w:rPr>
                <w:rFonts w:cs="Calibri"/>
                <w:color w:val="000000"/>
                <w:sz w:val="24"/>
                <w:szCs w:val="24"/>
              </w:rPr>
              <w:t>69</w:t>
            </w:r>
          </w:p>
        </w:tc>
        <w:tc>
          <w:tcPr>
            <w:tcW w:w="2877" w:type="dxa"/>
            <w:shd w:val="clear" w:color="auto" w:fill="FFFF00"/>
            <w:noWrap/>
            <w:hideMark/>
          </w:tcPr>
          <w:p w14:paraId="53C878CB" w14:textId="77777777" w:rsidR="00E33858" w:rsidRPr="0059240B" w:rsidRDefault="00E33858" w:rsidP="00E33858">
            <w:pPr>
              <w:jc w:val="center"/>
              <w:rPr>
                <w:rFonts w:cs="Calibri"/>
                <w:color w:val="000000"/>
                <w:sz w:val="24"/>
                <w:szCs w:val="24"/>
              </w:rPr>
            </w:pPr>
            <w:r w:rsidRPr="0059240B">
              <w:rPr>
                <w:rFonts w:cs="Calibri"/>
                <w:color w:val="000000"/>
                <w:sz w:val="24"/>
                <w:szCs w:val="24"/>
              </w:rPr>
              <w:t>86.0%</w:t>
            </w:r>
          </w:p>
        </w:tc>
        <w:tc>
          <w:tcPr>
            <w:tcW w:w="2877" w:type="dxa"/>
            <w:shd w:val="clear" w:color="auto" w:fill="FFFF00"/>
            <w:noWrap/>
            <w:hideMark/>
          </w:tcPr>
          <w:p w14:paraId="4CCEF929" w14:textId="77777777" w:rsidR="00E33858" w:rsidRPr="0059240B" w:rsidRDefault="00E33858" w:rsidP="00E33858">
            <w:pPr>
              <w:jc w:val="center"/>
              <w:rPr>
                <w:rFonts w:cs="Calibri"/>
                <w:color w:val="000000"/>
                <w:sz w:val="24"/>
                <w:szCs w:val="24"/>
              </w:rPr>
            </w:pPr>
            <w:r w:rsidRPr="0059240B">
              <w:rPr>
                <w:rFonts w:cs="Calibri"/>
                <w:color w:val="000000"/>
                <w:sz w:val="24"/>
                <w:szCs w:val="24"/>
              </w:rPr>
              <w:t>108.0%</w:t>
            </w:r>
          </w:p>
        </w:tc>
      </w:tr>
      <w:tr w:rsidR="00E33858" w:rsidRPr="0059240B" w14:paraId="288D6E72" w14:textId="77777777" w:rsidTr="00E33858">
        <w:trPr>
          <w:trHeight w:val="252"/>
        </w:trPr>
        <w:tc>
          <w:tcPr>
            <w:tcW w:w="2876" w:type="dxa"/>
            <w:shd w:val="clear" w:color="auto" w:fill="FFFF00"/>
            <w:noWrap/>
            <w:hideMark/>
          </w:tcPr>
          <w:p w14:paraId="23FA7D6A" w14:textId="77777777" w:rsidR="00E33858" w:rsidRPr="0059240B" w:rsidRDefault="00E33858" w:rsidP="00E33858">
            <w:pPr>
              <w:jc w:val="center"/>
              <w:rPr>
                <w:rFonts w:cs="Calibri"/>
                <w:color w:val="000000"/>
                <w:sz w:val="24"/>
                <w:szCs w:val="24"/>
              </w:rPr>
            </w:pPr>
            <w:r w:rsidRPr="0059240B">
              <w:rPr>
                <w:rFonts w:cs="Calibri"/>
                <w:color w:val="000000"/>
                <w:sz w:val="24"/>
                <w:szCs w:val="24"/>
              </w:rPr>
              <w:t>70</w:t>
            </w:r>
          </w:p>
        </w:tc>
        <w:tc>
          <w:tcPr>
            <w:tcW w:w="2877" w:type="dxa"/>
            <w:shd w:val="clear" w:color="auto" w:fill="FFFF00"/>
            <w:noWrap/>
            <w:hideMark/>
          </w:tcPr>
          <w:p w14:paraId="5BAA0A26" w14:textId="77777777" w:rsidR="00E33858" w:rsidRPr="0059240B" w:rsidRDefault="00E33858" w:rsidP="00E33858">
            <w:pPr>
              <w:jc w:val="center"/>
              <w:rPr>
                <w:rFonts w:cs="Calibri"/>
                <w:color w:val="000000"/>
                <w:sz w:val="24"/>
                <w:szCs w:val="24"/>
              </w:rPr>
            </w:pPr>
            <w:r w:rsidRPr="0059240B">
              <w:rPr>
                <w:rFonts w:cs="Calibri"/>
                <w:color w:val="000000"/>
                <w:sz w:val="24"/>
                <w:szCs w:val="24"/>
              </w:rPr>
              <w:t>87.5%</w:t>
            </w:r>
          </w:p>
        </w:tc>
        <w:tc>
          <w:tcPr>
            <w:tcW w:w="2877" w:type="dxa"/>
            <w:shd w:val="clear" w:color="auto" w:fill="FFFF00"/>
            <w:noWrap/>
            <w:hideMark/>
          </w:tcPr>
          <w:p w14:paraId="255427F3"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2A9985DF" w14:textId="77777777" w:rsidTr="00E33858">
        <w:trPr>
          <w:trHeight w:val="252"/>
        </w:trPr>
        <w:tc>
          <w:tcPr>
            <w:tcW w:w="2876" w:type="dxa"/>
            <w:shd w:val="clear" w:color="auto" w:fill="FFFF00"/>
            <w:noWrap/>
            <w:hideMark/>
          </w:tcPr>
          <w:p w14:paraId="54D2C4BC" w14:textId="77777777" w:rsidR="00E33858" w:rsidRPr="0059240B" w:rsidRDefault="00E33858" w:rsidP="00E33858">
            <w:pPr>
              <w:jc w:val="center"/>
              <w:rPr>
                <w:rFonts w:cs="Calibri"/>
                <w:color w:val="000000"/>
                <w:sz w:val="24"/>
                <w:szCs w:val="24"/>
              </w:rPr>
            </w:pPr>
            <w:r w:rsidRPr="0059240B">
              <w:rPr>
                <w:rFonts w:cs="Calibri"/>
                <w:color w:val="000000"/>
                <w:sz w:val="24"/>
                <w:szCs w:val="24"/>
              </w:rPr>
              <w:t>71</w:t>
            </w:r>
          </w:p>
        </w:tc>
        <w:tc>
          <w:tcPr>
            <w:tcW w:w="2877" w:type="dxa"/>
            <w:shd w:val="clear" w:color="auto" w:fill="FFFF00"/>
            <w:noWrap/>
            <w:hideMark/>
          </w:tcPr>
          <w:p w14:paraId="34D2386A" w14:textId="77777777" w:rsidR="00E33858" w:rsidRPr="0059240B" w:rsidRDefault="00E33858" w:rsidP="00E33858">
            <w:pPr>
              <w:jc w:val="center"/>
              <w:rPr>
                <w:rFonts w:cs="Calibri"/>
                <w:color w:val="000000"/>
                <w:sz w:val="24"/>
                <w:szCs w:val="24"/>
              </w:rPr>
            </w:pPr>
            <w:r w:rsidRPr="0059240B">
              <w:rPr>
                <w:rFonts w:cs="Calibri"/>
                <w:color w:val="000000"/>
                <w:sz w:val="24"/>
                <w:szCs w:val="24"/>
              </w:rPr>
              <w:t>89.0%</w:t>
            </w:r>
          </w:p>
        </w:tc>
        <w:tc>
          <w:tcPr>
            <w:tcW w:w="2877" w:type="dxa"/>
            <w:shd w:val="clear" w:color="auto" w:fill="FFFF00"/>
            <w:noWrap/>
            <w:hideMark/>
          </w:tcPr>
          <w:p w14:paraId="7FCB055C" w14:textId="77777777" w:rsidR="00E33858" w:rsidRPr="0059240B" w:rsidRDefault="00E33858" w:rsidP="00E33858">
            <w:pPr>
              <w:jc w:val="center"/>
              <w:rPr>
                <w:rFonts w:cs="Calibri"/>
                <w:color w:val="000000"/>
                <w:sz w:val="24"/>
                <w:szCs w:val="24"/>
              </w:rPr>
            </w:pPr>
            <w:r w:rsidRPr="0059240B">
              <w:rPr>
                <w:rFonts w:cs="Calibri"/>
                <w:color w:val="000000"/>
                <w:sz w:val="24"/>
                <w:szCs w:val="24"/>
              </w:rPr>
              <w:t>112.0%</w:t>
            </w:r>
          </w:p>
        </w:tc>
      </w:tr>
      <w:tr w:rsidR="00E33858" w:rsidRPr="0059240B" w14:paraId="33818285" w14:textId="77777777" w:rsidTr="00E33858">
        <w:trPr>
          <w:trHeight w:val="252"/>
        </w:trPr>
        <w:tc>
          <w:tcPr>
            <w:tcW w:w="2876" w:type="dxa"/>
            <w:shd w:val="clear" w:color="auto" w:fill="FFFF00"/>
            <w:noWrap/>
            <w:hideMark/>
          </w:tcPr>
          <w:p w14:paraId="5EB181C5" w14:textId="77777777" w:rsidR="00E33858" w:rsidRPr="0059240B" w:rsidRDefault="00E33858" w:rsidP="00E33858">
            <w:pPr>
              <w:jc w:val="center"/>
              <w:rPr>
                <w:rFonts w:cs="Calibri"/>
                <w:color w:val="000000"/>
                <w:sz w:val="24"/>
                <w:szCs w:val="24"/>
              </w:rPr>
            </w:pPr>
            <w:r w:rsidRPr="0059240B">
              <w:rPr>
                <w:rFonts w:cs="Calibri"/>
                <w:color w:val="000000"/>
                <w:sz w:val="24"/>
                <w:szCs w:val="24"/>
              </w:rPr>
              <w:t>72</w:t>
            </w:r>
          </w:p>
        </w:tc>
        <w:tc>
          <w:tcPr>
            <w:tcW w:w="2877" w:type="dxa"/>
            <w:shd w:val="clear" w:color="auto" w:fill="FFFF00"/>
            <w:noWrap/>
            <w:hideMark/>
          </w:tcPr>
          <w:p w14:paraId="5ACC4086" w14:textId="77777777" w:rsidR="00E33858" w:rsidRPr="0059240B" w:rsidRDefault="00E33858" w:rsidP="00E33858">
            <w:pPr>
              <w:jc w:val="center"/>
              <w:rPr>
                <w:rFonts w:cs="Calibri"/>
                <w:color w:val="000000"/>
                <w:sz w:val="24"/>
                <w:szCs w:val="24"/>
              </w:rPr>
            </w:pPr>
            <w:r w:rsidRPr="0059240B">
              <w:rPr>
                <w:rFonts w:cs="Calibri"/>
                <w:color w:val="000000"/>
                <w:sz w:val="24"/>
                <w:szCs w:val="24"/>
              </w:rPr>
              <w:t>90.5%</w:t>
            </w:r>
          </w:p>
        </w:tc>
        <w:tc>
          <w:tcPr>
            <w:tcW w:w="2877" w:type="dxa"/>
            <w:shd w:val="clear" w:color="auto" w:fill="FFFF00"/>
            <w:noWrap/>
            <w:hideMark/>
          </w:tcPr>
          <w:p w14:paraId="68D44C57" w14:textId="77777777" w:rsidR="00E33858" w:rsidRPr="0059240B" w:rsidRDefault="00E33858" w:rsidP="00E33858">
            <w:pPr>
              <w:jc w:val="center"/>
              <w:rPr>
                <w:rFonts w:cs="Calibri"/>
                <w:color w:val="000000"/>
                <w:sz w:val="24"/>
                <w:szCs w:val="24"/>
              </w:rPr>
            </w:pPr>
            <w:r w:rsidRPr="0059240B">
              <w:rPr>
                <w:rFonts w:cs="Calibri"/>
                <w:color w:val="000000"/>
                <w:sz w:val="24"/>
                <w:szCs w:val="24"/>
              </w:rPr>
              <w:t>114.0%</w:t>
            </w:r>
          </w:p>
        </w:tc>
      </w:tr>
      <w:tr w:rsidR="00E33858" w:rsidRPr="0059240B" w14:paraId="2E56B6E6" w14:textId="77777777" w:rsidTr="00E33858">
        <w:trPr>
          <w:trHeight w:val="252"/>
        </w:trPr>
        <w:tc>
          <w:tcPr>
            <w:tcW w:w="2876" w:type="dxa"/>
            <w:shd w:val="clear" w:color="auto" w:fill="FFFF00"/>
            <w:noWrap/>
            <w:hideMark/>
          </w:tcPr>
          <w:p w14:paraId="0A78E4CA" w14:textId="77777777" w:rsidR="00E33858" w:rsidRPr="0059240B" w:rsidRDefault="00E33858" w:rsidP="00E33858">
            <w:pPr>
              <w:jc w:val="center"/>
              <w:rPr>
                <w:rFonts w:cs="Calibri"/>
                <w:color w:val="000000"/>
                <w:sz w:val="24"/>
                <w:szCs w:val="24"/>
              </w:rPr>
            </w:pPr>
            <w:r w:rsidRPr="0059240B">
              <w:rPr>
                <w:rFonts w:cs="Calibri"/>
                <w:color w:val="000000"/>
                <w:sz w:val="24"/>
                <w:szCs w:val="24"/>
              </w:rPr>
              <w:t>73</w:t>
            </w:r>
          </w:p>
        </w:tc>
        <w:tc>
          <w:tcPr>
            <w:tcW w:w="2877" w:type="dxa"/>
            <w:shd w:val="clear" w:color="auto" w:fill="FFFF00"/>
            <w:noWrap/>
            <w:hideMark/>
          </w:tcPr>
          <w:p w14:paraId="5AEDBCE6" w14:textId="77777777" w:rsidR="00E33858" w:rsidRPr="0059240B" w:rsidRDefault="00E33858" w:rsidP="00E33858">
            <w:pPr>
              <w:jc w:val="center"/>
              <w:rPr>
                <w:rFonts w:cs="Calibri"/>
                <w:color w:val="000000"/>
                <w:sz w:val="24"/>
                <w:szCs w:val="24"/>
              </w:rPr>
            </w:pPr>
            <w:r w:rsidRPr="0059240B">
              <w:rPr>
                <w:rFonts w:cs="Calibri"/>
                <w:color w:val="000000"/>
                <w:sz w:val="24"/>
                <w:szCs w:val="24"/>
              </w:rPr>
              <w:t>92.0%</w:t>
            </w:r>
          </w:p>
        </w:tc>
        <w:tc>
          <w:tcPr>
            <w:tcW w:w="2877" w:type="dxa"/>
            <w:shd w:val="clear" w:color="auto" w:fill="FFFF00"/>
            <w:noWrap/>
            <w:hideMark/>
          </w:tcPr>
          <w:p w14:paraId="6D74A123" w14:textId="77777777" w:rsidR="00E33858" w:rsidRPr="0059240B" w:rsidRDefault="00E33858" w:rsidP="00E33858">
            <w:pPr>
              <w:jc w:val="center"/>
              <w:rPr>
                <w:rFonts w:cs="Calibri"/>
                <w:color w:val="000000"/>
                <w:sz w:val="24"/>
                <w:szCs w:val="24"/>
              </w:rPr>
            </w:pPr>
            <w:r w:rsidRPr="0059240B">
              <w:rPr>
                <w:rFonts w:cs="Calibri"/>
                <w:color w:val="000000"/>
                <w:sz w:val="24"/>
                <w:szCs w:val="24"/>
              </w:rPr>
              <w:t>116.0%</w:t>
            </w:r>
          </w:p>
        </w:tc>
      </w:tr>
      <w:tr w:rsidR="00E33858" w:rsidRPr="0059240B" w14:paraId="1986E8D5" w14:textId="77777777" w:rsidTr="00E33858">
        <w:trPr>
          <w:trHeight w:val="252"/>
        </w:trPr>
        <w:tc>
          <w:tcPr>
            <w:tcW w:w="2876" w:type="dxa"/>
            <w:shd w:val="clear" w:color="auto" w:fill="FFFF00"/>
            <w:noWrap/>
            <w:hideMark/>
          </w:tcPr>
          <w:p w14:paraId="4FB360B5" w14:textId="77777777" w:rsidR="00E33858" w:rsidRPr="0059240B" w:rsidRDefault="00E33858" w:rsidP="00E33858">
            <w:pPr>
              <w:jc w:val="center"/>
              <w:rPr>
                <w:rFonts w:cs="Calibri"/>
                <w:color w:val="000000"/>
                <w:sz w:val="24"/>
                <w:szCs w:val="24"/>
              </w:rPr>
            </w:pPr>
            <w:r w:rsidRPr="0059240B">
              <w:rPr>
                <w:rFonts w:cs="Calibri"/>
                <w:color w:val="000000"/>
                <w:sz w:val="24"/>
                <w:szCs w:val="24"/>
              </w:rPr>
              <w:t>74</w:t>
            </w:r>
          </w:p>
        </w:tc>
        <w:tc>
          <w:tcPr>
            <w:tcW w:w="2877" w:type="dxa"/>
            <w:shd w:val="clear" w:color="auto" w:fill="FFFF00"/>
            <w:noWrap/>
            <w:hideMark/>
          </w:tcPr>
          <w:p w14:paraId="2F91E0B6" w14:textId="77777777" w:rsidR="00E33858" w:rsidRPr="0059240B" w:rsidRDefault="00E33858" w:rsidP="00E33858">
            <w:pPr>
              <w:jc w:val="center"/>
              <w:rPr>
                <w:rFonts w:cs="Calibri"/>
                <w:color w:val="000000"/>
                <w:sz w:val="24"/>
                <w:szCs w:val="24"/>
              </w:rPr>
            </w:pPr>
            <w:r w:rsidRPr="0059240B">
              <w:rPr>
                <w:rFonts w:cs="Calibri"/>
                <w:color w:val="000000"/>
                <w:sz w:val="24"/>
                <w:szCs w:val="24"/>
              </w:rPr>
              <w:t>93.5%</w:t>
            </w:r>
          </w:p>
        </w:tc>
        <w:tc>
          <w:tcPr>
            <w:tcW w:w="2877" w:type="dxa"/>
            <w:shd w:val="clear" w:color="auto" w:fill="FFFF00"/>
            <w:noWrap/>
            <w:hideMark/>
          </w:tcPr>
          <w:p w14:paraId="0A66819C" w14:textId="77777777" w:rsidR="00E33858" w:rsidRPr="0059240B" w:rsidRDefault="00E33858" w:rsidP="00E33858">
            <w:pPr>
              <w:jc w:val="center"/>
              <w:rPr>
                <w:rFonts w:cs="Calibri"/>
                <w:color w:val="000000"/>
                <w:sz w:val="24"/>
                <w:szCs w:val="24"/>
              </w:rPr>
            </w:pPr>
            <w:r w:rsidRPr="0059240B">
              <w:rPr>
                <w:rFonts w:cs="Calibri"/>
                <w:color w:val="000000"/>
                <w:sz w:val="24"/>
                <w:szCs w:val="24"/>
              </w:rPr>
              <w:t>118.0%</w:t>
            </w:r>
          </w:p>
        </w:tc>
      </w:tr>
      <w:tr w:rsidR="00E33858" w:rsidRPr="0059240B" w14:paraId="2A8816C4" w14:textId="77777777" w:rsidTr="00E33858">
        <w:trPr>
          <w:trHeight w:val="252"/>
        </w:trPr>
        <w:tc>
          <w:tcPr>
            <w:tcW w:w="2876" w:type="dxa"/>
            <w:shd w:val="clear" w:color="auto" w:fill="FFFF00"/>
            <w:noWrap/>
            <w:hideMark/>
          </w:tcPr>
          <w:p w14:paraId="679EFED4" w14:textId="77777777" w:rsidR="00E33858" w:rsidRPr="0059240B" w:rsidRDefault="00E33858" w:rsidP="00E33858">
            <w:pPr>
              <w:jc w:val="center"/>
              <w:rPr>
                <w:rFonts w:cs="Calibri"/>
                <w:color w:val="000000"/>
                <w:sz w:val="24"/>
                <w:szCs w:val="24"/>
              </w:rPr>
            </w:pPr>
            <w:r w:rsidRPr="0059240B">
              <w:rPr>
                <w:rFonts w:cs="Calibri"/>
                <w:color w:val="000000"/>
                <w:sz w:val="24"/>
                <w:szCs w:val="24"/>
              </w:rPr>
              <w:t>75</w:t>
            </w:r>
          </w:p>
        </w:tc>
        <w:tc>
          <w:tcPr>
            <w:tcW w:w="2877" w:type="dxa"/>
            <w:shd w:val="clear" w:color="auto" w:fill="FFFF00"/>
            <w:noWrap/>
            <w:hideMark/>
          </w:tcPr>
          <w:p w14:paraId="59A307D8" w14:textId="77777777" w:rsidR="00E33858" w:rsidRPr="0059240B" w:rsidRDefault="00E33858" w:rsidP="00E33858">
            <w:pPr>
              <w:jc w:val="center"/>
              <w:rPr>
                <w:rFonts w:cs="Calibri"/>
                <w:color w:val="FF0000"/>
                <w:sz w:val="24"/>
                <w:szCs w:val="24"/>
              </w:rPr>
            </w:pPr>
            <w:r w:rsidRPr="0059240B">
              <w:rPr>
                <w:rFonts w:cs="Calibri"/>
                <w:color w:val="FF0000"/>
                <w:sz w:val="24"/>
                <w:szCs w:val="24"/>
              </w:rPr>
              <w:t>95.0%</w:t>
            </w:r>
          </w:p>
        </w:tc>
        <w:tc>
          <w:tcPr>
            <w:tcW w:w="2877" w:type="dxa"/>
            <w:shd w:val="clear" w:color="auto" w:fill="FFFF00"/>
            <w:noWrap/>
            <w:hideMark/>
          </w:tcPr>
          <w:p w14:paraId="5E70DAD5" w14:textId="77777777" w:rsidR="00E33858" w:rsidRPr="0059240B" w:rsidRDefault="00E33858" w:rsidP="00E33858">
            <w:pPr>
              <w:jc w:val="center"/>
              <w:rPr>
                <w:rFonts w:cs="Calibri"/>
                <w:color w:val="FF0000"/>
                <w:sz w:val="24"/>
                <w:szCs w:val="24"/>
              </w:rPr>
            </w:pPr>
            <w:r w:rsidRPr="0059240B">
              <w:rPr>
                <w:rFonts w:cs="Calibri"/>
                <w:color w:val="FF0000"/>
                <w:sz w:val="24"/>
                <w:szCs w:val="24"/>
              </w:rPr>
              <w:t>120.0%</w:t>
            </w:r>
          </w:p>
        </w:tc>
      </w:tr>
      <w:tr w:rsidR="00E33858" w:rsidRPr="0059240B" w14:paraId="374ED9C4" w14:textId="77777777" w:rsidTr="00E33858">
        <w:trPr>
          <w:trHeight w:val="252"/>
        </w:trPr>
        <w:tc>
          <w:tcPr>
            <w:tcW w:w="2876" w:type="dxa"/>
            <w:shd w:val="clear" w:color="auto" w:fill="FFFF00"/>
            <w:noWrap/>
            <w:hideMark/>
          </w:tcPr>
          <w:p w14:paraId="41DE1A92" w14:textId="77777777" w:rsidR="00E33858" w:rsidRPr="0059240B" w:rsidRDefault="00E33858" w:rsidP="00E33858">
            <w:pPr>
              <w:jc w:val="center"/>
              <w:rPr>
                <w:rFonts w:cs="Calibri"/>
                <w:color w:val="000000"/>
                <w:sz w:val="24"/>
                <w:szCs w:val="24"/>
              </w:rPr>
            </w:pPr>
            <w:r w:rsidRPr="0059240B">
              <w:rPr>
                <w:rFonts w:cs="Calibri"/>
                <w:color w:val="000000"/>
                <w:sz w:val="24"/>
                <w:szCs w:val="24"/>
              </w:rPr>
              <w:t>76</w:t>
            </w:r>
          </w:p>
        </w:tc>
        <w:tc>
          <w:tcPr>
            <w:tcW w:w="2877" w:type="dxa"/>
            <w:shd w:val="clear" w:color="auto" w:fill="FFFF00"/>
            <w:noWrap/>
            <w:hideMark/>
          </w:tcPr>
          <w:p w14:paraId="00AE23D1" w14:textId="77777777" w:rsidR="00E33858" w:rsidRPr="0059240B" w:rsidRDefault="00E33858" w:rsidP="00E33858">
            <w:pPr>
              <w:jc w:val="center"/>
              <w:rPr>
                <w:rFonts w:cs="Calibri"/>
                <w:color w:val="000000"/>
                <w:sz w:val="24"/>
                <w:szCs w:val="24"/>
              </w:rPr>
            </w:pPr>
            <w:r w:rsidRPr="0059240B">
              <w:rPr>
                <w:rFonts w:cs="Calibri"/>
                <w:color w:val="000000"/>
                <w:sz w:val="24"/>
                <w:szCs w:val="24"/>
              </w:rPr>
              <w:t>96.5%</w:t>
            </w:r>
          </w:p>
        </w:tc>
        <w:tc>
          <w:tcPr>
            <w:tcW w:w="2877" w:type="dxa"/>
            <w:shd w:val="clear" w:color="auto" w:fill="FFFF00"/>
            <w:noWrap/>
            <w:hideMark/>
          </w:tcPr>
          <w:p w14:paraId="33A0B50F" w14:textId="77777777" w:rsidR="00E33858" w:rsidRPr="0059240B" w:rsidRDefault="00E33858" w:rsidP="00E33858">
            <w:pPr>
              <w:jc w:val="center"/>
              <w:rPr>
                <w:rFonts w:cs="Calibri"/>
                <w:color w:val="000000"/>
                <w:sz w:val="24"/>
                <w:szCs w:val="24"/>
              </w:rPr>
            </w:pPr>
            <w:r w:rsidRPr="0059240B">
              <w:rPr>
                <w:rFonts w:cs="Calibri"/>
                <w:color w:val="000000"/>
                <w:sz w:val="24"/>
                <w:szCs w:val="24"/>
              </w:rPr>
              <w:t>119.0%</w:t>
            </w:r>
          </w:p>
        </w:tc>
      </w:tr>
      <w:tr w:rsidR="00E33858" w:rsidRPr="0059240B" w14:paraId="22C7B39A" w14:textId="77777777" w:rsidTr="00E33858">
        <w:trPr>
          <w:trHeight w:val="252"/>
        </w:trPr>
        <w:tc>
          <w:tcPr>
            <w:tcW w:w="2876" w:type="dxa"/>
            <w:shd w:val="clear" w:color="auto" w:fill="FFFF00"/>
            <w:noWrap/>
            <w:hideMark/>
          </w:tcPr>
          <w:p w14:paraId="670506F6" w14:textId="77777777" w:rsidR="00E33858" w:rsidRPr="0059240B" w:rsidRDefault="00E33858" w:rsidP="00E33858">
            <w:pPr>
              <w:jc w:val="center"/>
              <w:rPr>
                <w:rFonts w:cs="Calibri"/>
                <w:color w:val="000000"/>
                <w:sz w:val="24"/>
                <w:szCs w:val="24"/>
              </w:rPr>
            </w:pPr>
            <w:r w:rsidRPr="0059240B">
              <w:rPr>
                <w:rFonts w:cs="Calibri"/>
                <w:color w:val="000000"/>
                <w:sz w:val="24"/>
                <w:szCs w:val="24"/>
              </w:rPr>
              <w:t>77</w:t>
            </w:r>
          </w:p>
        </w:tc>
        <w:tc>
          <w:tcPr>
            <w:tcW w:w="2877" w:type="dxa"/>
            <w:shd w:val="clear" w:color="auto" w:fill="FFFF00"/>
            <w:noWrap/>
            <w:hideMark/>
          </w:tcPr>
          <w:p w14:paraId="46E8E9ED" w14:textId="77777777" w:rsidR="00E33858" w:rsidRPr="0059240B" w:rsidRDefault="00E33858" w:rsidP="00E33858">
            <w:pPr>
              <w:jc w:val="center"/>
              <w:rPr>
                <w:rFonts w:cs="Calibri"/>
                <w:color w:val="000000"/>
                <w:sz w:val="24"/>
                <w:szCs w:val="24"/>
              </w:rPr>
            </w:pPr>
            <w:r w:rsidRPr="0059240B">
              <w:rPr>
                <w:rFonts w:cs="Calibri"/>
                <w:color w:val="000000"/>
                <w:sz w:val="24"/>
                <w:szCs w:val="24"/>
              </w:rPr>
              <w:t>98.0%</w:t>
            </w:r>
          </w:p>
        </w:tc>
        <w:tc>
          <w:tcPr>
            <w:tcW w:w="2877" w:type="dxa"/>
            <w:shd w:val="clear" w:color="auto" w:fill="FFFF00"/>
            <w:noWrap/>
            <w:hideMark/>
          </w:tcPr>
          <w:p w14:paraId="70630BC7" w14:textId="77777777" w:rsidR="00E33858" w:rsidRPr="0059240B" w:rsidRDefault="00E33858" w:rsidP="00E33858">
            <w:pPr>
              <w:jc w:val="center"/>
              <w:rPr>
                <w:rFonts w:cs="Calibri"/>
                <w:color w:val="000000"/>
                <w:sz w:val="24"/>
                <w:szCs w:val="24"/>
              </w:rPr>
            </w:pPr>
            <w:r w:rsidRPr="0059240B">
              <w:rPr>
                <w:rFonts w:cs="Calibri"/>
                <w:color w:val="000000"/>
                <w:sz w:val="24"/>
                <w:szCs w:val="24"/>
              </w:rPr>
              <w:t>118.0%</w:t>
            </w:r>
          </w:p>
        </w:tc>
      </w:tr>
      <w:tr w:rsidR="00E33858" w:rsidRPr="0059240B" w14:paraId="6D70C426" w14:textId="77777777" w:rsidTr="00E33858">
        <w:trPr>
          <w:trHeight w:val="252"/>
        </w:trPr>
        <w:tc>
          <w:tcPr>
            <w:tcW w:w="2876" w:type="dxa"/>
            <w:shd w:val="clear" w:color="auto" w:fill="FFFF00"/>
            <w:noWrap/>
            <w:hideMark/>
          </w:tcPr>
          <w:p w14:paraId="6241DA68" w14:textId="77777777" w:rsidR="00E33858" w:rsidRPr="0059240B" w:rsidRDefault="00E33858" w:rsidP="00E33858">
            <w:pPr>
              <w:jc w:val="center"/>
              <w:rPr>
                <w:rFonts w:cs="Calibri"/>
                <w:color w:val="000000"/>
                <w:sz w:val="24"/>
                <w:szCs w:val="24"/>
              </w:rPr>
            </w:pPr>
            <w:r w:rsidRPr="0059240B">
              <w:rPr>
                <w:rFonts w:cs="Calibri"/>
                <w:color w:val="000000"/>
                <w:sz w:val="24"/>
                <w:szCs w:val="24"/>
              </w:rPr>
              <w:t>78</w:t>
            </w:r>
          </w:p>
        </w:tc>
        <w:tc>
          <w:tcPr>
            <w:tcW w:w="2877" w:type="dxa"/>
            <w:shd w:val="clear" w:color="auto" w:fill="FFFF00"/>
            <w:noWrap/>
            <w:hideMark/>
          </w:tcPr>
          <w:p w14:paraId="1364C238" w14:textId="77777777" w:rsidR="00E33858" w:rsidRPr="0059240B" w:rsidRDefault="00E33858" w:rsidP="00E33858">
            <w:pPr>
              <w:jc w:val="center"/>
              <w:rPr>
                <w:rFonts w:cs="Calibri"/>
                <w:color w:val="000000"/>
                <w:sz w:val="24"/>
                <w:szCs w:val="24"/>
              </w:rPr>
            </w:pPr>
            <w:r w:rsidRPr="0059240B">
              <w:rPr>
                <w:rFonts w:cs="Calibri"/>
                <w:color w:val="000000"/>
                <w:sz w:val="24"/>
                <w:szCs w:val="24"/>
              </w:rPr>
              <w:t>99.5%</w:t>
            </w:r>
          </w:p>
        </w:tc>
        <w:tc>
          <w:tcPr>
            <w:tcW w:w="2877" w:type="dxa"/>
            <w:shd w:val="clear" w:color="auto" w:fill="FFFF00"/>
            <w:noWrap/>
            <w:hideMark/>
          </w:tcPr>
          <w:p w14:paraId="1B7B8A2E" w14:textId="77777777" w:rsidR="00E33858" w:rsidRPr="0059240B" w:rsidRDefault="00E33858" w:rsidP="00E33858">
            <w:pPr>
              <w:jc w:val="center"/>
              <w:rPr>
                <w:rFonts w:cs="Calibri"/>
                <w:color w:val="000000"/>
                <w:sz w:val="24"/>
                <w:szCs w:val="24"/>
              </w:rPr>
            </w:pPr>
            <w:r w:rsidRPr="0059240B">
              <w:rPr>
                <w:rFonts w:cs="Calibri"/>
                <w:color w:val="000000"/>
                <w:sz w:val="24"/>
                <w:szCs w:val="24"/>
              </w:rPr>
              <w:t>117.0%</w:t>
            </w:r>
          </w:p>
        </w:tc>
      </w:tr>
      <w:tr w:rsidR="00E33858" w:rsidRPr="0059240B" w14:paraId="121BEDDB" w14:textId="77777777" w:rsidTr="00E33858">
        <w:trPr>
          <w:trHeight w:val="252"/>
        </w:trPr>
        <w:tc>
          <w:tcPr>
            <w:tcW w:w="2876" w:type="dxa"/>
            <w:shd w:val="clear" w:color="auto" w:fill="FFFF00"/>
            <w:noWrap/>
            <w:hideMark/>
          </w:tcPr>
          <w:p w14:paraId="1A21E3E9" w14:textId="77777777" w:rsidR="00E33858" w:rsidRPr="0059240B" w:rsidRDefault="00E33858" w:rsidP="00E33858">
            <w:pPr>
              <w:jc w:val="center"/>
              <w:rPr>
                <w:rFonts w:cs="Calibri"/>
                <w:color w:val="000000"/>
                <w:sz w:val="24"/>
                <w:szCs w:val="24"/>
              </w:rPr>
            </w:pPr>
            <w:r w:rsidRPr="0059240B">
              <w:rPr>
                <w:rFonts w:cs="Calibri"/>
                <w:color w:val="000000"/>
                <w:sz w:val="24"/>
                <w:szCs w:val="24"/>
              </w:rPr>
              <w:t>79</w:t>
            </w:r>
          </w:p>
        </w:tc>
        <w:tc>
          <w:tcPr>
            <w:tcW w:w="2877" w:type="dxa"/>
            <w:shd w:val="clear" w:color="auto" w:fill="FFFF00"/>
            <w:noWrap/>
            <w:hideMark/>
          </w:tcPr>
          <w:p w14:paraId="21313019" w14:textId="77777777" w:rsidR="00E33858" w:rsidRPr="0059240B" w:rsidRDefault="00E33858" w:rsidP="00E33858">
            <w:pPr>
              <w:jc w:val="center"/>
              <w:rPr>
                <w:rFonts w:cs="Calibri"/>
                <w:color w:val="000000"/>
                <w:sz w:val="24"/>
                <w:szCs w:val="24"/>
              </w:rPr>
            </w:pPr>
            <w:r w:rsidRPr="0059240B">
              <w:rPr>
                <w:rFonts w:cs="Calibri"/>
                <w:color w:val="000000"/>
                <w:sz w:val="24"/>
                <w:szCs w:val="24"/>
              </w:rPr>
              <w:t>101.0%</w:t>
            </w:r>
          </w:p>
        </w:tc>
        <w:tc>
          <w:tcPr>
            <w:tcW w:w="2877" w:type="dxa"/>
            <w:shd w:val="clear" w:color="auto" w:fill="FFFF00"/>
            <w:noWrap/>
            <w:hideMark/>
          </w:tcPr>
          <w:p w14:paraId="770EE960" w14:textId="77777777" w:rsidR="00E33858" w:rsidRPr="0059240B" w:rsidRDefault="00E33858" w:rsidP="00E33858">
            <w:pPr>
              <w:jc w:val="center"/>
              <w:rPr>
                <w:rFonts w:cs="Calibri"/>
                <w:color w:val="000000"/>
                <w:sz w:val="24"/>
                <w:szCs w:val="24"/>
              </w:rPr>
            </w:pPr>
            <w:r w:rsidRPr="0059240B">
              <w:rPr>
                <w:rFonts w:cs="Calibri"/>
                <w:color w:val="000000"/>
                <w:sz w:val="24"/>
                <w:szCs w:val="24"/>
              </w:rPr>
              <w:t>116.0%</w:t>
            </w:r>
          </w:p>
        </w:tc>
      </w:tr>
      <w:tr w:rsidR="00E33858" w:rsidRPr="0059240B" w14:paraId="105CD015" w14:textId="77777777" w:rsidTr="00E33858">
        <w:trPr>
          <w:trHeight w:val="252"/>
        </w:trPr>
        <w:tc>
          <w:tcPr>
            <w:tcW w:w="2876" w:type="dxa"/>
            <w:shd w:val="clear" w:color="auto" w:fill="FFFF00"/>
            <w:noWrap/>
            <w:hideMark/>
          </w:tcPr>
          <w:p w14:paraId="5480A647" w14:textId="77777777" w:rsidR="00E33858" w:rsidRPr="0059240B" w:rsidRDefault="00E33858" w:rsidP="00E33858">
            <w:pPr>
              <w:jc w:val="center"/>
              <w:rPr>
                <w:rFonts w:cs="Calibri"/>
                <w:color w:val="000000"/>
                <w:sz w:val="24"/>
                <w:szCs w:val="24"/>
              </w:rPr>
            </w:pPr>
            <w:r w:rsidRPr="0059240B">
              <w:rPr>
                <w:rFonts w:cs="Calibri"/>
                <w:color w:val="000000"/>
                <w:sz w:val="24"/>
                <w:szCs w:val="24"/>
              </w:rPr>
              <w:lastRenderedPageBreak/>
              <w:t>80</w:t>
            </w:r>
          </w:p>
        </w:tc>
        <w:tc>
          <w:tcPr>
            <w:tcW w:w="2877" w:type="dxa"/>
            <w:shd w:val="clear" w:color="auto" w:fill="FFFF00"/>
            <w:noWrap/>
            <w:hideMark/>
          </w:tcPr>
          <w:p w14:paraId="6677C2B7" w14:textId="77777777" w:rsidR="00E33858" w:rsidRPr="0059240B" w:rsidRDefault="00E33858" w:rsidP="00E33858">
            <w:pPr>
              <w:jc w:val="center"/>
              <w:rPr>
                <w:rFonts w:cs="Calibri"/>
                <w:color w:val="000000"/>
                <w:sz w:val="24"/>
                <w:szCs w:val="24"/>
              </w:rPr>
            </w:pPr>
            <w:r w:rsidRPr="0059240B">
              <w:rPr>
                <w:rFonts w:cs="Calibri"/>
                <w:color w:val="000000"/>
                <w:sz w:val="24"/>
                <w:szCs w:val="24"/>
              </w:rPr>
              <w:t>102.5%</w:t>
            </w:r>
          </w:p>
        </w:tc>
        <w:tc>
          <w:tcPr>
            <w:tcW w:w="2877" w:type="dxa"/>
            <w:shd w:val="clear" w:color="auto" w:fill="FFFF00"/>
            <w:noWrap/>
            <w:hideMark/>
          </w:tcPr>
          <w:p w14:paraId="1B75C6EA" w14:textId="77777777" w:rsidR="00E33858" w:rsidRPr="0059240B" w:rsidRDefault="00E33858" w:rsidP="00E33858">
            <w:pPr>
              <w:jc w:val="center"/>
              <w:rPr>
                <w:rFonts w:cs="Calibri"/>
                <w:color w:val="000000"/>
                <w:sz w:val="24"/>
                <w:szCs w:val="24"/>
              </w:rPr>
            </w:pPr>
            <w:r w:rsidRPr="0059240B">
              <w:rPr>
                <w:rFonts w:cs="Calibri"/>
                <w:color w:val="000000"/>
                <w:sz w:val="24"/>
                <w:szCs w:val="24"/>
              </w:rPr>
              <w:t>115.0%</w:t>
            </w:r>
          </w:p>
        </w:tc>
      </w:tr>
      <w:tr w:rsidR="00E33858" w:rsidRPr="0059240B" w14:paraId="2F7E38B0" w14:textId="77777777" w:rsidTr="00E33858">
        <w:trPr>
          <w:trHeight w:val="252"/>
        </w:trPr>
        <w:tc>
          <w:tcPr>
            <w:tcW w:w="2876" w:type="dxa"/>
            <w:shd w:val="clear" w:color="auto" w:fill="FFFF00"/>
            <w:noWrap/>
            <w:hideMark/>
          </w:tcPr>
          <w:p w14:paraId="53A77DA2" w14:textId="77777777" w:rsidR="00E33858" w:rsidRPr="0059240B" w:rsidRDefault="00E33858" w:rsidP="00E33858">
            <w:pPr>
              <w:jc w:val="center"/>
              <w:rPr>
                <w:rFonts w:cs="Calibri"/>
                <w:color w:val="000000"/>
                <w:sz w:val="24"/>
                <w:szCs w:val="24"/>
              </w:rPr>
            </w:pPr>
            <w:r w:rsidRPr="0059240B">
              <w:rPr>
                <w:rFonts w:cs="Calibri"/>
                <w:color w:val="000000"/>
                <w:sz w:val="24"/>
                <w:szCs w:val="24"/>
              </w:rPr>
              <w:t>81</w:t>
            </w:r>
          </w:p>
        </w:tc>
        <w:tc>
          <w:tcPr>
            <w:tcW w:w="2877" w:type="dxa"/>
            <w:shd w:val="clear" w:color="auto" w:fill="FFFF00"/>
            <w:noWrap/>
            <w:hideMark/>
          </w:tcPr>
          <w:p w14:paraId="5B8B9F0B" w14:textId="77777777" w:rsidR="00E33858" w:rsidRPr="0059240B" w:rsidRDefault="00E33858" w:rsidP="00E33858">
            <w:pPr>
              <w:jc w:val="center"/>
              <w:rPr>
                <w:rFonts w:cs="Calibri"/>
                <w:color w:val="000000"/>
                <w:sz w:val="24"/>
                <w:szCs w:val="24"/>
              </w:rPr>
            </w:pPr>
            <w:r w:rsidRPr="0059240B">
              <w:rPr>
                <w:rFonts w:cs="Calibri"/>
                <w:color w:val="000000"/>
                <w:sz w:val="24"/>
                <w:szCs w:val="24"/>
              </w:rPr>
              <w:t>104.0%</w:t>
            </w:r>
          </w:p>
        </w:tc>
        <w:tc>
          <w:tcPr>
            <w:tcW w:w="2877" w:type="dxa"/>
            <w:shd w:val="clear" w:color="auto" w:fill="FFFF00"/>
            <w:noWrap/>
            <w:hideMark/>
          </w:tcPr>
          <w:p w14:paraId="1661581E" w14:textId="77777777" w:rsidR="00E33858" w:rsidRPr="0059240B" w:rsidRDefault="00E33858" w:rsidP="00E33858">
            <w:pPr>
              <w:jc w:val="center"/>
              <w:rPr>
                <w:rFonts w:cs="Calibri"/>
                <w:color w:val="000000"/>
                <w:sz w:val="24"/>
                <w:szCs w:val="24"/>
              </w:rPr>
            </w:pPr>
            <w:r w:rsidRPr="0059240B">
              <w:rPr>
                <w:rFonts w:cs="Calibri"/>
                <w:color w:val="000000"/>
                <w:sz w:val="24"/>
                <w:szCs w:val="24"/>
              </w:rPr>
              <w:t>114.0%</w:t>
            </w:r>
          </w:p>
        </w:tc>
      </w:tr>
      <w:tr w:rsidR="00E33858" w:rsidRPr="0059240B" w14:paraId="1762368E" w14:textId="77777777" w:rsidTr="00E33858">
        <w:trPr>
          <w:trHeight w:val="252"/>
        </w:trPr>
        <w:tc>
          <w:tcPr>
            <w:tcW w:w="2876" w:type="dxa"/>
            <w:shd w:val="clear" w:color="auto" w:fill="FFFF00"/>
            <w:noWrap/>
            <w:hideMark/>
          </w:tcPr>
          <w:p w14:paraId="18517DD9" w14:textId="77777777" w:rsidR="00E33858" w:rsidRPr="0059240B" w:rsidRDefault="00E33858" w:rsidP="00E33858">
            <w:pPr>
              <w:jc w:val="center"/>
              <w:rPr>
                <w:rFonts w:cs="Calibri"/>
                <w:color w:val="000000"/>
                <w:sz w:val="24"/>
                <w:szCs w:val="24"/>
              </w:rPr>
            </w:pPr>
            <w:r w:rsidRPr="0059240B">
              <w:rPr>
                <w:rFonts w:cs="Calibri"/>
                <w:color w:val="000000"/>
                <w:sz w:val="24"/>
                <w:szCs w:val="24"/>
              </w:rPr>
              <w:t>82</w:t>
            </w:r>
          </w:p>
        </w:tc>
        <w:tc>
          <w:tcPr>
            <w:tcW w:w="2877" w:type="dxa"/>
            <w:shd w:val="clear" w:color="auto" w:fill="FFFF00"/>
            <w:noWrap/>
            <w:hideMark/>
          </w:tcPr>
          <w:p w14:paraId="0955B35F" w14:textId="77777777" w:rsidR="00E33858" w:rsidRPr="0059240B" w:rsidRDefault="00E33858" w:rsidP="00E33858">
            <w:pPr>
              <w:jc w:val="center"/>
              <w:rPr>
                <w:rFonts w:cs="Calibri"/>
                <w:color w:val="000000"/>
                <w:sz w:val="24"/>
                <w:szCs w:val="24"/>
              </w:rPr>
            </w:pPr>
            <w:r w:rsidRPr="0059240B">
              <w:rPr>
                <w:rFonts w:cs="Calibri"/>
                <w:color w:val="000000"/>
                <w:sz w:val="24"/>
                <w:szCs w:val="24"/>
              </w:rPr>
              <w:t>105.5%</w:t>
            </w:r>
          </w:p>
        </w:tc>
        <w:tc>
          <w:tcPr>
            <w:tcW w:w="2877" w:type="dxa"/>
            <w:shd w:val="clear" w:color="auto" w:fill="FFFF00"/>
            <w:noWrap/>
            <w:hideMark/>
          </w:tcPr>
          <w:p w14:paraId="37CEE634" w14:textId="77777777" w:rsidR="00E33858" w:rsidRPr="0059240B" w:rsidRDefault="00E33858" w:rsidP="00E33858">
            <w:pPr>
              <w:jc w:val="center"/>
              <w:rPr>
                <w:rFonts w:cs="Calibri"/>
                <w:color w:val="000000"/>
                <w:sz w:val="24"/>
                <w:szCs w:val="24"/>
              </w:rPr>
            </w:pPr>
            <w:r w:rsidRPr="0059240B">
              <w:rPr>
                <w:rFonts w:cs="Calibri"/>
                <w:color w:val="000000"/>
                <w:sz w:val="24"/>
                <w:szCs w:val="24"/>
              </w:rPr>
              <w:t>113.0%</w:t>
            </w:r>
          </w:p>
        </w:tc>
      </w:tr>
      <w:tr w:rsidR="00E33858" w:rsidRPr="0059240B" w14:paraId="48D3DE2F" w14:textId="77777777" w:rsidTr="00E33858">
        <w:trPr>
          <w:trHeight w:val="252"/>
        </w:trPr>
        <w:tc>
          <w:tcPr>
            <w:tcW w:w="2876" w:type="dxa"/>
            <w:shd w:val="clear" w:color="auto" w:fill="FFFF00"/>
            <w:noWrap/>
            <w:hideMark/>
          </w:tcPr>
          <w:p w14:paraId="2DD39B03" w14:textId="77777777" w:rsidR="00E33858" w:rsidRPr="0059240B" w:rsidRDefault="00E33858" w:rsidP="00E33858">
            <w:pPr>
              <w:jc w:val="center"/>
              <w:rPr>
                <w:rFonts w:cs="Calibri"/>
                <w:color w:val="000000"/>
                <w:sz w:val="24"/>
                <w:szCs w:val="24"/>
              </w:rPr>
            </w:pPr>
            <w:r w:rsidRPr="0059240B">
              <w:rPr>
                <w:rFonts w:cs="Calibri"/>
                <w:color w:val="000000"/>
                <w:sz w:val="24"/>
                <w:szCs w:val="24"/>
              </w:rPr>
              <w:t>83</w:t>
            </w:r>
          </w:p>
        </w:tc>
        <w:tc>
          <w:tcPr>
            <w:tcW w:w="2877" w:type="dxa"/>
            <w:shd w:val="clear" w:color="auto" w:fill="FFFF00"/>
            <w:noWrap/>
            <w:hideMark/>
          </w:tcPr>
          <w:p w14:paraId="29EE8920" w14:textId="77777777" w:rsidR="00E33858" w:rsidRPr="0059240B" w:rsidRDefault="00E33858" w:rsidP="00E33858">
            <w:pPr>
              <w:jc w:val="center"/>
              <w:rPr>
                <w:rFonts w:cs="Calibri"/>
                <w:color w:val="000000"/>
                <w:sz w:val="24"/>
                <w:szCs w:val="24"/>
              </w:rPr>
            </w:pPr>
            <w:r w:rsidRPr="0059240B">
              <w:rPr>
                <w:rFonts w:cs="Calibri"/>
                <w:color w:val="000000"/>
                <w:sz w:val="24"/>
                <w:szCs w:val="24"/>
              </w:rPr>
              <w:t>107.0%</w:t>
            </w:r>
          </w:p>
        </w:tc>
        <w:tc>
          <w:tcPr>
            <w:tcW w:w="2877" w:type="dxa"/>
            <w:shd w:val="clear" w:color="auto" w:fill="FFFF00"/>
            <w:noWrap/>
            <w:hideMark/>
          </w:tcPr>
          <w:p w14:paraId="3F0F4B98" w14:textId="77777777" w:rsidR="00E33858" w:rsidRPr="0059240B" w:rsidRDefault="00E33858" w:rsidP="00E33858">
            <w:pPr>
              <w:jc w:val="center"/>
              <w:rPr>
                <w:rFonts w:cs="Calibri"/>
                <w:color w:val="000000"/>
                <w:sz w:val="24"/>
                <w:szCs w:val="24"/>
              </w:rPr>
            </w:pPr>
            <w:r w:rsidRPr="0059240B">
              <w:rPr>
                <w:rFonts w:cs="Calibri"/>
                <w:color w:val="000000"/>
                <w:sz w:val="24"/>
                <w:szCs w:val="24"/>
              </w:rPr>
              <w:t>112.0%</w:t>
            </w:r>
          </w:p>
        </w:tc>
      </w:tr>
      <w:tr w:rsidR="00E33858" w:rsidRPr="0059240B" w14:paraId="201F52B9" w14:textId="77777777" w:rsidTr="00E33858">
        <w:trPr>
          <w:trHeight w:val="252"/>
        </w:trPr>
        <w:tc>
          <w:tcPr>
            <w:tcW w:w="2876" w:type="dxa"/>
            <w:shd w:val="clear" w:color="auto" w:fill="FFFF00"/>
            <w:noWrap/>
            <w:hideMark/>
          </w:tcPr>
          <w:p w14:paraId="02FF945C" w14:textId="77777777" w:rsidR="00E33858" w:rsidRPr="0059240B" w:rsidRDefault="00E33858" w:rsidP="00E33858">
            <w:pPr>
              <w:jc w:val="center"/>
              <w:rPr>
                <w:rFonts w:cs="Calibri"/>
                <w:color w:val="000000"/>
                <w:sz w:val="24"/>
                <w:szCs w:val="24"/>
              </w:rPr>
            </w:pPr>
            <w:r w:rsidRPr="0059240B">
              <w:rPr>
                <w:rFonts w:cs="Calibri"/>
                <w:color w:val="000000"/>
                <w:sz w:val="24"/>
                <w:szCs w:val="24"/>
              </w:rPr>
              <w:t>84</w:t>
            </w:r>
          </w:p>
        </w:tc>
        <w:tc>
          <w:tcPr>
            <w:tcW w:w="2877" w:type="dxa"/>
            <w:shd w:val="clear" w:color="auto" w:fill="FFFF00"/>
            <w:noWrap/>
            <w:hideMark/>
          </w:tcPr>
          <w:p w14:paraId="21EB3463" w14:textId="77777777" w:rsidR="00E33858" w:rsidRPr="0059240B" w:rsidRDefault="00E33858" w:rsidP="00E33858">
            <w:pPr>
              <w:jc w:val="center"/>
              <w:rPr>
                <w:rFonts w:cs="Calibri"/>
                <w:color w:val="000000"/>
                <w:sz w:val="24"/>
                <w:szCs w:val="24"/>
              </w:rPr>
            </w:pPr>
            <w:r w:rsidRPr="0059240B">
              <w:rPr>
                <w:rFonts w:cs="Calibri"/>
                <w:color w:val="000000"/>
                <w:sz w:val="24"/>
                <w:szCs w:val="24"/>
              </w:rPr>
              <w:t>108.5%</w:t>
            </w:r>
          </w:p>
        </w:tc>
        <w:tc>
          <w:tcPr>
            <w:tcW w:w="2877" w:type="dxa"/>
            <w:shd w:val="clear" w:color="auto" w:fill="FFFF00"/>
            <w:noWrap/>
            <w:hideMark/>
          </w:tcPr>
          <w:p w14:paraId="57457ED3" w14:textId="77777777" w:rsidR="00E33858" w:rsidRPr="0059240B" w:rsidRDefault="00E33858" w:rsidP="00E33858">
            <w:pPr>
              <w:jc w:val="center"/>
              <w:rPr>
                <w:rFonts w:cs="Calibri"/>
                <w:color w:val="000000"/>
                <w:sz w:val="24"/>
                <w:szCs w:val="24"/>
              </w:rPr>
            </w:pPr>
            <w:r w:rsidRPr="0059240B">
              <w:rPr>
                <w:rFonts w:cs="Calibri"/>
                <w:color w:val="000000"/>
                <w:sz w:val="24"/>
                <w:szCs w:val="24"/>
              </w:rPr>
              <w:t>111.0%</w:t>
            </w:r>
          </w:p>
        </w:tc>
      </w:tr>
      <w:tr w:rsidR="00E33858" w:rsidRPr="0059240B" w14:paraId="48610B10" w14:textId="77777777" w:rsidTr="00E33858">
        <w:trPr>
          <w:trHeight w:val="252"/>
        </w:trPr>
        <w:tc>
          <w:tcPr>
            <w:tcW w:w="2876" w:type="dxa"/>
            <w:shd w:val="clear" w:color="auto" w:fill="FFFF00"/>
            <w:noWrap/>
            <w:hideMark/>
          </w:tcPr>
          <w:p w14:paraId="6CB55686" w14:textId="77777777" w:rsidR="00E33858" w:rsidRPr="0059240B" w:rsidRDefault="00E33858" w:rsidP="00E33858">
            <w:pPr>
              <w:jc w:val="center"/>
              <w:rPr>
                <w:rFonts w:cs="Calibri"/>
                <w:color w:val="000000"/>
                <w:sz w:val="24"/>
                <w:szCs w:val="24"/>
              </w:rPr>
            </w:pPr>
            <w:r w:rsidRPr="0059240B">
              <w:rPr>
                <w:rFonts w:cs="Calibri"/>
                <w:color w:val="000000"/>
                <w:sz w:val="24"/>
                <w:szCs w:val="24"/>
              </w:rPr>
              <w:t>85</w:t>
            </w:r>
          </w:p>
        </w:tc>
        <w:tc>
          <w:tcPr>
            <w:tcW w:w="2877" w:type="dxa"/>
            <w:shd w:val="clear" w:color="auto" w:fill="FFFF00"/>
            <w:noWrap/>
            <w:hideMark/>
          </w:tcPr>
          <w:p w14:paraId="03C55249" w14:textId="77777777" w:rsidR="00E33858" w:rsidRPr="0059240B" w:rsidRDefault="00E33858" w:rsidP="00E33858">
            <w:pPr>
              <w:jc w:val="center"/>
              <w:rPr>
                <w:rFonts w:cs="Calibri"/>
                <w:color w:val="FF0000"/>
                <w:sz w:val="24"/>
                <w:szCs w:val="24"/>
              </w:rPr>
            </w:pPr>
            <w:r w:rsidRPr="0059240B">
              <w:rPr>
                <w:rFonts w:cs="Calibri"/>
                <w:color w:val="FF0000"/>
                <w:sz w:val="24"/>
                <w:szCs w:val="24"/>
              </w:rPr>
              <w:t>110.0%</w:t>
            </w:r>
          </w:p>
        </w:tc>
        <w:tc>
          <w:tcPr>
            <w:tcW w:w="2877" w:type="dxa"/>
            <w:shd w:val="clear" w:color="auto" w:fill="FFFF00"/>
            <w:noWrap/>
            <w:hideMark/>
          </w:tcPr>
          <w:p w14:paraId="43F27AE2" w14:textId="77777777" w:rsidR="00E33858" w:rsidRPr="0059240B" w:rsidRDefault="00E33858" w:rsidP="00E33858">
            <w:pPr>
              <w:jc w:val="center"/>
              <w:rPr>
                <w:rFonts w:cs="Calibri"/>
                <w:color w:val="FF0000"/>
                <w:sz w:val="24"/>
                <w:szCs w:val="24"/>
              </w:rPr>
            </w:pPr>
            <w:r w:rsidRPr="0059240B">
              <w:rPr>
                <w:rFonts w:cs="Calibri"/>
                <w:color w:val="FF0000"/>
                <w:sz w:val="24"/>
                <w:szCs w:val="24"/>
              </w:rPr>
              <w:t>110.0%</w:t>
            </w:r>
          </w:p>
        </w:tc>
      </w:tr>
      <w:tr w:rsidR="00E33858" w:rsidRPr="0059240B" w14:paraId="749A01FC" w14:textId="77777777" w:rsidTr="00E33858">
        <w:trPr>
          <w:trHeight w:val="252"/>
        </w:trPr>
        <w:tc>
          <w:tcPr>
            <w:tcW w:w="2876" w:type="dxa"/>
            <w:shd w:val="clear" w:color="auto" w:fill="FFFF00"/>
            <w:noWrap/>
            <w:hideMark/>
          </w:tcPr>
          <w:p w14:paraId="4DF25248" w14:textId="77777777" w:rsidR="00E33858" w:rsidRPr="0059240B" w:rsidRDefault="00E33858" w:rsidP="00E33858">
            <w:pPr>
              <w:jc w:val="center"/>
              <w:rPr>
                <w:rFonts w:cs="Calibri"/>
                <w:color w:val="000000"/>
                <w:sz w:val="24"/>
                <w:szCs w:val="24"/>
              </w:rPr>
            </w:pPr>
            <w:r w:rsidRPr="0059240B">
              <w:rPr>
                <w:rFonts w:cs="Calibri"/>
                <w:color w:val="000000"/>
                <w:sz w:val="24"/>
                <w:szCs w:val="24"/>
              </w:rPr>
              <w:t>86</w:t>
            </w:r>
          </w:p>
        </w:tc>
        <w:tc>
          <w:tcPr>
            <w:tcW w:w="2877" w:type="dxa"/>
            <w:shd w:val="clear" w:color="auto" w:fill="FFFF00"/>
            <w:noWrap/>
            <w:hideMark/>
          </w:tcPr>
          <w:p w14:paraId="644B7C74"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3EF26859"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52F63DDA" w14:textId="77777777" w:rsidTr="00E33858">
        <w:trPr>
          <w:trHeight w:val="252"/>
        </w:trPr>
        <w:tc>
          <w:tcPr>
            <w:tcW w:w="2876" w:type="dxa"/>
            <w:shd w:val="clear" w:color="auto" w:fill="FFFF00"/>
            <w:noWrap/>
            <w:hideMark/>
          </w:tcPr>
          <w:p w14:paraId="534B10B7" w14:textId="77777777" w:rsidR="00E33858" w:rsidRPr="0059240B" w:rsidRDefault="00E33858" w:rsidP="00E33858">
            <w:pPr>
              <w:jc w:val="center"/>
              <w:rPr>
                <w:rFonts w:cs="Calibri"/>
                <w:color w:val="000000"/>
                <w:sz w:val="24"/>
                <w:szCs w:val="24"/>
              </w:rPr>
            </w:pPr>
            <w:r w:rsidRPr="0059240B">
              <w:rPr>
                <w:rFonts w:cs="Calibri"/>
                <w:color w:val="000000"/>
                <w:sz w:val="24"/>
                <w:szCs w:val="24"/>
              </w:rPr>
              <w:t>87</w:t>
            </w:r>
          </w:p>
        </w:tc>
        <w:tc>
          <w:tcPr>
            <w:tcW w:w="2877" w:type="dxa"/>
            <w:shd w:val="clear" w:color="auto" w:fill="FFFF00"/>
            <w:noWrap/>
            <w:hideMark/>
          </w:tcPr>
          <w:p w14:paraId="01CD132D"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33655EE5"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2EB37E04" w14:textId="77777777" w:rsidTr="00E33858">
        <w:trPr>
          <w:trHeight w:val="252"/>
        </w:trPr>
        <w:tc>
          <w:tcPr>
            <w:tcW w:w="2876" w:type="dxa"/>
            <w:shd w:val="clear" w:color="auto" w:fill="FFFF00"/>
            <w:noWrap/>
            <w:hideMark/>
          </w:tcPr>
          <w:p w14:paraId="4BAFA9B0" w14:textId="77777777" w:rsidR="00E33858" w:rsidRPr="0059240B" w:rsidRDefault="00E33858" w:rsidP="00E33858">
            <w:pPr>
              <w:jc w:val="center"/>
              <w:rPr>
                <w:rFonts w:cs="Calibri"/>
                <w:color w:val="000000"/>
                <w:sz w:val="24"/>
                <w:szCs w:val="24"/>
              </w:rPr>
            </w:pPr>
            <w:r w:rsidRPr="0059240B">
              <w:rPr>
                <w:rFonts w:cs="Calibri"/>
                <w:color w:val="000000"/>
                <w:sz w:val="24"/>
                <w:szCs w:val="24"/>
              </w:rPr>
              <w:t>88</w:t>
            </w:r>
          </w:p>
        </w:tc>
        <w:tc>
          <w:tcPr>
            <w:tcW w:w="2877" w:type="dxa"/>
            <w:shd w:val="clear" w:color="auto" w:fill="FFFF00"/>
            <w:noWrap/>
            <w:hideMark/>
          </w:tcPr>
          <w:p w14:paraId="2D0DA872"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0003D949"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33C1CE5E" w14:textId="77777777" w:rsidTr="00E33858">
        <w:trPr>
          <w:trHeight w:val="252"/>
        </w:trPr>
        <w:tc>
          <w:tcPr>
            <w:tcW w:w="2876" w:type="dxa"/>
            <w:shd w:val="clear" w:color="auto" w:fill="FFFF00"/>
            <w:noWrap/>
            <w:hideMark/>
          </w:tcPr>
          <w:p w14:paraId="36F637A5" w14:textId="77777777" w:rsidR="00E33858" w:rsidRPr="0059240B" w:rsidRDefault="00E33858" w:rsidP="00E33858">
            <w:pPr>
              <w:jc w:val="center"/>
              <w:rPr>
                <w:rFonts w:cs="Calibri"/>
                <w:color w:val="000000"/>
                <w:sz w:val="24"/>
                <w:szCs w:val="24"/>
              </w:rPr>
            </w:pPr>
            <w:r w:rsidRPr="0059240B">
              <w:rPr>
                <w:rFonts w:cs="Calibri"/>
                <w:color w:val="000000"/>
                <w:sz w:val="24"/>
                <w:szCs w:val="24"/>
              </w:rPr>
              <w:t>89</w:t>
            </w:r>
          </w:p>
        </w:tc>
        <w:tc>
          <w:tcPr>
            <w:tcW w:w="2877" w:type="dxa"/>
            <w:shd w:val="clear" w:color="auto" w:fill="FFFF00"/>
            <w:noWrap/>
            <w:hideMark/>
          </w:tcPr>
          <w:p w14:paraId="1EC19497"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036E2659"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659FC733" w14:textId="77777777" w:rsidTr="00E33858">
        <w:trPr>
          <w:trHeight w:val="252"/>
        </w:trPr>
        <w:tc>
          <w:tcPr>
            <w:tcW w:w="2876" w:type="dxa"/>
            <w:shd w:val="clear" w:color="auto" w:fill="FFFF00"/>
            <w:noWrap/>
            <w:hideMark/>
          </w:tcPr>
          <w:p w14:paraId="2D16C22B" w14:textId="77777777" w:rsidR="00E33858" w:rsidRPr="0059240B" w:rsidRDefault="00E33858" w:rsidP="00E33858">
            <w:pPr>
              <w:jc w:val="center"/>
              <w:rPr>
                <w:rFonts w:cs="Calibri"/>
                <w:color w:val="000000"/>
                <w:sz w:val="24"/>
                <w:szCs w:val="24"/>
              </w:rPr>
            </w:pPr>
            <w:r w:rsidRPr="0059240B">
              <w:rPr>
                <w:rFonts w:cs="Calibri"/>
                <w:color w:val="000000"/>
                <w:sz w:val="24"/>
                <w:szCs w:val="24"/>
              </w:rPr>
              <w:t>90</w:t>
            </w:r>
          </w:p>
        </w:tc>
        <w:tc>
          <w:tcPr>
            <w:tcW w:w="2877" w:type="dxa"/>
            <w:shd w:val="clear" w:color="auto" w:fill="FFFF00"/>
            <w:noWrap/>
            <w:hideMark/>
          </w:tcPr>
          <w:p w14:paraId="5D23B32D"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3D9DB118"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23480B15" w14:textId="77777777" w:rsidTr="00E33858">
        <w:trPr>
          <w:trHeight w:val="252"/>
        </w:trPr>
        <w:tc>
          <w:tcPr>
            <w:tcW w:w="2876" w:type="dxa"/>
            <w:shd w:val="clear" w:color="auto" w:fill="FFFF00"/>
            <w:noWrap/>
            <w:hideMark/>
          </w:tcPr>
          <w:p w14:paraId="3DA9D56E" w14:textId="77777777" w:rsidR="00E33858" w:rsidRPr="0059240B" w:rsidRDefault="00E33858" w:rsidP="00E33858">
            <w:pPr>
              <w:jc w:val="center"/>
              <w:rPr>
                <w:rFonts w:cs="Calibri"/>
                <w:color w:val="000000"/>
                <w:sz w:val="24"/>
                <w:szCs w:val="24"/>
              </w:rPr>
            </w:pPr>
            <w:r w:rsidRPr="0059240B">
              <w:rPr>
                <w:rFonts w:cs="Calibri"/>
                <w:color w:val="000000"/>
                <w:sz w:val="24"/>
                <w:szCs w:val="24"/>
              </w:rPr>
              <w:t>91</w:t>
            </w:r>
          </w:p>
        </w:tc>
        <w:tc>
          <w:tcPr>
            <w:tcW w:w="2877" w:type="dxa"/>
            <w:shd w:val="clear" w:color="auto" w:fill="FFFF00"/>
            <w:noWrap/>
            <w:hideMark/>
          </w:tcPr>
          <w:p w14:paraId="376DB800"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0738A614"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3FDD74BD" w14:textId="77777777" w:rsidTr="00E33858">
        <w:trPr>
          <w:trHeight w:val="252"/>
        </w:trPr>
        <w:tc>
          <w:tcPr>
            <w:tcW w:w="2876" w:type="dxa"/>
            <w:shd w:val="clear" w:color="auto" w:fill="FFFF00"/>
            <w:noWrap/>
            <w:hideMark/>
          </w:tcPr>
          <w:p w14:paraId="1DDDF8DA" w14:textId="77777777" w:rsidR="00E33858" w:rsidRPr="0059240B" w:rsidRDefault="00E33858" w:rsidP="00E33858">
            <w:pPr>
              <w:jc w:val="center"/>
              <w:rPr>
                <w:rFonts w:cs="Calibri"/>
                <w:color w:val="000000"/>
                <w:sz w:val="24"/>
                <w:szCs w:val="24"/>
              </w:rPr>
            </w:pPr>
            <w:r w:rsidRPr="0059240B">
              <w:rPr>
                <w:rFonts w:cs="Calibri"/>
                <w:color w:val="000000"/>
                <w:sz w:val="24"/>
                <w:szCs w:val="24"/>
              </w:rPr>
              <w:t>92</w:t>
            </w:r>
          </w:p>
        </w:tc>
        <w:tc>
          <w:tcPr>
            <w:tcW w:w="2877" w:type="dxa"/>
            <w:shd w:val="clear" w:color="auto" w:fill="FFFF00"/>
            <w:noWrap/>
            <w:hideMark/>
          </w:tcPr>
          <w:p w14:paraId="67A07CF7"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12E6EB4C"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45156C04" w14:textId="77777777" w:rsidTr="00E33858">
        <w:trPr>
          <w:trHeight w:val="252"/>
        </w:trPr>
        <w:tc>
          <w:tcPr>
            <w:tcW w:w="2876" w:type="dxa"/>
            <w:shd w:val="clear" w:color="auto" w:fill="FFFF00"/>
            <w:noWrap/>
            <w:hideMark/>
          </w:tcPr>
          <w:p w14:paraId="2DD43DFE" w14:textId="77777777" w:rsidR="00E33858" w:rsidRPr="0059240B" w:rsidRDefault="00E33858" w:rsidP="00E33858">
            <w:pPr>
              <w:jc w:val="center"/>
              <w:rPr>
                <w:rFonts w:cs="Calibri"/>
                <w:color w:val="000000"/>
                <w:sz w:val="24"/>
                <w:szCs w:val="24"/>
              </w:rPr>
            </w:pPr>
            <w:r w:rsidRPr="0059240B">
              <w:rPr>
                <w:rFonts w:cs="Calibri"/>
                <w:color w:val="000000"/>
                <w:sz w:val="24"/>
                <w:szCs w:val="24"/>
              </w:rPr>
              <w:t>93</w:t>
            </w:r>
          </w:p>
        </w:tc>
        <w:tc>
          <w:tcPr>
            <w:tcW w:w="2877" w:type="dxa"/>
            <w:shd w:val="clear" w:color="auto" w:fill="FFFF00"/>
            <w:noWrap/>
            <w:hideMark/>
          </w:tcPr>
          <w:p w14:paraId="425B101E"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3A861661"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75126FE5" w14:textId="77777777" w:rsidTr="00E33858">
        <w:trPr>
          <w:trHeight w:val="252"/>
        </w:trPr>
        <w:tc>
          <w:tcPr>
            <w:tcW w:w="2876" w:type="dxa"/>
            <w:shd w:val="clear" w:color="auto" w:fill="FFFF00"/>
            <w:noWrap/>
            <w:hideMark/>
          </w:tcPr>
          <w:p w14:paraId="61DDBB0E" w14:textId="77777777" w:rsidR="00E33858" w:rsidRPr="0059240B" w:rsidRDefault="00E33858" w:rsidP="00E33858">
            <w:pPr>
              <w:jc w:val="center"/>
              <w:rPr>
                <w:rFonts w:cs="Calibri"/>
                <w:color w:val="000000"/>
                <w:sz w:val="24"/>
                <w:szCs w:val="24"/>
              </w:rPr>
            </w:pPr>
            <w:r w:rsidRPr="0059240B">
              <w:rPr>
                <w:rFonts w:cs="Calibri"/>
                <w:color w:val="000000"/>
                <w:sz w:val="24"/>
                <w:szCs w:val="24"/>
              </w:rPr>
              <w:t>94</w:t>
            </w:r>
          </w:p>
        </w:tc>
        <w:tc>
          <w:tcPr>
            <w:tcW w:w="2877" w:type="dxa"/>
            <w:shd w:val="clear" w:color="auto" w:fill="FFFF00"/>
            <w:noWrap/>
            <w:hideMark/>
          </w:tcPr>
          <w:p w14:paraId="125DED9E"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38717E98"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7B54C07B" w14:textId="77777777" w:rsidTr="00E33858">
        <w:trPr>
          <w:trHeight w:val="252"/>
        </w:trPr>
        <w:tc>
          <w:tcPr>
            <w:tcW w:w="2876" w:type="dxa"/>
            <w:shd w:val="clear" w:color="auto" w:fill="FFFF00"/>
            <w:noWrap/>
            <w:hideMark/>
          </w:tcPr>
          <w:p w14:paraId="5F5BACDC" w14:textId="77777777" w:rsidR="00E33858" w:rsidRPr="0059240B" w:rsidRDefault="00E33858" w:rsidP="00E33858">
            <w:pPr>
              <w:jc w:val="center"/>
              <w:rPr>
                <w:rFonts w:cs="Calibri"/>
                <w:color w:val="000000"/>
                <w:sz w:val="24"/>
                <w:szCs w:val="24"/>
              </w:rPr>
            </w:pPr>
            <w:r w:rsidRPr="0059240B">
              <w:rPr>
                <w:rFonts w:cs="Calibri"/>
                <w:color w:val="000000"/>
                <w:sz w:val="24"/>
                <w:szCs w:val="24"/>
              </w:rPr>
              <w:t>95</w:t>
            </w:r>
          </w:p>
        </w:tc>
        <w:tc>
          <w:tcPr>
            <w:tcW w:w="2877" w:type="dxa"/>
            <w:shd w:val="clear" w:color="auto" w:fill="FFFF00"/>
            <w:noWrap/>
            <w:hideMark/>
          </w:tcPr>
          <w:p w14:paraId="5B0359C0"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c>
          <w:tcPr>
            <w:tcW w:w="2877" w:type="dxa"/>
            <w:shd w:val="clear" w:color="auto" w:fill="FFFF00"/>
            <w:noWrap/>
            <w:hideMark/>
          </w:tcPr>
          <w:p w14:paraId="2A96EED2" w14:textId="77777777" w:rsidR="00E33858" w:rsidRPr="0059240B" w:rsidRDefault="00E33858" w:rsidP="00E33858">
            <w:pPr>
              <w:jc w:val="center"/>
              <w:rPr>
                <w:rFonts w:cs="Calibri"/>
                <w:color w:val="000000"/>
                <w:sz w:val="24"/>
                <w:szCs w:val="24"/>
              </w:rPr>
            </w:pPr>
            <w:r w:rsidRPr="0059240B">
              <w:rPr>
                <w:rFonts w:cs="Calibri"/>
                <w:color w:val="000000"/>
                <w:sz w:val="24"/>
                <w:szCs w:val="24"/>
              </w:rPr>
              <w:t>110.0%</w:t>
            </w:r>
          </w:p>
        </w:tc>
      </w:tr>
      <w:tr w:rsidR="00E33858" w:rsidRPr="0059240B" w14:paraId="759E08DF" w14:textId="77777777" w:rsidTr="00E33858">
        <w:trPr>
          <w:trHeight w:val="252"/>
        </w:trPr>
        <w:tc>
          <w:tcPr>
            <w:tcW w:w="2876" w:type="dxa"/>
            <w:shd w:val="clear" w:color="auto" w:fill="FFFF00"/>
            <w:noWrap/>
            <w:hideMark/>
          </w:tcPr>
          <w:p w14:paraId="7D6938D9" w14:textId="77777777" w:rsidR="00E33858" w:rsidRPr="0059240B" w:rsidRDefault="00E33858" w:rsidP="00E33858">
            <w:pPr>
              <w:jc w:val="center"/>
              <w:rPr>
                <w:rFonts w:cs="Calibri"/>
                <w:color w:val="000000"/>
                <w:sz w:val="24"/>
                <w:szCs w:val="24"/>
              </w:rPr>
            </w:pPr>
            <w:r w:rsidRPr="0059240B">
              <w:rPr>
                <w:rFonts w:cs="Calibri"/>
                <w:color w:val="000000"/>
                <w:sz w:val="24"/>
                <w:szCs w:val="24"/>
              </w:rPr>
              <w:t>96</w:t>
            </w:r>
          </w:p>
        </w:tc>
        <w:tc>
          <w:tcPr>
            <w:tcW w:w="2877" w:type="dxa"/>
            <w:shd w:val="clear" w:color="auto" w:fill="FFFF00"/>
            <w:noWrap/>
            <w:hideMark/>
          </w:tcPr>
          <w:p w14:paraId="48B6DAF0" w14:textId="77777777" w:rsidR="00E33858" w:rsidRPr="0059240B" w:rsidRDefault="00E33858" w:rsidP="00E33858">
            <w:pPr>
              <w:jc w:val="center"/>
              <w:rPr>
                <w:rFonts w:cs="Calibri"/>
                <w:color w:val="000000"/>
                <w:sz w:val="24"/>
                <w:szCs w:val="24"/>
              </w:rPr>
            </w:pPr>
            <w:r w:rsidRPr="0059240B">
              <w:rPr>
                <w:rFonts w:cs="Calibri"/>
                <w:color w:val="000000"/>
                <w:sz w:val="24"/>
                <w:szCs w:val="24"/>
              </w:rPr>
              <w:t>109.0%</w:t>
            </w:r>
          </w:p>
        </w:tc>
        <w:tc>
          <w:tcPr>
            <w:tcW w:w="2877" w:type="dxa"/>
            <w:shd w:val="clear" w:color="auto" w:fill="FFFF00"/>
            <w:noWrap/>
            <w:hideMark/>
          </w:tcPr>
          <w:p w14:paraId="29F9F7A4" w14:textId="77777777" w:rsidR="00E33858" w:rsidRPr="0059240B" w:rsidRDefault="00E33858" w:rsidP="00E33858">
            <w:pPr>
              <w:jc w:val="center"/>
              <w:rPr>
                <w:rFonts w:cs="Calibri"/>
                <w:color w:val="000000"/>
                <w:sz w:val="24"/>
                <w:szCs w:val="24"/>
              </w:rPr>
            </w:pPr>
            <w:r w:rsidRPr="0059240B">
              <w:rPr>
                <w:rFonts w:cs="Calibri"/>
                <w:color w:val="000000"/>
                <w:sz w:val="24"/>
                <w:szCs w:val="24"/>
              </w:rPr>
              <w:t>109.0%</w:t>
            </w:r>
          </w:p>
        </w:tc>
      </w:tr>
      <w:tr w:rsidR="00E33858" w:rsidRPr="0059240B" w14:paraId="1B5A9699" w14:textId="77777777" w:rsidTr="00E33858">
        <w:trPr>
          <w:trHeight w:val="252"/>
        </w:trPr>
        <w:tc>
          <w:tcPr>
            <w:tcW w:w="2876" w:type="dxa"/>
            <w:shd w:val="clear" w:color="auto" w:fill="FFFF00"/>
            <w:noWrap/>
            <w:hideMark/>
          </w:tcPr>
          <w:p w14:paraId="4AC738FD" w14:textId="77777777" w:rsidR="00E33858" w:rsidRPr="0059240B" w:rsidRDefault="00E33858" w:rsidP="00E33858">
            <w:pPr>
              <w:jc w:val="center"/>
              <w:rPr>
                <w:rFonts w:cs="Calibri"/>
                <w:color w:val="000000"/>
                <w:sz w:val="24"/>
                <w:szCs w:val="24"/>
              </w:rPr>
            </w:pPr>
            <w:r w:rsidRPr="0059240B">
              <w:rPr>
                <w:rFonts w:cs="Calibri"/>
                <w:color w:val="000000"/>
                <w:sz w:val="24"/>
                <w:szCs w:val="24"/>
              </w:rPr>
              <w:t>97</w:t>
            </w:r>
          </w:p>
        </w:tc>
        <w:tc>
          <w:tcPr>
            <w:tcW w:w="2877" w:type="dxa"/>
            <w:shd w:val="clear" w:color="auto" w:fill="FFFF00"/>
            <w:noWrap/>
            <w:hideMark/>
          </w:tcPr>
          <w:p w14:paraId="57E223FD" w14:textId="77777777" w:rsidR="00E33858" w:rsidRPr="0059240B" w:rsidRDefault="00E33858" w:rsidP="00E33858">
            <w:pPr>
              <w:jc w:val="center"/>
              <w:rPr>
                <w:rFonts w:cs="Calibri"/>
                <w:color w:val="000000"/>
                <w:sz w:val="24"/>
                <w:szCs w:val="24"/>
              </w:rPr>
            </w:pPr>
            <w:r w:rsidRPr="0059240B">
              <w:rPr>
                <w:rFonts w:cs="Calibri"/>
                <w:color w:val="000000"/>
                <w:sz w:val="24"/>
                <w:szCs w:val="24"/>
              </w:rPr>
              <w:t>108.0%</w:t>
            </w:r>
          </w:p>
        </w:tc>
        <w:tc>
          <w:tcPr>
            <w:tcW w:w="2877" w:type="dxa"/>
            <w:shd w:val="clear" w:color="auto" w:fill="FFFF00"/>
            <w:noWrap/>
            <w:hideMark/>
          </w:tcPr>
          <w:p w14:paraId="198B9833" w14:textId="77777777" w:rsidR="00E33858" w:rsidRPr="0059240B" w:rsidRDefault="00E33858" w:rsidP="00E33858">
            <w:pPr>
              <w:jc w:val="center"/>
              <w:rPr>
                <w:rFonts w:cs="Calibri"/>
                <w:color w:val="000000"/>
                <w:sz w:val="24"/>
                <w:szCs w:val="24"/>
              </w:rPr>
            </w:pPr>
            <w:r w:rsidRPr="0059240B">
              <w:rPr>
                <w:rFonts w:cs="Calibri"/>
                <w:color w:val="000000"/>
                <w:sz w:val="24"/>
                <w:szCs w:val="24"/>
              </w:rPr>
              <w:t>108.0%</w:t>
            </w:r>
          </w:p>
        </w:tc>
      </w:tr>
      <w:tr w:rsidR="00E33858" w:rsidRPr="0059240B" w14:paraId="45212EDB" w14:textId="77777777" w:rsidTr="00E33858">
        <w:trPr>
          <w:trHeight w:val="252"/>
        </w:trPr>
        <w:tc>
          <w:tcPr>
            <w:tcW w:w="2876" w:type="dxa"/>
            <w:shd w:val="clear" w:color="auto" w:fill="FFFF00"/>
            <w:noWrap/>
            <w:hideMark/>
          </w:tcPr>
          <w:p w14:paraId="7D503CA7" w14:textId="77777777" w:rsidR="00E33858" w:rsidRPr="0059240B" w:rsidRDefault="00E33858" w:rsidP="00E33858">
            <w:pPr>
              <w:jc w:val="center"/>
              <w:rPr>
                <w:rFonts w:cs="Calibri"/>
                <w:color w:val="000000"/>
                <w:sz w:val="24"/>
                <w:szCs w:val="24"/>
              </w:rPr>
            </w:pPr>
            <w:r w:rsidRPr="0059240B">
              <w:rPr>
                <w:rFonts w:cs="Calibri"/>
                <w:color w:val="000000"/>
                <w:sz w:val="24"/>
                <w:szCs w:val="24"/>
              </w:rPr>
              <w:t>98</w:t>
            </w:r>
          </w:p>
        </w:tc>
        <w:tc>
          <w:tcPr>
            <w:tcW w:w="2877" w:type="dxa"/>
            <w:shd w:val="clear" w:color="auto" w:fill="FFFF00"/>
            <w:noWrap/>
            <w:hideMark/>
          </w:tcPr>
          <w:p w14:paraId="0A33C10A" w14:textId="77777777" w:rsidR="00E33858" w:rsidRPr="0059240B" w:rsidRDefault="00E33858" w:rsidP="00E33858">
            <w:pPr>
              <w:jc w:val="center"/>
              <w:rPr>
                <w:rFonts w:cs="Calibri"/>
                <w:color w:val="000000"/>
                <w:sz w:val="24"/>
                <w:szCs w:val="24"/>
              </w:rPr>
            </w:pPr>
            <w:r w:rsidRPr="0059240B">
              <w:rPr>
                <w:rFonts w:cs="Calibri"/>
                <w:color w:val="000000"/>
                <w:sz w:val="24"/>
                <w:szCs w:val="24"/>
              </w:rPr>
              <w:t>107.0%</w:t>
            </w:r>
          </w:p>
        </w:tc>
        <w:tc>
          <w:tcPr>
            <w:tcW w:w="2877" w:type="dxa"/>
            <w:shd w:val="clear" w:color="auto" w:fill="FFFF00"/>
            <w:noWrap/>
            <w:hideMark/>
          </w:tcPr>
          <w:p w14:paraId="7E816589" w14:textId="77777777" w:rsidR="00E33858" w:rsidRPr="0059240B" w:rsidRDefault="00E33858" w:rsidP="00E33858">
            <w:pPr>
              <w:jc w:val="center"/>
              <w:rPr>
                <w:rFonts w:cs="Calibri"/>
                <w:color w:val="000000"/>
                <w:sz w:val="24"/>
                <w:szCs w:val="24"/>
              </w:rPr>
            </w:pPr>
            <w:r w:rsidRPr="0059240B">
              <w:rPr>
                <w:rFonts w:cs="Calibri"/>
                <w:color w:val="000000"/>
                <w:sz w:val="24"/>
                <w:szCs w:val="24"/>
              </w:rPr>
              <w:t>107.0%</w:t>
            </w:r>
          </w:p>
        </w:tc>
      </w:tr>
      <w:tr w:rsidR="00E33858" w:rsidRPr="0059240B" w14:paraId="632E6E2B" w14:textId="77777777" w:rsidTr="00E33858">
        <w:trPr>
          <w:trHeight w:val="252"/>
        </w:trPr>
        <w:tc>
          <w:tcPr>
            <w:tcW w:w="2876" w:type="dxa"/>
            <w:shd w:val="clear" w:color="auto" w:fill="FFFF00"/>
            <w:noWrap/>
            <w:hideMark/>
          </w:tcPr>
          <w:p w14:paraId="250F6B97" w14:textId="77777777" w:rsidR="00E33858" w:rsidRPr="0059240B" w:rsidRDefault="00E33858" w:rsidP="00E33858">
            <w:pPr>
              <w:jc w:val="center"/>
              <w:rPr>
                <w:rFonts w:cs="Calibri"/>
                <w:color w:val="000000"/>
                <w:sz w:val="24"/>
                <w:szCs w:val="24"/>
              </w:rPr>
            </w:pPr>
            <w:r w:rsidRPr="0059240B">
              <w:rPr>
                <w:rFonts w:cs="Calibri"/>
                <w:color w:val="000000"/>
                <w:sz w:val="24"/>
                <w:szCs w:val="24"/>
              </w:rPr>
              <w:t>99</w:t>
            </w:r>
          </w:p>
        </w:tc>
        <w:tc>
          <w:tcPr>
            <w:tcW w:w="2877" w:type="dxa"/>
            <w:shd w:val="clear" w:color="auto" w:fill="FFFF00"/>
            <w:noWrap/>
            <w:hideMark/>
          </w:tcPr>
          <w:p w14:paraId="5B9F4623" w14:textId="77777777" w:rsidR="00E33858" w:rsidRPr="0059240B" w:rsidRDefault="00E33858" w:rsidP="00E33858">
            <w:pPr>
              <w:jc w:val="center"/>
              <w:rPr>
                <w:rFonts w:cs="Calibri"/>
                <w:color w:val="000000"/>
                <w:sz w:val="24"/>
                <w:szCs w:val="24"/>
              </w:rPr>
            </w:pPr>
            <w:r w:rsidRPr="0059240B">
              <w:rPr>
                <w:rFonts w:cs="Calibri"/>
                <w:color w:val="000000"/>
                <w:sz w:val="24"/>
                <w:szCs w:val="24"/>
              </w:rPr>
              <w:t>106.0%</w:t>
            </w:r>
          </w:p>
        </w:tc>
        <w:tc>
          <w:tcPr>
            <w:tcW w:w="2877" w:type="dxa"/>
            <w:shd w:val="clear" w:color="auto" w:fill="FFFF00"/>
            <w:noWrap/>
            <w:hideMark/>
          </w:tcPr>
          <w:p w14:paraId="08529518" w14:textId="77777777" w:rsidR="00E33858" w:rsidRPr="0059240B" w:rsidRDefault="00E33858" w:rsidP="00E33858">
            <w:pPr>
              <w:jc w:val="center"/>
              <w:rPr>
                <w:rFonts w:cs="Calibri"/>
                <w:color w:val="000000"/>
                <w:sz w:val="24"/>
                <w:szCs w:val="24"/>
              </w:rPr>
            </w:pPr>
            <w:r w:rsidRPr="0059240B">
              <w:rPr>
                <w:rFonts w:cs="Calibri"/>
                <w:color w:val="000000"/>
                <w:sz w:val="24"/>
                <w:szCs w:val="24"/>
              </w:rPr>
              <w:t>106.0%</w:t>
            </w:r>
          </w:p>
        </w:tc>
      </w:tr>
      <w:tr w:rsidR="00E33858" w:rsidRPr="0059240B" w14:paraId="0C958252" w14:textId="77777777" w:rsidTr="00E33858">
        <w:trPr>
          <w:trHeight w:val="252"/>
        </w:trPr>
        <w:tc>
          <w:tcPr>
            <w:tcW w:w="2876" w:type="dxa"/>
            <w:shd w:val="clear" w:color="auto" w:fill="FFFF00"/>
            <w:noWrap/>
            <w:hideMark/>
          </w:tcPr>
          <w:p w14:paraId="07454729" w14:textId="77777777" w:rsidR="00E33858" w:rsidRPr="0059240B" w:rsidRDefault="00E33858" w:rsidP="00E33858">
            <w:pPr>
              <w:jc w:val="center"/>
              <w:rPr>
                <w:rFonts w:cs="Calibri"/>
                <w:color w:val="000000"/>
                <w:sz w:val="24"/>
                <w:szCs w:val="24"/>
              </w:rPr>
            </w:pPr>
            <w:r w:rsidRPr="0059240B">
              <w:rPr>
                <w:rFonts w:cs="Calibri"/>
                <w:color w:val="000000"/>
                <w:sz w:val="24"/>
                <w:szCs w:val="24"/>
              </w:rPr>
              <w:t>100</w:t>
            </w:r>
          </w:p>
        </w:tc>
        <w:tc>
          <w:tcPr>
            <w:tcW w:w="2877" w:type="dxa"/>
            <w:shd w:val="clear" w:color="auto" w:fill="FFFF00"/>
            <w:noWrap/>
            <w:hideMark/>
          </w:tcPr>
          <w:p w14:paraId="07C793B7" w14:textId="77777777" w:rsidR="00E33858" w:rsidRPr="0059240B" w:rsidRDefault="00E33858" w:rsidP="00E33858">
            <w:pPr>
              <w:jc w:val="center"/>
              <w:rPr>
                <w:rFonts w:cs="Calibri"/>
                <w:color w:val="FF0000"/>
                <w:sz w:val="24"/>
                <w:szCs w:val="24"/>
              </w:rPr>
            </w:pPr>
            <w:r w:rsidRPr="0059240B">
              <w:rPr>
                <w:rFonts w:cs="Calibri"/>
                <w:color w:val="FF0000"/>
                <w:sz w:val="24"/>
                <w:szCs w:val="24"/>
              </w:rPr>
              <w:t>105.0%</w:t>
            </w:r>
          </w:p>
        </w:tc>
        <w:tc>
          <w:tcPr>
            <w:tcW w:w="2877" w:type="dxa"/>
            <w:shd w:val="clear" w:color="auto" w:fill="FFFF00"/>
            <w:noWrap/>
            <w:hideMark/>
          </w:tcPr>
          <w:p w14:paraId="0E7A8037" w14:textId="77777777" w:rsidR="00E33858" w:rsidRPr="0059240B" w:rsidRDefault="00E33858" w:rsidP="00E33858">
            <w:pPr>
              <w:jc w:val="center"/>
              <w:rPr>
                <w:rFonts w:cs="Calibri"/>
                <w:color w:val="FF0000"/>
                <w:sz w:val="24"/>
                <w:szCs w:val="24"/>
              </w:rPr>
            </w:pPr>
            <w:r w:rsidRPr="0059240B">
              <w:rPr>
                <w:rFonts w:cs="Calibri"/>
                <w:color w:val="FF0000"/>
                <w:sz w:val="24"/>
                <w:szCs w:val="24"/>
              </w:rPr>
              <w:t>105.0%</w:t>
            </w:r>
          </w:p>
        </w:tc>
      </w:tr>
      <w:tr w:rsidR="00E33858" w:rsidRPr="0059240B" w14:paraId="3B794C3E" w14:textId="77777777" w:rsidTr="00E33858">
        <w:trPr>
          <w:trHeight w:val="252"/>
        </w:trPr>
        <w:tc>
          <w:tcPr>
            <w:tcW w:w="2876" w:type="dxa"/>
            <w:shd w:val="clear" w:color="auto" w:fill="FFFF00"/>
            <w:noWrap/>
            <w:hideMark/>
          </w:tcPr>
          <w:p w14:paraId="5EB52A13" w14:textId="77777777" w:rsidR="00E33858" w:rsidRPr="0059240B" w:rsidRDefault="00E33858" w:rsidP="00E33858">
            <w:pPr>
              <w:jc w:val="center"/>
              <w:rPr>
                <w:rFonts w:cs="Calibri"/>
                <w:color w:val="000000"/>
                <w:sz w:val="24"/>
                <w:szCs w:val="24"/>
              </w:rPr>
            </w:pPr>
            <w:r w:rsidRPr="0059240B">
              <w:rPr>
                <w:rFonts w:cs="Calibri"/>
                <w:color w:val="000000"/>
                <w:sz w:val="24"/>
                <w:szCs w:val="24"/>
              </w:rPr>
              <w:t>101</w:t>
            </w:r>
          </w:p>
        </w:tc>
        <w:tc>
          <w:tcPr>
            <w:tcW w:w="2877" w:type="dxa"/>
            <w:shd w:val="clear" w:color="auto" w:fill="FFFF00"/>
            <w:noWrap/>
            <w:hideMark/>
          </w:tcPr>
          <w:p w14:paraId="671C1422" w14:textId="77777777" w:rsidR="00E33858" w:rsidRPr="0059240B" w:rsidRDefault="00E33858" w:rsidP="00E33858">
            <w:pPr>
              <w:jc w:val="center"/>
              <w:rPr>
                <w:rFonts w:cs="Calibri"/>
                <w:color w:val="000000"/>
                <w:sz w:val="24"/>
                <w:szCs w:val="24"/>
              </w:rPr>
            </w:pPr>
            <w:r w:rsidRPr="0059240B">
              <w:rPr>
                <w:rFonts w:cs="Calibri"/>
                <w:color w:val="000000"/>
                <w:sz w:val="24"/>
                <w:szCs w:val="24"/>
              </w:rPr>
              <w:t>104.0%</w:t>
            </w:r>
          </w:p>
        </w:tc>
        <w:tc>
          <w:tcPr>
            <w:tcW w:w="2877" w:type="dxa"/>
            <w:shd w:val="clear" w:color="auto" w:fill="FFFF00"/>
            <w:noWrap/>
            <w:hideMark/>
          </w:tcPr>
          <w:p w14:paraId="3B3D5882" w14:textId="77777777" w:rsidR="00E33858" w:rsidRPr="0059240B" w:rsidRDefault="00E33858" w:rsidP="00E33858">
            <w:pPr>
              <w:jc w:val="center"/>
              <w:rPr>
                <w:rFonts w:cs="Calibri"/>
                <w:color w:val="000000"/>
                <w:sz w:val="24"/>
                <w:szCs w:val="24"/>
              </w:rPr>
            </w:pPr>
            <w:r w:rsidRPr="0059240B">
              <w:rPr>
                <w:rFonts w:cs="Calibri"/>
                <w:color w:val="000000"/>
                <w:sz w:val="24"/>
                <w:szCs w:val="24"/>
              </w:rPr>
              <w:t>104.0%</w:t>
            </w:r>
          </w:p>
        </w:tc>
      </w:tr>
      <w:tr w:rsidR="00E33858" w:rsidRPr="0059240B" w14:paraId="7614CF84" w14:textId="77777777" w:rsidTr="00E33858">
        <w:trPr>
          <w:trHeight w:val="252"/>
        </w:trPr>
        <w:tc>
          <w:tcPr>
            <w:tcW w:w="2876" w:type="dxa"/>
            <w:shd w:val="clear" w:color="auto" w:fill="FFFF00"/>
            <w:noWrap/>
            <w:hideMark/>
          </w:tcPr>
          <w:p w14:paraId="376EB845" w14:textId="77777777" w:rsidR="00E33858" w:rsidRPr="0059240B" w:rsidRDefault="00E33858" w:rsidP="00E33858">
            <w:pPr>
              <w:jc w:val="center"/>
              <w:rPr>
                <w:rFonts w:cs="Calibri"/>
                <w:color w:val="000000"/>
                <w:sz w:val="24"/>
                <w:szCs w:val="24"/>
              </w:rPr>
            </w:pPr>
            <w:r w:rsidRPr="0059240B">
              <w:rPr>
                <w:rFonts w:cs="Calibri"/>
                <w:color w:val="000000"/>
                <w:sz w:val="24"/>
                <w:szCs w:val="24"/>
              </w:rPr>
              <w:t>102</w:t>
            </w:r>
          </w:p>
        </w:tc>
        <w:tc>
          <w:tcPr>
            <w:tcW w:w="2877" w:type="dxa"/>
            <w:shd w:val="clear" w:color="auto" w:fill="FFFF00"/>
            <w:noWrap/>
            <w:hideMark/>
          </w:tcPr>
          <w:p w14:paraId="2DA00F6D" w14:textId="77777777" w:rsidR="00E33858" w:rsidRPr="0059240B" w:rsidRDefault="00E33858" w:rsidP="00E33858">
            <w:pPr>
              <w:jc w:val="center"/>
              <w:rPr>
                <w:rFonts w:cs="Calibri"/>
                <w:color w:val="000000"/>
                <w:sz w:val="24"/>
                <w:szCs w:val="24"/>
              </w:rPr>
            </w:pPr>
            <w:r w:rsidRPr="0059240B">
              <w:rPr>
                <w:rFonts w:cs="Calibri"/>
                <w:color w:val="000000"/>
                <w:sz w:val="24"/>
                <w:szCs w:val="24"/>
              </w:rPr>
              <w:t>103.0%</w:t>
            </w:r>
          </w:p>
        </w:tc>
        <w:tc>
          <w:tcPr>
            <w:tcW w:w="2877" w:type="dxa"/>
            <w:shd w:val="clear" w:color="auto" w:fill="FFFF00"/>
            <w:noWrap/>
            <w:hideMark/>
          </w:tcPr>
          <w:p w14:paraId="707C92B3" w14:textId="77777777" w:rsidR="00E33858" w:rsidRPr="0059240B" w:rsidRDefault="00E33858" w:rsidP="00E33858">
            <w:pPr>
              <w:jc w:val="center"/>
              <w:rPr>
                <w:rFonts w:cs="Calibri"/>
                <w:color w:val="000000"/>
                <w:sz w:val="24"/>
                <w:szCs w:val="24"/>
              </w:rPr>
            </w:pPr>
            <w:r w:rsidRPr="0059240B">
              <w:rPr>
                <w:rFonts w:cs="Calibri"/>
                <w:color w:val="000000"/>
                <w:sz w:val="24"/>
                <w:szCs w:val="24"/>
              </w:rPr>
              <w:t>103.0%</w:t>
            </w:r>
          </w:p>
        </w:tc>
      </w:tr>
      <w:tr w:rsidR="00E33858" w:rsidRPr="0059240B" w14:paraId="6A8C1E3A" w14:textId="77777777" w:rsidTr="00E33858">
        <w:trPr>
          <w:trHeight w:val="252"/>
        </w:trPr>
        <w:tc>
          <w:tcPr>
            <w:tcW w:w="2876" w:type="dxa"/>
            <w:shd w:val="clear" w:color="auto" w:fill="FFFF00"/>
            <w:noWrap/>
            <w:hideMark/>
          </w:tcPr>
          <w:p w14:paraId="1769E9C6" w14:textId="77777777" w:rsidR="00E33858" w:rsidRPr="0059240B" w:rsidRDefault="00E33858" w:rsidP="00E33858">
            <w:pPr>
              <w:jc w:val="center"/>
              <w:rPr>
                <w:rFonts w:cs="Calibri"/>
                <w:color w:val="000000"/>
                <w:sz w:val="24"/>
                <w:szCs w:val="24"/>
              </w:rPr>
            </w:pPr>
            <w:r w:rsidRPr="0059240B">
              <w:rPr>
                <w:rFonts w:cs="Calibri"/>
                <w:color w:val="000000"/>
                <w:sz w:val="24"/>
                <w:szCs w:val="24"/>
              </w:rPr>
              <w:t>103</w:t>
            </w:r>
          </w:p>
        </w:tc>
        <w:tc>
          <w:tcPr>
            <w:tcW w:w="2877" w:type="dxa"/>
            <w:shd w:val="clear" w:color="auto" w:fill="FFFF00"/>
            <w:noWrap/>
            <w:hideMark/>
          </w:tcPr>
          <w:p w14:paraId="553A1D48" w14:textId="77777777" w:rsidR="00E33858" w:rsidRPr="0059240B" w:rsidRDefault="00E33858" w:rsidP="00E33858">
            <w:pPr>
              <w:jc w:val="center"/>
              <w:rPr>
                <w:rFonts w:cs="Calibri"/>
                <w:color w:val="000000"/>
                <w:sz w:val="24"/>
                <w:szCs w:val="24"/>
              </w:rPr>
            </w:pPr>
            <w:r w:rsidRPr="0059240B">
              <w:rPr>
                <w:rFonts w:cs="Calibri"/>
                <w:color w:val="000000"/>
                <w:sz w:val="24"/>
                <w:szCs w:val="24"/>
              </w:rPr>
              <w:t>102.0%</w:t>
            </w:r>
          </w:p>
        </w:tc>
        <w:tc>
          <w:tcPr>
            <w:tcW w:w="2877" w:type="dxa"/>
            <w:shd w:val="clear" w:color="auto" w:fill="FFFF00"/>
            <w:noWrap/>
            <w:hideMark/>
          </w:tcPr>
          <w:p w14:paraId="31823085" w14:textId="77777777" w:rsidR="00E33858" w:rsidRPr="0059240B" w:rsidRDefault="00E33858" w:rsidP="00E33858">
            <w:pPr>
              <w:jc w:val="center"/>
              <w:rPr>
                <w:rFonts w:cs="Calibri"/>
                <w:color w:val="000000"/>
                <w:sz w:val="24"/>
                <w:szCs w:val="24"/>
              </w:rPr>
            </w:pPr>
            <w:r w:rsidRPr="0059240B">
              <w:rPr>
                <w:rFonts w:cs="Calibri"/>
                <w:color w:val="000000"/>
                <w:sz w:val="24"/>
                <w:szCs w:val="24"/>
              </w:rPr>
              <w:t>102.0%</w:t>
            </w:r>
          </w:p>
        </w:tc>
      </w:tr>
      <w:tr w:rsidR="00E33858" w:rsidRPr="0059240B" w14:paraId="6B0329AE" w14:textId="77777777" w:rsidTr="00E33858">
        <w:trPr>
          <w:trHeight w:val="252"/>
        </w:trPr>
        <w:tc>
          <w:tcPr>
            <w:tcW w:w="2876" w:type="dxa"/>
            <w:shd w:val="clear" w:color="auto" w:fill="FFFF00"/>
            <w:noWrap/>
            <w:hideMark/>
          </w:tcPr>
          <w:p w14:paraId="1C7094F4" w14:textId="77777777" w:rsidR="00E33858" w:rsidRPr="0059240B" w:rsidRDefault="00E33858" w:rsidP="00E33858">
            <w:pPr>
              <w:jc w:val="center"/>
              <w:rPr>
                <w:rFonts w:cs="Calibri"/>
                <w:color w:val="000000"/>
                <w:sz w:val="24"/>
                <w:szCs w:val="24"/>
              </w:rPr>
            </w:pPr>
            <w:r w:rsidRPr="0059240B">
              <w:rPr>
                <w:rFonts w:cs="Calibri"/>
                <w:color w:val="000000"/>
                <w:sz w:val="24"/>
                <w:szCs w:val="24"/>
              </w:rPr>
              <w:t>104</w:t>
            </w:r>
          </w:p>
        </w:tc>
        <w:tc>
          <w:tcPr>
            <w:tcW w:w="2877" w:type="dxa"/>
            <w:shd w:val="clear" w:color="auto" w:fill="FFFF00"/>
            <w:noWrap/>
            <w:hideMark/>
          </w:tcPr>
          <w:p w14:paraId="260F0E1D" w14:textId="77777777" w:rsidR="00E33858" w:rsidRPr="0059240B" w:rsidRDefault="00E33858" w:rsidP="00E33858">
            <w:pPr>
              <w:jc w:val="center"/>
              <w:rPr>
                <w:rFonts w:cs="Calibri"/>
                <w:color w:val="000000"/>
                <w:sz w:val="24"/>
                <w:szCs w:val="24"/>
              </w:rPr>
            </w:pPr>
            <w:r w:rsidRPr="0059240B">
              <w:rPr>
                <w:rFonts w:cs="Calibri"/>
                <w:color w:val="000000"/>
                <w:sz w:val="24"/>
                <w:szCs w:val="24"/>
              </w:rPr>
              <w:t>101.0%</w:t>
            </w:r>
          </w:p>
        </w:tc>
        <w:tc>
          <w:tcPr>
            <w:tcW w:w="2877" w:type="dxa"/>
            <w:shd w:val="clear" w:color="auto" w:fill="FFFF00"/>
            <w:noWrap/>
            <w:hideMark/>
          </w:tcPr>
          <w:p w14:paraId="2A9D2E3A" w14:textId="77777777" w:rsidR="00E33858" w:rsidRPr="0059240B" w:rsidRDefault="00E33858" w:rsidP="00E33858">
            <w:pPr>
              <w:jc w:val="center"/>
              <w:rPr>
                <w:rFonts w:cs="Calibri"/>
                <w:color w:val="000000"/>
                <w:sz w:val="24"/>
                <w:szCs w:val="24"/>
              </w:rPr>
            </w:pPr>
            <w:r w:rsidRPr="0059240B">
              <w:rPr>
                <w:rFonts w:cs="Calibri"/>
                <w:color w:val="000000"/>
                <w:sz w:val="24"/>
                <w:szCs w:val="24"/>
              </w:rPr>
              <w:t>101.0%</w:t>
            </w:r>
          </w:p>
        </w:tc>
      </w:tr>
      <w:tr w:rsidR="00E33858" w:rsidRPr="0059240B" w14:paraId="2FF81F67" w14:textId="77777777" w:rsidTr="00E33858">
        <w:trPr>
          <w:trHeight w:val="252"/>
        </w:trPr>
        <w:tc>
          <w:tcPr>
            <w:tcW w:w="2876" w:type="dxa"/>
            <w:shd w:val="clear" w:color="auto" w:fill="FFFF00"/>
            <w:noWrap/>
            <w:hideMark/>
          </w:tcPr>
          <w:p w14:paraId="7362E468" w14:textId="77777777" w:rsidR="00E33858" w:rsidRPr="0059240B" w:rsidRDefault="00E33858" w:rsidP="00E33858">
            <w:pPr>
              <w:jc w:val="center"/>
              <w:rPr>
                <w:rFonts w:cs="Calibri"/>
                <w:color w:val="000000"/>
                <w:sz w:val="24"/>
                <w:szCs w:val="24"/>
              </w:rPr>
            </w:pPr>
            <w:r w:rsidRPr="0059240B">
              <w:rPr>
                <w:rFonts w:cs="Calibri"/>
                <w:color w:val="000000"/>
                <w:sz w:val="24"/>
                <w:szCs w:val="24"/>
              </w:rPr>
              <w:t>&gt;=105</w:t>
            </w:r>
          </w:p>
        </w:tc>
        <w:tc>
          <w:tcPr>
            <w:tcW w:w="2877" w:type="dxa"/>
            <w:shd w:val="clear" w:color="auto" w:fill="FFFF00"/>
            <w:noWrap/>
            <w:hideMark/>
          </w:tcPr>
          <w:p w14:paraId="33E14EB6" w14:textId="77777777" w:rsidR="00E33858" w:rsidRPr="0059240B" w:rsidRDefault="00E33858" w:rsidP="00E33858">
            <w:pPr>
              <w:jc w:val="center"/>
              <w:rPr>
                <w:rFonts w:cs="Calibri"/>
                <w:color w:val="FF0000"/>
                <w:sz w:val="24"/>
                <w:szCs w:val="24"/>
              </w:rPr>
            </w:pPr>
            <w:r w:rsidRPr="0059240B">
              <w:rPr>
                <w:rFonts w:cs="Calibri"/>
                <w:color w:val="FF0000"/>
                <w:sz w:val="24"/>
                <w:szCs w:val="24"/>
              </w:rPr>
              <w:t>100.0%</w:t>
            </w:r>
          </w:p>
        </w:tc>
        <w:tc>
          <w:tcPr>
            <w:tcW w:w="2877" w:type="dxa"/>
            <w:shd w:val="clear" w:color="auto" w:fill="FFFF00"/>
            <w:noWrap/>
            <w:hideMark/>
          </w:tcPr>
          <w:p w14:paraId="6595695E" w14:textId="77777777" w:rsidR="00E33858" w:rsidRPr="0059240B" w:rsidRDefault="00E33858" w:rsidP="00E33858">
            <w:pPr>
              <w:jc w:val="center"/>
              <w:rPr>
                <w:rFonts w:cs="Calibri"/>
                <w:color w:val="FF0000"/>
                <w:sz w:val="24"/>
                <w:szCs w:val="24"/>
              </w:rPr>
            </w:pPr>
            <w:r w:rsidRPr="0059240B">
              <w:rPr>
                <w:rFonts w:cs="Calibri"/>
                <w:color w:val="FF0000"/>
                <w:sz w:val="24"/>
                <w:szCs w:val="24"/>
              </w:rPr>
              <w:t>100.0%</w:t>
            </w:r>
          </w:p>
        </w:tc>
      </w:tr>
    </w:tbl>
    <w:p w14:paraId="5CD98D9B" w14:textId="77777777" w:rsidR="00E33858" w:rsidRPr="0059240B" w:rsidRDefault="00E33858" w:rsidP="00E33858">
      <w:pPr>
        <w:spacing w:after="220" w:line="240" w:lineRule="auto"/>
        <w:rPr>
          <w:rFonts w:ascii="Times New Roman" w:eastAsia="Times New Roman" w:hAnsi="Times New Roman"/>
          <w:color w:val="FF0000"/>
        </w:rPr>
      </w:pPr>
    </w:p>
    <w:p w14:paraId="5225A301" w14:textId="77777777" w:rsidR="00E33858" w:rsidRPr="0059240B" w:rsidRDefault="00E33858" w:rsidP="000E04EA">
      <w:pPr>
        <w:spacing w:after="220" w:line="240" w:lineRule="auto"/>
        <w:ind w:left="1440"/>
        <w:rPr>
          <w:rFonts w:ascii="Times New Roman" w:eastAsia="Times New Roman" w:hAnsi="Times New Roman"/>
        </w:rPr>
      </w:pPr>
    </w:p>
    <w:p w14:paraId="6E6B762D"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Additional Considerations Involving Data</w:t>
      </w:r>
    </w:p>
    <w:p w14:paraId="2BA19F8C" w14:textId="67A7CA4E"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The following considerations shall apply to mortality data specific to the business segment for which assumptions are being determined (i.e., direct data discussed in Section </w:t>
      </w:r>
      <w:r w:rsidR="00C82945" w:rsidRPr="0059240B">
        <w:rPr>
          <w:rFonts w:ascii="Times New Roman" w:eastAsia="Times New Roman" w:hAnsi="Times New Roman"/>
        </w:rPr>
        <w:t>11.</w:t>
      </w:r>
      <w:r w:rsidRPr="0059240B">
        <w:rPr>
          <w:rFonts w:ascii="Times New Roman" w:eastAsia="Times New Roman" w:hAnsi="Times New Roman"/>
        </w:rPr>
        <w:t xml:space="preserve">B.1 or other than direct data discussed in Section </w:t>
      </w:r>
      <w:r w:rsidR="00C82945" w:rsidRPr="0059240B">
        <w:rPr>
          <w:rFonts w:ascii="Times New Roman" w:eastAsia="Times New Roman" w:hAnsi="Times New Roman"/>
        </w:rPr>
        <w:t>11.</w:t>
      </w:r>
      <w:r w:rsidRPr="0059240B">
        <w:rPr>
          <w:rFonts w:ascii="Times New Roman" w:eastAsia="Times New Roman" w:hAnsi="Times New Roman"/>
        </w:rPr>
        <w:t>B.2).</w:t>
      </w:r>
    </w:p>
    <w:p w14:paraId="727299CB"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Underreporting of Deaths</w:t>
      </w:r>
    </w:p>
    <w:p w14:paraId="3182FC14" w14:textId="77777777" w:rsidR="003129FE" w:rsidRPr="0059240B" w:rsidRDefault="003129FE" w:rsidP="000E04EA">
      <w:pPr>
        <w:spacing w:after="220" w:line="240" w:lineRule="auto"/>
        <w:ind w:left="2160"/>
        <w:rPr>
          <w:rFonts w:ascii="Times New Roman" w:eastAsia="Times New Roman" w:hAnsi="Times New Roman"/>
        </w:rPr>
      </w:pPr>
      <w:r w:rsidRPr="0059240B">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090D6482"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Experience by Contract Duration</w:t>
      </w:r>
    </w:p>
    <w:p w14:paraId="61D58F83" w14:textId="5461C576" w:rsidR="003129FE" w:rsidRPr="0059240B" w:rsidRDefault="003129FE" w:rsidP="000E04EA">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company shall assume that expected mortality will increase by contract duration for an </w:t>
      </w:r>
      <w:r w:rsidRPr="0059240B">
        <w:rPr>
          <w:rFonts w:ascii="Times New Roman" w:eastAsia="Times New Roman" w:hAnsi="Times New Roman"/>
        </w:rPr>
        <w:lastRenderedPageBreak/>
        <w:t>appropriate select period. As an alternative, if the company determines that mortality is affected by selection, the company could apply margins to the expected mortality in such a way that the actual mortality modeled does not depend on contract duration.</w:t>
      </w:r>
    </w:p>
    <w:p w14:paraId="58EF8EF2"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Modification and Relevance of Data</w:t>
      </w:r>
    </w:p>
    <w:p w14:paraId="794BCB81" w14:textId="683C5F92" w:rsidR="003129FE" w:rsidRPr="0059240B" w:rsidRDefault="003129FE" w:rsidP="000E04EA">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6BCAFBC9" w14:textId="6AA3BEE1" w:rsidR="003129FE" w:rsidRPr="0059240B" w:rsidRDefault="003129FE" w:rsidP="000E04EA">
      <w:pPr>
        <w:spacing w:after="220" w:line="240" w:lineRule="auto"/>
        <w:ind w:left="2160"/>
        <w:rPr>
          <w:rFonts w:ascii="Times New Roman" w:eastAsia="Times New Roman" w:hAnsi="Times New Roman"/>
        </w:rPr>
      </w:pPr>
      <w:r w:rsidRPr="0059240B">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652A4BD2"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Other Considerations</w:t>
      </w:r>
    </w:p>
    <w:p w14:paraId="22ABB698" w14:textId="77777777" w:rsidR="003129FE" w:rsidRPr="0059240B" w:rsidRDefault="003129FE" w:rsidP="000E04EA">
      <w:pPr>
        <w:spacing w:after="220" w:line="240" w:lineRule="auto"/>
        <w:ind w:left="2160"/>
        <w:rPr>
          <w:rFonts w:ascii="Times New Roman" w:eastAsia="Times New Roman" w:hAnsi="Times New Roman"/>
        </w:rPr>
      </w:pPr>
      <w:r w:rsidRPr="0059240B">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16991973" w14:textId="77777777" w:rsidR="003129FE" w:rsidRPr="0059240B" w:rsidRDefault="003129FE" w:rsidP="000E04EA">
      <w:pPr>
        <w:spacing w:after="220" w:line="240" w:lineRule="auto"/>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Adjustment for Credibility to Determine Prudent Estimate Mortality</w:t>
      </w:r>
    </w:p>
    <w:p w14:paraId="0A721C29"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1.</w:t>
      </w:r>
      <w:r w:rsidRPr="0059240B">
        <w:rPr>
          <w:rFonts w:ascii="Times New Roman" w:eastAsia="Times New Roman" w:hAnsi="Times New Roman"/>
        </w:rPr>
        <w:tab/>
        <w:t>Adjustment for Credibility</w:t>
      </w:r>
    </w:p>
    <w:p w14:paraId="56AEFA07" w14:textId="144E36F6"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The expected mortality curves determined in Section </w:t>
      </w:r>
      <w:r w:rsidR="00C82945" w:rsidRPr="0059240B">
        <w:rPr>
          <w:rFonts w:ascii="Times New Roman" w:eastAsia="Times New Roman" w:hAnsi="Times New Roman"/>
        </w:rPr>
        <w:t>11.</w:t>
      </w:r>
      <w:r w:rsidRPr="0059240B">
        <w:rPr>
          <w:rFonts w:ascii="Times New Roman" w:eastAsia="Times New Roman" w:hAnsi="Times New Roman"/>
        </w:rPr>
        <w:t xml:space="preserve">B shall be adjusted based on the credibility of the experience used to determine the curves in order to arrive at prudent estimate mortality. The adjustment for credibility shall result in blending the expected mortality curves with a mortality table consistent with a statutory valuation mortality table. For </w:t>
      </w:r>
      <w:r w:rsidR="00EE1A06" w:rsidRPr="0059240B">
        <w:rPr>
          <w:rFonts w:ascii="Times New Roman" w:eastAsia="Times New Roman" w:hAnsi="Times New Roman"/>
          <w:u w:val="single"/>
        </w:rPr>
        <w:t>contracts with no VAGLBs</w:t>
      </w:r>
      <w:r w:rsidRPr="0059240B">
        <w:rPr>
          <w:rFonts w:ascii="Times New Roman" w:eastAsia="Times New Roman" w:hAnsi="Times New Roman"/>
        </w:rPr>
        <w:t xml:space="preserve">, the table shall be consistent with </w:t>
      </w:r>
      <w:r w:rsidR="00EE1A06" w:rsidRPr="0059240B">
        <w:rPr>
          <w:rFonts w:ascii="Times New Roman" w:eastAsia="Times New Roman" w:hAnsi="Times New Roman"/>
        </w:rPr>
        <w:t>the appropriate percentage (F</w:t>
      </w:r>
      <w:r w:rsidR="00EE1A06" w:rsidRPr="0059240B">
        <w:rPr>
          <w:rFonts w:ascii="Times New Roman" w:eastAsia="Times New Roman" w:hAnsi="Times New Roman"/>
          <w:vertAlign w:val="subscript"/>
        </w:rPr>
        <w:t>x</w:t>
      </w:r>
      <w:r w:rsidR="00EE1A06" w:rsidRPr="0059240B">
        <w:rPr>
          <w:rFonts w:ascii="Times New Roman" w:eastAsia="Times New Roman" w:hAnsi="Times New Roman"/>
        </w:rPr>
        <w:t xml:space="preserve">) from Table 1 of the 2012 IAM Basic Table with projection scale G2 and </w:t>
      </w:r>
      <w:r w:rsidRPr="0059240B">
        <w:rPr>
          <w:rFonts w:ascii="Times New Roman" w:eastAsia="Times New Roman" w:hAnsi="Times New Roman"/>
        </w:rPr>
        <w:t>.</w:t>
      </w:r>
      <w:r w:rsidR="00EE1A06" w:rsidRPr="0059240B">
        <w:rPr>
          <w:rFonts w:ascii="Times New Roman" w:eastAsia="Times New Roman" w:hAnsi="Times New Roman"/>
        </w:rPr>
        <w:t>for contracts with VAGLBs</w:t>
      </w:r>
      <w:r w:rsidRPr="0059240B">
        <w:rPr>
          <w:rFonts w:ascii="Times New Roman" w:eastAsia="Times New Roman" w:hAnsi="Times New Roman"/>
        </w:rPr>
        <w:t xml:space="preserve">, the table shall be consistent with </w:t>
      </w:r>
      <w:r w:rsidR="00EE1A06" w:rsidRPr="0059240B">
        <w:rPr>
          <w:rFonts w:ascii="Times New Roman" w:eastAsia="Times New Roman" w:hAnsi="Times New Roman"/>
        </w:rPr>
        <w:t xml:space="preserve"> the appropriate percentage (F</w:t>
      </w:r>
      <w:r w:rsidR="00EE1A06" w:rsidRPr="0059240B">
        <w:rPr>
          <w:rFonts w:ascii="Times New Roman" w:eastAsia="Times New Roman" w:hAnsi="Times New Roman"/>
          <w:vertAlign w:val="subscript"/>
        </w:rPr>
        <w:t>x</w:t>
      </w:r>
      <w:r w:rsidR="00EE1A06" w:rsidRPr="0059240B">
        <w:rPr>
          <w:rFonts w:ascii="Times New Roman" w:eastAsia="Times New Roman" w:hAnsi="Times New Roman"/>
        </w:rPr>
        <w:t xml:space="preserve">) from Table 1 </w:t>
      </w:r>
      <w:r w:rsidRPr="0059240B">
        <w:rPr>
          <w:rFonts w:ascii="Times New Roman" w:eastAsia="Times New Roman" w:hAnsi="Times New Roman"/>
        </w:rPr>
        <w:t xml:space="preserve"> of the 2012 IAM Basic Mortality Table</w:t>
      </w:r>
      <w:r w:rsidR="00EE1A06" w:rsidRPr="0059240B">
        <w:rPr>
          <w:rFonts w:ascii="Times New Roman" w:eastAsia="Times New Roman" w:hAnsi="Times New Roman"/>
        </w:rPr>
        <w:t xml:space="preserve"> with projection scale G2</w:t>
      </w:r>
      <w:r w:rsidRPr="0059240B">
        <w:rPr>
          <w:rFonts w:ascii="Times New Roman" w:eastAsia="Times New Roman" w:hAnsi="Times New Roman"/>
        </w:rPr>
        <w:t>.  The approach used to adjust the curves shall suitably account for credibility.</w:t>
      </w:r>
    </w:p>
    <w:p w14:paraId="11BAD409" w14:textId="77777777" w:rsidR="003129FE" w:rsidRPr="0059240B" w:rsidRDefault="003129FE" w:rsidP="000E04EA">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59240B">
        <w:rPr>
          <w:rFonts w:ascii="Times New Roman" w:eastAsia="Times New Roman" w:hAnsi="Times New Roman"/>
          <w:b/>
          <w:bCs/>
        </w:rPr>
        <w:t xml:space="preserve">Guidance Note: </w:t>
      </w:r>
      <w:r w:rsidRPr="0059240B">
        <w:rPr>
          <w:rFonts w:ascii="Times New Roman" w:eastAsia="Times New Roman" w:hAnsi="Times New Roman"/>
        </w:rPr>
        <w:t>For example, when credibility is zero, an appropriate approach should result in a mortality assumption consistent with 100% of the statutory valuation mortality table used in the blending.</w:t>
      </w:r>
    </w:p>
    <w:p w14:paraId="4765098D"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2.</w:t>
      </w:r>
      <w:r w:rsidRPr="0059240B">
        <w:rPr>
          <w:rFonts w:ascii="Times New Roman" w:eastAsia="Times New Roman" w:hAnsi="Times New Roman"/>
        </w:rPr>
        <w:tab/>
        <w:t>Adjustment of Statutory Valuation Mortality for Improvement</w:t>
      </w:r>
    </w:p>
    <w:p w14:paraId="0A2C4D7A" w14:textId="71BBF09C" w:rsidR="003129FE" w:rsidRPr="0059240B" w:rsidRDefault="003129FE" w:rsidP="000E04EA">
      <w:pPr>
        <w:keepNext/>
        <w:keepLines/>
        <w:spacing w:after="220" w:line="240" w:lineRule="auto"/>
        <w:ind w:left="1440"/>
        <w:rPr>
          <w:rFonts w:ascii="Times New Roman" w:eastAsia="Times New Roman" w:hAnsi="Times New Roman"/>
        </w:rPr>
      </w:pPr>
      <w:r w:rsidRPr="0059240B">
        <w:rPr>
          <w:rFonts w:ascii="Times New Roman" w:eastAsia="Times New Roman" w:hAnsi="Times New Roman"/>
        </w:rPr>
        <w:t xml:space="preserve">For purposes of the adjustment for credibility, the statutory valuation mortality table for a plus segment may be and the statutory valuation mortality table for a minus segment must be adjusted for mortality improvement. Such adjustment shall reflect </w:t>
      </w:r>
      <w:r w:rsidR="00EE1A06" w:rsidRPr="0059240B">
        <w:rPr>
          <w:rFonts w:ascii="Times New Roman" w:eastAsia="Times New Roman" w:hAnsi="Times New Roman"/>
          <w:u w:val="single"/>
        </w:rPr>
        <w:t>Projection Scale G2</w:t>
      </w:r>
      <w:r w:rsidRPr="0059240B">
        <w:rPr>
          <w:rFonts w:ascii="Times New Roman" w:eastAsia="Times New Roman" w:hAnsi="Times New Roman"/>
        </w:rPr>
        <w:t xml:space="preserve"> from the effective date of the respective statutory valuation mortality table to the experience weighted average date underlying the data used to develop the expected mortality curves (discussed in Section </w:t>
      </w:r>
      <w:r w:rsidR="00C82945" w:rsidRPr="0059240B">
        <w:rPr>
          <w:rFonts w:ascii="Times New Roman" w:eastAsia="Times New Roman" w:hAnsi="Times New Roman"/>
        </w:rPr>
        <w:t>11.</w:t>
      </w:r>
      <w:r w:rsidRPr="0059240B">
        <w:rPr>
          <w:rFonts w:ascii="Times New Roman" w:eastAsia="Times New Roman" w:hAnsi="Times New Roman"/>
        </w:rPr>
        <w:t>B).</w:t>
      </w:r>
    </w:p>
    <w:p w14:paraId="60A50055"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3.</w:t>
      </w:r>
      <w:r w:rsidRPr="0059240B">
        <w:rPr>
          <w:rFonts w:ascii="Times New Roman" w:eastAsia="Times New Roman" w:hAnsi="Times New Roman"/>
        </w:rPr>
        <w:tab/>
        <w:t>Credibility Procedure</w:t>
      </w:r>
    </w:p>
    <w:p w14:paraId="350AB3DE" w14:textId="77777777"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position w:val="-1"/>
        </w:rPr>
        <w:t>The credibility procedure used shall:</w:t>
      </w:r>
    </w:p>
    <w:p w14:paraId="76A31034" w14:textId="772038AD"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lastRenderedPageBreak/>
        <w:t>a.</w:t>
      </w:r>
      <w:r w:rsidRPr="0059240B">
        <w:rPr>
          <w:rFonts w:ascii="Times New Roman" w:eastAsia="Times New Roman" w:hAnsi="Times New Roman"/>
        </w:rPr>
        <w:tab/>
        <w:t>Produce results that are reasonable .</w:t>
      </w:r>
    </w:p>
    <w:p w14:paraId="68B1A2CF"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Not tend to bias the results in any material way.</w:t>
      </w:r>
    </w:p>
    <w:p w14:paraId="01BFCC39"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c.</w:t>
      </w:r>
      <w:r w:rsidRPr="0059240B">
        <w:rPr>
          <w:rFonts w:ascii="Times New Roman" w:eastAsia="Times New Roman" w:hAnsi="Times New Roman"/>
        </w:rPr>
        <w:tab/>
        <w:t>Be practical to implement.</w:t>
      </w:r>
    </w:p>
    <w:p w14:paraId="360A6533"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Give consideration to the need to balance responsiveness and stability.</w:t>
      </w:r>
    </w:p>
    <w:p w14:paraId="47D91BBD"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e.</w:t>
      </w:r>
      <w:r w:rsidRPr="0059240B">
        <w:rPr>
          <w:rFonts w:ascii="Times New Roman" w:eastAsia="Times New Roman" w:hAnsi="Times New Roman"/>
        </w:rPr>
        <w:tab/>
        <w:t>Take into account not only the level of aggregate claims but the shape of the mortality curve.</w:t>
      </w:r>
    </w:p>
    <w:p w14:paraId="6F09F3B4" w14:textId="77777777" w:rsidR="003129FE" w:rsidRPr="0059240B" w:rsidRDefault="003129FE" w:rsidP="000E04EA">
      <w:pPr>
        <w:spacing w:after="220" w:line="240" w:lineRule="auto"/>
        <w:ind w:left="2160" w:hanging="720"/>
        <w:rPr>
          <w:rFonts w:ascii="Times New Roman" w:eastAsia="Times New Roman" w:hAnsi="Times New Roman"/>
        </w:rPr>
      </w:pPr>
      <w:r w:rsidRPr="0059240B">
        <w:rPr>
          <w:rFonts w:ascii="Times New Roman" w:eastAsia="Times New Roman" w:hAnsi="Times New Roman"/>
        </w:rPr>
        <w:t>f.</w:t>
      </w:r>
      <w:r w:rsidRPr="0059240B">
        <w:rPr>
          <w:rFonts w:ascii="Times New Roman" w:eastAsia="Times New Roman" w:hAnsi="Times New Roman"/>
        </w:rPr>
        <w:tab/>
        <w:t>Contain criteria for full credibility and partial credibility that have a sound statistical basis and be appropriately applied.</w:t>
      </w:r>
    </w:p>
    <w:p w14:paraId="3B3D7FE5" w14:textId="77777777" w:rsidR="003129FE" w:rsidRPr="0059240B" w:rsidRDefault="003129FE" w:rsidP="000E04EA">
      <w:pPr>
        <w:spacing w:after="220" w:line="240" w:lineRule="auto"/>
        <w:ind w:left="1440" w:hanging="720"/>
        <w:rPr>
          <w:rFonts w:ascii="Times New Roman" w:eastAsia="Times New Roman" w:hAnsi="Times New Roman"/>
        </w:rPr>
      </w:pPr>
      <w:r w:rsidRPr="0059240B">
        <w:rPr>
          <w:rFonts w:ascii="Times New Roman" w:eastAsia="Times New Roman" w:hAnsi="Times New Roman"/>
        </w:rPr>
        <w:t>4.</w:t>
      </w:r>
      <w:r w:rsidRPr="0059240B">
        <w:rPr>
          <w:rFonts w:ascii="Times New Roman" w:eastAsia="Times New Roman" w:hAnsi="Times New Roman"/>
        </w:rPr>
        <w:tab/>
        <w:t>Further Adjustment of the Credibility-Adjusted Table for Mortality Improvement</w:t>
      </w:r>
    </w:p>
    <w:p w14:paraId="41604FD4" w14:textId="5E6FA4EF"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The credibility-adjusted table used for plus segments may be and the credibility adjusted </w:t>
      </w:r>
      <w:r w:rsidR="00EE1A06" w:rsidRPr="0059240B">
        <w:rPr>
          <w:rFonts w:ascii="Times New Roman" w:eastAsia="Times New Roman" w:hAnsi="Times New Roman"/>
        </w:rPr>
        <w:t xml:space="preserve">table </w:t>
      </w:r>
      <w:r w:rsidRPr="0059240B">
        <w:rPr>
          <w:rFonts w:ascii="Times New Roman" w:eastAsia="Times New Roman" w:hAnsi="Times New Roman"/>
        </w:rPr>
        <w:t xml:space="preserve">used for minus segments must be adjusted for </w:t>
      </w:r>
      <w:r w:rsidR="00EE1A06" w:rsidRPr="0059240B">
        <w:rPr>
          <w:rFonts w:ascii="Times New Roman" w:eastAsia="Times New Roman" w:hAnsi="Times New Roman"/>
          <w:u w:val="single"/>
        </w:rPr>
        <w:t>mortality improvement using Projection scale G2</w:t>
      </w:r>
      <w:r w:rsidRPr="0059240B">
        <w:rPr>
          <w:rFonts w:ascii="Times New Roman" w:eastAsia="Times New Roman" w:hAnsi="Times New Roman"/>
        </w:rPr>
        <w:t xml:space="preserve"> from the experience weighted average date underlying the company experience used in the credibility process to the valuation date.</w:t>
      </w:r>
    </w:p>
    <w:p w14:paraId="26E3577A" w14:textId="7C175A62" w:rsidR="003129FE" w:rsidRPr="0059240B" w:rsidRDefault="003129FE" w:rsidP="000E04EA">
      <w:pPr>
        <w:spacing w:after="220" w:line="240" w:lineRule="auto"/>
        <w:ind w:left="1440"/>
        <w:rPr>
          <w:rFonts w:ascii="Times New Roman" w:eastAsia="Times New Roman" w:hAnsi="Times New Roman"/>
        </w:rPr>
      </w:pPr>
      <w:r w:rsidRPr="0059240B">
        <w:rPr>
          <w:rFonts w:ascii="Times New Roman" w:eastAsia="Times New Roman" w:hAnsi="Times New Roman"/>
        </w:rPr>
        <w:t xml:space="preserve">Any adjustment for mortality improvement beyond the valuation date is discussed in Section </w:t>
      </w:r>
      <w:r w:rsidR="00C82945" w:rsidRPr="0059240B">
        <w:rPr>
          <w:rFonts w:ascii="Times New Roman" w:eastAsia="Times New Roman" w:hAnsi="Times New Roman"/>
        </w:rPr>
        <w:t>11.</w:t>
      </w:r>
      <w:r w:rsidRPr="0059240B">
        <w:rPr>
          <w:rFonts w:ascii="Times New Roman" w:eastAsia="Times New Roman" w:hAnsi="Times New Roman"/>
        </w:rPr>
        <w:t>D.</w:t>
      </w:r>
    </w:p>
    <w:p w14:paraId="7A9FA687" w14:textId="77777777" w:rsidR="003129FE" w:rsidRPr="0059240B" w:rsidRDefault="003129FE" w:rsidP="000E04EA">
      <w:pPr>
        <w:spacing w:after="220" w:line="240" w:lineRule="auto"/>
        <w:rPr>
          <w:rFonts w:ascii="Times New Roman" w:eastAsia="Times New Roman" w:hAnsi="Times New Roman"/>
        </w:rPr>
      </w:pPr>
      <w:r w:rsidRPr="0059240B">
        <w:rPr>
          <w:rFonts w:ascii="Times New Roman" w:eastAsia="Times New Roman" w:hAnsi="Times New Roman"/>
        </w:rPr>
        <w:t>D.</w:t>
      </w:r>
      <w:r w:rsidRPr="0059240B">
        <w:rPr>
          <w:rFonts w:ascii="Times New Roman" w:eastAsia="Times New Roman" w:hAnsi="Times New Roman"/>
        </w:rPr>
        <w:tab/>
        <w:t>Future Mortality Improvement</w:t>
      </w:r>
    </w:p>
    <w:p w14:paraId="59C4869F" w14:textId="783C2403" w:rsidR="003129FE" w:rsidRPr="0059240B" w:rsidRDefault="003129FE" w:rsidP="000E04EA">
      <w:pPr>
        <w:spacing w:after="220" w:line="240" w:lineRule="auto"/>
        <w:ind w:left="720"/>
        <w:rPr>
          <w:rFonts w:ascii="Times New Roman" w:eastAsia="Times New Roman" w:hAnsi="Times New Roman"/>
        </w:rPr>
      </w:pPr>
      <w:r w:rsidRPr="0059240B">
        <w:rPr>
          <w:rFonts w:ascii="Times New Roman" w:eastAsia="Times New Roman" w:hAnsi="Times New Roman"/>
        </w:rPr>
        <w:t xml:space="preserve">The mortality assumption resulting from the requirements of Section </w:t>
      </w:r>
      <w:r w:rsidR="00C82945" w:rsidRPr="0059240B">
        <w:rPr>
          <w:rFonts w:ascii="Times New Roman" w:eastAsia="Times New Roman" w:hAnsi="Times New Roman"/>
        </w:rPr>
        <w:t>11.</w:t>
      </w:r>
      <w:r w:rsidRPr="0059240B">
        <w:rPr>
          <w:rFonts w:ascii="Times New Roman" w:eastAsia="Times New Roman" w:hAnsi="Times New Roman"/>
        </w:rPr>
        <w:t>C shall be adjusted for mortality improvements beyond the valuation date if such an adjustment would serve to increase the resulting stochastic reserve. If such an adjustment would reduce the stochastic reserve, such assumptions are permitted, but not required. In either case, the assumption must be based on current relevant data with a margin for uncertainty (increasing assumed rates of improvement if that results in a higher reserve or reducing them otherwise).</w:t>
      </w:r>
    </w:p>
    <w:p w14:paraId="636D6C15" w14:textId="77777777" w:rsidR="003129FE" w:rsidRPr="0059240B" w:rsidRDefault="003129FE" w:rsidP="000E04EA"/>
    <w:p w14:paraId="77D8582A" w14:textId="3B02E763" w:rsidR="003129FE" w:rsidRPr="0059240B" w:rsidRDefault="003129FE" w:rsidP="0021502F">
      <w:pPr>
        <w:pStyle w:val="Heading2"/>
        <w:spacing w:after="280"/>
        <w:jc w:val="center"/>
        <w:rPr>
          <w:sz w:val="22"/>
          <w:szCs w:val="22"/>
          <w:u w:val="none"/>
        </w:rPr>
      </w:pPr>
    </w:p>
    <w:p w14:paraId="41BB2ABC" w14:textId="79738C0A" w:rsidR="003129FE" w:rsidRPr="0059240B" w:rsidRDefault="003129FE" w:rsidP="004E4618">
      <w:pPr>
        <w:pStyle w:val="Heading3"/>
        <w:keepNext/>
        <w:keepLines/>
        <w:spacing w:after="220"/>
        <w:rPr>
          <w:sz w:val="22"/>
          <w:szCs w:val="22"/>
        </w:rPr>
      </w:pPr>
      <w:r w:rsidRPr="0059240B">
        <w:rPr>
          <w:sz w:val="22"/>
          <w:szCs w:val="22"/>
        </w:rPr>
        <w:t>Section 12: Allocation of the Aggregate Reserve to the Contract Level</w:t>
      </w:r>
    </w:p>
    <w:p w14:paraId="4463424B" w14:textId="77777777" w:rsidR="003129FE" w:rsidRPr="0059240B" w:rsidRDefault="003129FE" w:rsidP="004E4618">
      <w:pPr>
        <w:keepNext/>
        <w:keepLines/>
        <w:spacing w:after="220" w:line="240" w:lineRule="auto"/>
        <w:jc w:val="both"/>
        <w:rPr>
          <w:rFonts w:ascii="Times New Roman" w:eastAsia="Times New Roman" w:hAnsi="Times New Roman"/>
        </w:rPr>
      </w:pPr>
      <w:r w:rsidRPr="0059240B">
        <w:rPr>
          <w:rFonts w:ascii="Times New Roman" w:eastAsia="Times New Roman" w:hAnsi="Times New Roman"/>
        </w:rPr>
        <w:t xml:space="preserve">Section 2.F. states that the aggregate reserve shall be allocated to the contracts falling within the scope of these requirements.  That allocation should be done for both the pre- and post- reinsurance ceded reserves.  </w:t>
      </w:r>
    </w:p>
    <w:p w14:paraId="2EF3027A" w14:textId="77777777" w:rsidR="003129FE" w:rsidRPr="0059240B" w:rsidRDefault="003129FE" w:rsidP="004E4618">
      <w:pPr>
        <w:keepNext/>
        <w:keepLines/>
        <w:spacing w:after="220" w:line="240" w:lineRule="auto"/>
        <w:jc w:val="both"/>
        <w:rPr>
          <w:rFonts w:ascii="Times New Roman" w:eastAsia="Times New Roman" w:hAnsi="Times New Roman"/>
        </w:rPr>
      </w:pPr>
      <w:r w:rsidRPr="0059240B">
        <w:rPr>
          <w:rFonts w:ascii="Times New Roman" w:eastAsia="Times New Roman" w:hAnsi="Times New Roman"/>
        </w:rPr>
        <w:t>The contract-level reserve for each contract shall be the sum of the following:</w:t>
      </w:r>
    </w:p>
    <w:p w14:paraId="3BB2C3E2" w14:textId="77777777" w:rsidR="003129FE" w:rsidRPr="0059240B" w:rsidRDefault="003129FE" w:rsidP="004E4618">
      <w:pPr>
        <w:keepNext/>
        <w:keepLines/>
        <w:spacing w:after="220" w:line="240" w:lineRule="auto"/>
        <w:jc w:val="both"/>
        <w:rPr>
          <w:rFonts w:ascii="Times New Roman" w:eastAsia="Times New Roman" w:hAnsi="Times New Roman"/>
        </w:rPr>
      </w:pPr>
      <w:r w:rsidRPr="0059240B">
        <w:rPr>
          <w:rFonts w:ascii="Times New Roman" w:eastAsia="Times New Roman" w:hAnsi="Times New Roman"/>
        </w:rPr>
        <w:t>A.</w:t>
      </w:r>
      <w:r w:rsidRPr="0059240B">
        <w:rPr>
          <w:rFonts w:ascii="Times New Roman" w:eastAsia="Times New Roman" w:hAnsi="Times New Roman"/>
        </w:rPr>
        <w:tab/>
        <w:t>The contract’s cash surrender value; and</w:t>
      </w:r>
    </w:p>
    <w:p w14:paraId="54118C78" w14:textId="77777777" w:rsidR="003129FE" w:rsidRPr="0059240B" w:rsidRDefault="003129FE" w:rsidP="004E4618">
      <w:pPr>
        <w:keepNext/>
        <w:keepLines/>
        <w:spacing w:after="220" w:line="240" w:lineRule="auto"/>
        <w:ind w:left="720" w:hanging="720"/>
        <w:jc w:val="both"/>
        <w:rPr>
          <w:rFonts w:ascii="Times New Roman" w:eastAsia="Times New Roman" w:hAnsi="Times New Roman"/>
        </w:rPr>
      </w:pPr>
      <w:r w:rsidRPr="0059240B">
        <w:rPr>
          <w:rFonts w:ascii="Times New Roman" w:eastAsia="Times New Roman" w:hAnsi="Times New Roman"/>
        </w:rPr>
        <w:t>B.</w:t>
      </w:r>
      <w:r w:rsidRPr="0059240B">
        <w:rPr>
          <w:rFonts w:ascii="Times New Roman" w:eastAsia="Times New Roman" w:hAnsi="Times New Roman"/>
        </w:rPr>
        <w:tab/>
        <w:t>An allocated portion of the excess of the aggregate reserve over the aggregate cash surrender value.</w:t>
      </w:r>
    </w:p>
    <w:p w14:paraId="4046A97E" w14:textId="77777777" w:rsidR="003129FE" w:rsidRPr="0059240B" w:rsidRDefault="003129FE" w:rsidP="00E87EFC">
      <w:pPr>
        <w:pStyle w:val="ListParagraph"/>
        <w:numPr>
          <w:ilvl w:val="0"/>
          <w:numId w:val="69"/>
        </w:numPr>
        <w:spacing w:after="220" w:line="240" w:lineRule="auto"/>
        <w:jc w:val="both"/>
        <w:rPr>
          <w:rFonts w:ascii="Times New Roman" w:eastAsia="Times New Roman" w:hAnsi="Times New Roman"/>
        </w:rPr>
      </w:pPr>
      <w:r w:rsidRPr="0059240B">
        <w:rPr>
          <w:rFonts w:ascii="Times New Roman" w:eastAsia="Times New Roman" w:hAnsi="Times New Roman"/>
        </w:rPr>
        <w:t xml:space="preserve">For a variable payout annuity or other contracts without a defined cash surrender value, the “cash surrender value” to use in this calculation shall be the amount defined in Section 3.G. which is used to determine the minimum general account reserve.  </w:t>
      </w:r>
    </w:p>
    <w:p w14:paraId="71E10EB4" w14:textId="60D05BFC" w:rsidR="003129FE" w:rsidRPr="0059240B" w:rsidRDefault="003129FE" w:rsidP="00E87EFC">
      <w:pPr>
        <w:pStyle w:val="ListParagraph"/>
        <w:numPr>
          <w:ilvl w:val="0"/>
          <w:numId w:val="69"/>
        </w:numPr>
        <w:spacing w:after="220" w:line="240" w:lineRule="auto"/>
        <w:jc w:val="both"/>
        <w:rPr>
          <w:rFonts w:ascii="Times New Roman" w:eastAsia="Times New Roman" w:hAnsi="Times New Roman"/>
        </w:rPr>
      </w:pPr>
      <w:r w:rsidRPr="0059240B">
        <w:rPr>
          <w:rFonts w:ascii="Times New Roman" w:eastAsia="Times New Roman" w:hAnsi="Times New Roman"/>
        </w:rPr>
        <w:t xml:space="preserve">The excess of the aggregate reserve over the aggregate cash surrender value shall be allocated to each contract based on a measure of the risk of that product relative to its cash surrender value in the context of the company’s </w:t>
      </w:r>
      <w:r w:rsidR="003C482A" w:rsidRPr="0059240B">
        <w:rPr>
          <w:rFonts w:ascii="Times New Roman" w:eastAsia="Times New Roman" w:hAnsi="Times New Roman"/>
        </w:rPr>
        <w:t>in force</w:t>
      </w:r>
      <w:r w:rsidRPr="0059240B">
        <w:rPr>
          <w:rFonts w:ascii="Times New Roman" w:eastAsia="Times New Roman" w:hAnsi="Times New Roman"/>
        </w:rPr>
        <w:t xml:space="preserve"> contracts.  The measure of risk should consider the impact of risk mitigation programs, including hedge programs and reinsurance, that would impact the risk of the product.  The specific method of assessing that risk and how it contributes to the company’s </w:t>
      </w:r>
      <w:r w:rsidRPr="0059240B">
        <w:rPr>
          <w:rFonts w:ascii="Times New Roman" w:eastAsia="Times New Roman" w:hAnsi="Times New Roman"/>
        </w:rPr>
        <w:lastRenderedPageBreak/>
        <w:t xml:space="preserve">aggregate reserve shall be defined by the company.  The method should provide for an equitable allocation based on risk analysis.  For contracts valued under the alternative methodology, the alternative methodology calculations provide a contract level calculation that may be a reasonable basis for allocation. </w:t>
      </w:r>
    </w:p>
    <w:p w14:paraId="61FDF79D" w14:textId="77777777" w:rsidR="003129FE" w:rsidRPr="0059240B" w:rsidRDefault="003129FE" w:rsidP="00E87EFC">
      <w:pPr>
        <w:pStyle w:val="ListParagraph"/>
        <w:keepNext/>
        <w:numPr>
          <w:ilvl w:val="0"/>
          <w:numId w:val="69"/>
        </w:numPr>
        <w:tabs>
          <w:tab w:val="left" w:pos="7650"/>
        </w:tabs>
        <w:spacing w:after="220" w:line="240" w:lineRule="auto"/>
        <w:jc w:val="both"/>
        <w:rPr>
          <w:rFonts w:ascii="Times New Roman" w:eastAsia="Times New Roman" w:hAnsi="Times New Roman"/>
          <w:position w:val="-1"/>
        </w:rPr>
      </w:pPr>
      <w:r w:rsidRPr="0059240B">
        <w:rPr>
          <w:rFonts w:ascii="Times New Roman" w:eastAsia="Times New Roman" w:hAnsi="Times New Roman"/>
          <w:position w:val="-1"/>
        </w:rPr>
        <w:t>As an example, consider a company with the results of the following three contracts:</w:t>
      </w:r>
    </w:p>
    <w:p w14:paraId="67113559" w14:textId="3465B23B" w:rsidR="003129FE" w:rsidRPr="0059240B" w:rsidRDefault="003129FE" w:rsidP="000E04EA">
      <w:pPr>
        <w:keepNext/>
        <w:tabs>
          <w:tab w:val="left" w:pos="7650"/>
        </w:tabs>
        <w:spacing w:after="220" w:line="240" w:lineRule="auto"/>
        <w:ind w:left="720"/>
        <w:jc w:val="both"/>
        <w:rPr>
          <w:position w:val="-1"/>
        </w:rPr>
      </w:pPr>
      <w:r w:rsidRPr="0059240B">
        <w:rPr>
          <w:rFonts w:ascii="Times New Roman" w:eastAsia="Times New Roman" w:hAnsi="Times New Roman"/>
          <w:position w:val="-1"/>
        </w:rPr>
        <w:t xml:space="preserve">                                  </w:t>
      </w:r>
      <w:r w:rsidRPr="0059240B">
        <w:rPr>
          <w:rFonts w:ascii="Times New Roman" w:hAnsi="Times New Roman"/>
          <w:position w:val="-1"/>
        </w:rPr>
        <w:t xml:space="preserve"> Table</w:t>
      </w:r>
      <w:r w:rsidRPr="0059240B">
        <w:rPr>
          <w:rFonts w:ascii="Times New Roman" w:eastAsia="Times New Roman" w:hAnsi="Times New Roman"/>
          <w:position w:val="-1"/>
        </w:rPr>
        <w:t xml:space="preserve"> </w:t>
      </w:r>
      <w:r w:rsidR="001A5E70" w:rsidRPr="0059240B">
        <w:rPr>
          <w:rFonts w:ascii="Times New Roman" w:eastAsia="Times New Roman" w:hAnsi="Times New Roman"/>
          <w:position w:val="-1"/>
        </w:rPr>
        <w:t>12.1</w:t>
      </w:r>
      <w:r w:rsidRPr="0059240B">
        <w:rPr>
          <w:rFonts w:ascii="Times New Roman" w:eastAsia="Times New Roman" w:hAnsi="Times New Roman"/>
          <w:position w:val="-1"/>
        </w:rPr>
        <w:t>:  Sample Allocation of Aggregate Reserve</w:t>
      </w:r>
      <w:r w:rsidRPr="0059240B">
        <w:rPr>
          <w:rFonts w:ascii="Times New Roman" w:eastAsia="Times New Roman" w:hAnsi="Times New Roman"/>
          <w:position w:val="-1"/>
        </w:rPr>
        <w:tab/>
      </w:r>
      <w:r w:rsidRPr="0059240B">
        <w:rPr>
          <w:rFonts w:ascii="Times New Roman" w:eastAsia="Times New Roman" w:hAnsi="Times New Roman"/>
          <w:position w:val="-1"/>
        </w:rPr>
        <w:tab/>
      </w:r>
      <w:r w:rsidRPr="0059240B">
        <w:rPr>
          <w:rFonts w:ascii="Times New Roman" w:eastAsia="Times New Roman" w:hAnsi="Times New Roman"/>
          <w:position w:val="-1"/>
        </w:rPr>
        <w:tab/>
      </w:r>
    </w:p>
    <w:p w14:paraId="077FD1D9" w14:textId="3C73598D" w:rsidR="0021502F" w:rsidRPr="0059240B" w:rsidRDefault="0021502F" w:rsidP="0021502F">
      <w:pPr>
        <w:spacing w:after="220" w:line="240" w:lineRule="auto"/>
        <w:jc w:val="center"/>
        <w:rPr>
          <w:rFonts w:ascii="Times New Roman" w:eastAsia="Times New Roman" w:hAnsi="Times New Roman"/>
          <w:bCs/>
        </w:rPr>
      </w:pPr>
    </w:p>
    <w:tbl>
      <w:tblPr>
        <w:tblW w:w="9136"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220"/>
        <w:gridCol w:w="1229"/>
        <w:gridCol w:w="1229"/>
        <w:gridCol w:w="1229"/>
        <w:gridCol w:w="1229"/>
      </w:tblGrid>
      <w:tr w:rsidR="00B70048" w:rsidRPr="0059240B" w14:paraId="1DCD2679"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399F56"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Contract (i)</w:t>
            </w:r>
          </w:p>
        </w:tc>
        <w:tc>
          <w:tcPr>
            <w:tcW w:w="1229" w:type="dxa"/>
            <w:tcBorders>
              <w:top w:val="single" w:sz="8" w:space="0" w:color="000000"/>
              <w:left w:val="single" w:sz="8" w:space="0" w:color="000000"/>
              <w:bottom w:val="single" w:sz="8" w:space="0" w:color="000000"/>
              <w:right w:val="single" w:sz="8" w:space="0" w:color="000000"/>
            </w:tcBorders>
            <w:vAlign w:val="center"/>
          </w:tcPr>
          <w:p w14:paraId="2CA2864D"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1</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070C90"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9F34A"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3</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7724D7"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rPr>
              <w:t>Total</w:t>
            </w:r>
          </w:p>
        </w:tc>
      </w:tr>
      <w:tr w:rsidR="00B70048" w:rsidRPr="0059240B" w14:paraId="16E57618"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5806C1"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Cash Surrender Value, C</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7C44D"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28</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027B90"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40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B28FE"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52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705E7B"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120</w:t>
            </w:r>
          </w:p>
        </w:tc>
      </w:tr>
      <w:tr w:rsidR="00B70048" w:rsidRPr="0059240B" w14:paraId="53C17DBF"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0F3446"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Risk adjusted measure, R</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54696"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38</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1A435"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52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57C8B"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50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79A91"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 </w:t>
            </w:r>
          </w:p>
        </w:tc>
      </w:tr>
      <w:tr w:rsidR="00B70048" w:rsidRPr="0059240B" w14:paraId="4F683777"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3DF36" w14:textId="77777777" w:rsidR="00B70048" w:rsidRPr="0059240B" w:rsidRDefault="00B70048" w:rsidP="000E04EA">
            <w:pPr>
              <w:spacing w:after="0" w:line="240" w:lineRule="auto"/>
              <w:jc w:val="center"/>
              <w:rPr>
                <w:rFonts w:ascii="Times New Roman" w:hAnsi="Times New Roman"/>
                <w:sz w:val="20"/>
              </w:rPr>
            </w:pPr>
            <w:r w:rsidRPr="0059240B">
              <w:rPr>
                <w:rFonts w:ascii="Times New Roman" w:hAnsi="Times New Roman"/>
                <w:sz w:val="20"/>
              </w:rPr>
              <w:t>Aggregate Reserve</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70769"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 </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43D76"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 </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68426"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 </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88D0F" w14:textId="77777777" w:rsidR="00B70048" w:rsidRPr="0059240B" w:rsidRDefault="00B70048" w:rsidP="000E04EA">
            <w:pPr>
              <w:spacing w:after="0" w:line="240" w:lineRule="auto"/>
              <w:jc w:val="center"/>
              <w:rPr>
                <w:rFonts w:ascii="Times New Roman" w:hAnsi="Times New Roman"/>
                <w:sz w:val="20"/>
              </w:rPr>
            </w:pPr>
            <w:r w:rsidRPr="0059240B">
              <w:rPr>
                <w:rFonts w:ascii="Times New Roman" w:eastAsia="Times New Roman" w:hAnsi="Times New Roman"/>
                <w:b/>
                <w:sz w:val="20"/>
                <w:szCs w:val="20"/>
              </w:rPr>
              <w:t>1</w:t>
            </w:r>
            <w:r w:rsidRPr="0059240B">
              <w:rPr>
                <w:rFonts w:ascii="Times New Roman" w:hAnsi="Times New Roman"/>
                <w:sz w:val="20"/>
                <w:szCs w:val="20"/>
              </w:rPr>
              <w:t>40</w:t>
            </w:r>
          </w:p>
        </w:tc>
      </w:tr>
      <w:tr w:rsidR="00B70048" w:rsidRPr="0059240B" w14:paraId="1FB94509"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F5D50" w14:textId="3C14A401" w:rsidR="00B70048" w:rsidRPr="0059240B" w:rsidRDefault="00B70048" w:rsidP="004E4618">
            <w:pPr>
              <w:spacing w:after="0" w:line="240" w:lineRule="auto"/>
              <w:jc w:val="center"/>
              <w:rPr>
                <w:rFonts w:ascii="Times New Roman" w:hAnsi="Times New Roman"/>
                <w:sz w:val="20"/>
                <w:szCs w:val="20"/>
              </w:rPr>
            </w:pPr>
            <w:r w:rsidRPr="0059240B">
              <w:rPr>
                <w:rFonts w:ascii="Times New Roman" w:hAnsi="Times New Roman"/>
                <w:sz w:val="20"/>
                <w:szCs w:val="20"/>
              </w:rPr>
              <w:t>Allocation Basis for the excess of the Aggregate Reserve over the Cash Surrender Value</w:t>
            </w:r>
          </w:p>
          <w:p w14:paraId="3A9BA8BE" w14:textId="77777777" w:rsidR="00B70048" w:rsidRPr="0059240B" w:rsidRDefault="00B70048" w:rsidP="000E04EA">
            <w:pPr>
              <w:spacing w:after="0" w:line="240" w:lineRule="auto"/>
              <w:jc w:val="center"/>
              <w:rPr>
                <w:rFonts w:ascii="Times New Roman" w:hAnsi="Times New Roman"/>
                <w:sz w:val="20"/>
              </w:rPr>
            </w:pPr>
            <w:r w:rsidRPr="0059240B">
              <w:rPr>
                <w:rFonts w:ascii="Times New Roman" w:hAnsi="Times New Roman"/>
                <w:sz w:val="20"/>
                <w:szCs w:val="20"/>
              </w:rPr>
              <w:t>Ai = Max(Ri-Ci, 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56355" w14:textId="55350BDE"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10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E07357" w14:textId="77777777" w:rsidR="00B70048" w:rsidRPr="0059240B" w:rsidRDefault="00B70048" w:rsidP="004E4618">
            <w:pPr>
              <w:spacing w:after="0" w:line="240" w:lineRule="auto"/>
              <w:jc w:val="center"/>
              <w:rPr>
                <w:rFonts w:ascii="Times New Roman" w:hAnsi="Times New Roman"/>
                <w:sz w:val="20"/>
                <w:szCs w:val="20"/>
              </w:rPr>
            </w:pPr>
            <w:r w:rsidRPr="0059240B">
              <w:rPr>
                <w:rFonts w:ascii="Times New Roman" w:hAnsi="Times New Roman"/>
                <w:sz w:val="20"/>
                <w:szCs w:val="20"/>
              </w:rPr>
              <w:t>12</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B5CB0A" w14:textId="28EB905A"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3B1C4B" w14:textId="1797BCFE"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22</w:t>
            </w:r>
          </w:p>
        </w:tc>
      </w:tr>
      <w:tr w:rsidR="00B70048" w:rsidRPr="0059240B" w14:paraId="1168DA75"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B1FD4" w14:textId="24C86FC1" w:rsidR="00B70048" w:rsidRPr="0059240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0BE90" w14:textId="7BB821F3" w:rsidR="00B70048" w:rsidRPr="0059240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B7D24" w14:textId="3F3E9EA7" w:rsidR="00B70048" w:rsidRPr="0059240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5CBE65" w14:textId="4F2CED3A" w:rsidR="00B70048" w:rsidRPr="0059240B" w:rsidRDefault="00B70048" w:rsidP="000E04EA">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10D52" w14:textId="33CF3814" w:rsidR="00B70048" w:rsidRPr="0059240B" w:rsidRDefault="00B70048" w:rsidP="000E04EA">
            <w:pPr>
              <w:spacing w:after="0" w:line="240" w:lineRule="auto"/>
              <w:jc w:val="center"/>
              <w:rPr>
                <w:rFonts w:ascii="Times New Roman" w:hAnsi="Times New Roman"/>
                <w:sz w:val="20"/>
                <w:szCs w:val="20"/>
              </w:rPr>
            </w:pPr>
          </w:p>
        </w:tc>
      </w:tr>
      <w:tr w:rsidR="00B70048" w:rsidRPr="0059240B" w14:paraId="711BC2A4"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9442BA" w14:textId="77777777" w:rsidR="00B70048" w:rsidRPr="0059240B" w:rsidRDefault="00B70048" w:rsidP="004E4618">
            <w:pPr>
              <w:spacing w:after="0" w:line="240" w:lineRule="auto"/>
              <w:jc w:val="center"/>
              <w:rPr>
                <w:rFonts w:ascii="Times New Roman" w:hAnsi="Times New Roman"/>
                <w:sz w:val="20"/>
                <w:szCs w:val="20"/>
              </w:rPr>
            </w:pPr>
            <w:r w:rsidRPr="0059240B">
              <w:rPr>
                <w:rFonts w:ascii="Times New Roman" w:hAnsi="Times New Roman"/>
                <w:sz w:val="20"/>
                <w:szCs w:val="20"/>
              </w:rPr>
              <w:t>Allocation of the excess of the Aggregate Reserve over the Cash Surrender Value</w:t>
            </w:r>
          </w:p>
          <w:p w14:paraId="49D0CCCF" w14:textId="77777777" w:rsidR="00B70048" w:rsidRPr="0059240B" w:rsidRDefault="00B70048" w:rsidP="004E4618">
            <w:pPr>
              <w:spacing w:after="0" w:line="240" w:lineRule="auto"/>
              <w:jc w:val="center"/>
              <w:rPr>
                <w:rFonts w:ascii="Times New Roman" w:hAnsi="Times New Roman"/>
                <w:sz w:val="20"/>
              </w:rPr>
            </w:pPr>
            <w:r w:rsidRPr="0059240B">
              <w:rPr>
                <w:rFonts w:ascii="Times New Roman" w:hAnsi="Times New Roman"/>
                <w:sz w:val="20"/>
                <w:szCs w:val="20"/>
              </w:rPr>
              <w:t>Li = (Ai)/ΣAi*[Aggregate Reserve - ΣCi]</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E08F9" w14:textId="77777777" w:rsidR="00B70048" w:rsidRPr="0059240B" w:rsidRDefault="00B70048" w:rsidP="004E4618">
            <w:pPr>
              <w:spacing w:after="0" w:line="240" w:lineRule="auto"/>
              <w:jc w:val="center"/>
              <w:rPr>
                <w:rFonts w:ascii="Times New Roman" w:hAnsi="Times New Roman"/>
                <w:sz w:val="20"/>
                <w:szCs w:val="20"/>
              </w:rPr>
            </w:pPr>
            <w:r w:rsidRPr="0059240B">
              <w:rPr>
                <w:rFonts w:ascii="Times New Roman" w:hAnsi="Times New Roman"/>
                <w:sz w:val="20"/>
                <w:szCs w:val="20"/>
              </w:rPr>
              <w:t>9.09</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B2840" w14:textId="77777777" w:rsidR="00B70048" w:rsidRPr="0059240B" w:rsidRDefault="00B70048" w:rsidP="00B70048">
            <w:pPr>
              <w:spacing w:after="0" w:line="240" w:lineRule="auto"/>
              <w:jc w:val="center"/>
              <w:rPr>
                <w:rFonts w:ascii="Times New Roman" w:hAnsi="Times New Roman"/>
                <w:sz w:val="20"/>
                <w:szCs w:val="20"/>
              </w:rPr>
            </w:pPr>
            <w:r w:rsidRPr="0059240B">
              <w:rPr>
                <w:rFonts w:ascii="Times New Roman" w:hAnsi="Times New Roman"/>
                <w:sz w:val="20"/>
                <w:szCs w:val="20"/>
              </w:rPr>
              <w:t>10.91</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3F963" w14:textId="77777777" w:rsidR="00B70048" w:rsidRPr="0059240B" w:rsidRDefault="00B70048" w:rsidP="00B70048">
            <w:pPr>
              <w:spacing w:after="0" w:line="240" w:lineRule="auto"/>
              <w:jc w:val="center"/>
              <w:rPr>
                <w:rFonts w:ascii="Times New Roman" w:hAnsi="Times New Roman"/>
                <w:sz w:val="20"/>
                <w:szCs w:val="20"/>
              </w:rPr>
            </w:pPr>
            <w:r w:rsidRPr="0059240B">
              <w:rPr>
                <w:rFonts w:ascii="Times New Roman" w:hAnsi="Times New Roman"/>
                <w:sz w:val="20"/>
                <w:szCs w:val="20"/>
              </w:rPr>
              <w:t>0.00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833883" w14:textId="77777777" w:rsidR="00B70048" w:rsidRPr="0059240B" w:rsidRDefault="00B70048" w:rsidP="00B70048">
            <w:pPr>
              <w:spacing w:after="0" w:line="240" w:lineRule="auto"/>
              <w:jc w:val="center"/>
              <w:rPr>
                <w:rFonts w:ascii="Times New Roman" w:hAnsi="Times New Roman"/>
                <w:sz w:val="20"/>
                <w:szCs w:val="20"/>
              </w:rPr>
            </w:pPr>
            <w:r w:rsidRPr="0059240B">
              <w:rPr>
                <w:rFonts w:ascii="Times New Roman" w:hAnsi="Times New Roman"/>
                <w:sz w:val="20"/>
                <w:szCs w:val="20"/>
              </w:rPr>
              <w:t>20</w:t>
            </w:r>
          </w:p>
        </w:tc>
      </w:tr>
      <w:tr w:rsidR="00B70048" w:rsidRPr="0059240B" w14:paraId="3EB25805"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6FBF5" w14:textId="77777777" w:rsidR="00B70048" w:rsidRPr="0059240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CB61A" w14:textId="77777777" w:rsidR="00B70048" w:rsidRPr="0059240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2E3F3" w14:textId="77777777" w:rsidR="00B70048" w:rsidRPr="0059240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CFDFAE" w14:textId="77777777" w:rsidR="00B70048" w:rsidRPr="0059240B" w:rsidRDefault="00B70048" w:rsidP="00B70048">
            <w:pPr>
              <w:spacing w:after="0" w:line="240" w:lineRule="auto"/>
              <w:jc w:val="center"/>
              <w:rPr>
                <w:rFonts w:ascii="Times New Roman" w:hAnsi="Times New Roman"/>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50089" w14:textId="77777777" w:rsidR="00B70048" w:rsidRPr="0059240B" w:rsidRDefault="00B70048" w:rsidP="00B70048">
            <w:pPr>
              <w:spacing w:after="0" w:line="240" w:lineRule="auto"/>
              <w:jc w:val="center"/>
              <w:rPr>
                <w:rFonts w:ascii="Times New Roman" w:hAnsi="Times New Roman"/>
                <w:sz w:val="20"/>
                <w:szCs w:val="20"/>
              </w:rPr>
            </w:pPr>
          </w:p>
        </w:tc>
      </w:tr>
      <w:tr w:rsidR="00B70048" w:rsidRPr="0059240B" w14:paraId="1D97B778" w14:textId="77777777" w:rsidTr="00063E8C">
        <w:trPr>
          <w:trHeight w:val="340"/>
        </w:trPr>
        <w:tc>
          <w:tcPr>
            <w:tcW w:w="42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84641" w14:textId="303F4114"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Contract-level reserve Ci+ Li</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ABFCC4"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37.09</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0C93D0"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50.91</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F7DA3"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52.00</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39F6C" w14:textId="77777777" w:rsidR="00B70048" w:rsidRPr="0059240B" w:rsidRDefault="00B70048" w:rsidP="000E04EA">
            <w:pPr>
              <w:spacing w:after="0" w:line="240" w:lineRule="auto"/>
              <w:jc w:val="center"/>
              <w:rPr>
                <w:rFonts w:ascii="Times New Roman" w:hAnsi="Times New Roman"/>
                <w:sz w:val="20"/>
                <w:szCs w:val="20"/>
              </w:rPr>
            </w:pPr>
            <w:r w:rsidRPr="0059240B">
              <w:rPr>
                <w:rFonts w:ascii="Times New Roman" w:hAnsi="Times New Roman"/>
                <w:sz w:val="20"/>
                <w:szCs w:val="20"/>
              </w:rPr>
              <w:t>140.00</w:t>
            </w:r>
          </w:p>
        </w:tc>
      </w:tr>
    </w:tbl>
    <w:p w14:paraId="72FC68B2" w14:textId="77777777" w:rsidR="003129FE" w:rsidRPr="0059240B" w:rsidRDefault="003129FE" w:rsidP="000E04EA">
      <w:pPr>
        <w:spacing w:after="220" w:line="240" w:lineRule="auto"/>
        <w:ind w:left="720"/>
        <w:jc w:val="both"/>
        <w:rPr>
          <w:rFonts w:ascii="Times New Roman" w:hAnsi="Times New Roman"/>
        </w:rPr>
      </w:pPr>
    </w:p>
    <w:p w14:paraId="58496F78" w14:textId="77777777" w:rsidR="003129FE" w:rsidRDefault="003129FE" w:rsidP="004E4618">
      <w:pPr>
        <w:spacing w:after="220" w:line="240" w:lineRule="auto"/>
        <w:ind w:left="720"/>
        <w:jc w:val="both"/>
        <w:rPr>
          <w:rFonts w:ascii="Times New Roman" w:eastAsia="Times New Roman" w:hAnsi="Times New Roman"/>
        </w:rPr>
      </w:pPr>
      <w:r w:rsidRPr="0059240B">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Contracts 1 and 2 therefore receive 45% (9/22) and 55% (11/22), respectively, of the excess Aggregate Reserve.  As Contract 3 presents no risk in excess of its cash surrender value, it does not receive an allocation of the excess Aggregate Reserve.</w:t>
      </w:r>
    </w:p>
    <w:p w14:paraId="144643B6" w14:textId="77777777" w:rsidR="003129FE" w:rsidRDefault="003129FE"/>
    <w:p w14:paraId="66A04CEB" w14:textId="77777777" w:rsidR="003129FE" w:rsidRPr="00B25AA4" w:rsidRDefault="003129FE" w:rsidP="0021502F">
      <w:pPr>
        <w:spacing w:after="220" w:line="240" w:lineRule="auto"/>
        <w:ind w:left="720"/>
        <w:jc w:val="both"/>
        <w:rPr>
          <w:rFonts w:ascii="Times New Roman" w:eastAsia="Times New Roman" w:hAnsi="Times New Roman"/>
        </w:rPr>
      </w:pPr>
    </w:p>
    <w:p w14:paraId="7DF0291C" w14:textId="77777777" w:rsidR="0021502F" w:rsidRPr="005F7412" w:rsidRDefault="0021502F" w:rsidP="00063E8C">
      <w:pPr>
        <w:tabs>
          <w:tab w:val="left" w:pos="-1260"/>
        </w:tabs>
        <w:spacing w:after="220" w:line="240" w:lineRule="auto"/>
        <w:rPr>
          <w:rFonts w:ascii="Times New Roman" w:eastAsia="Times New Roman" w:hAnsi="Times New Roman"/>
        </w:rPr>
      </w:pPr>
    </w:p>
    <w:sectPr w:rsidR="0021502F" w:rsidRPr="005F7412" w:rsidSect="00063E8C">
      <w:headerReference w:type="even" r:id="rId25"/>
      <w:headerReference w:type="default" r:id="rId26"/>
      <w:footerReference w:type="even" r:id="rId27"/>
      <w:headerReference w:type="first" r:id="rId28"/>
      <w:footerReference w:type="first" r:id="rId29"/>
      <w:pgSz w:w="12240" w:h="15840"/>
      <w:pgMar w:top="1080" w:right="1080" w:bottom="1080" w:left="360" w:header="720" w:footer="720" w:gutter="72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277BC" w16cid:durableId="20854AED"/>
  <w16cid:commentId w16cid:paraId="0F578979" w16cid:durableId="20854AEF"/>
  <w16cid:commentId w16cid:paraId="28A4F473" w16cid:durableId="20854AF0"/>
  <w16cid:commentId w16cid:paraId="6EB7DC0C" w16cid:durableId="20854A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27A7" w14:textId="77777777" w:rsidR="00B76878" w:rsidRDefault="00B76878">
      <w:pPr>
        <w:spacing w:after="0" w:line="240" w:lineRule="auto"/>
      </w:pPr>
      <w:r>
        <w:separator/>
      </w:r>
    </w:p>
  </w:endnote>
  <w:endnote w:type="continuationSeparator" w:id="0">
    <w:p w14:paraId="06A35E78" w14:textId="77777777" w:rsidR="00B76878" w:rsidRDefault="00B76878">
      <w:pPr>
        <w:spacing w:after="0" w:line="240" w:lineRule="auto"/>
      </w:pPr>
      <w:r>
        <w:continuationSeparator/>
      </w:r>
    </w:p>
  </w:endnote>
  <w:endnote w:type="continuationNotice" w:id="1">
    <w:p w14:paraId="77CB85DB" w14:textId="77777777" w:rsidR="00B76878" w:rsidRDefault="00B76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EC27" w14:textId="77777777" w:rsidR="00B76878" w:rsidRPr="00B75DCB" w:rsidRDefault="00B76878" w:rsidP="00B75DCB">
    <w:pPr>
      <w:pStyle w:val="Footer"/>
      <w:tabs>
        <w:tab w:val="left" w:pos="5040"/>
      </w:tabs>
      <w:rPr>
        <w:rFonts w:ascii="Times New Roman" w:hAnsi="Times New Roman"/>
        <w:sz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750C" w14:textId="593D9B02" w:rsidR="00B76878" w:rsidRPr="00145D86" w:rsidRDefault="00B76878" w:rsidP="0014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EF2B" w14:textId="77777777" w:rsidR="00B76878" w:rsidRDefault="00B76878">
      <w:pPr>
        <w:spacing w:after="0" w:line="240" w:lineRule="auto"/>
      </w:pPr>
      <w:r>
        <w:separator/>
      </w:r>
    </w:p>
  </w:footnote>
  <w:footnote w:type="continuationSeparator" w:id="0">
    <w:p w14:paraId="6D067419" w14:textId="77777777" w:rsidR="00B76878" w:rsidRDefault="00B76878">
      <w:pPr>
        <w:spacing w:after="0" w:line="240" w:lineRule="auto"/>
      </w:pPr>
      <w:r>
        <w:continuationSeparator/>
      </w:r>
    </w:p>
  </w:footnote>
  <w:footnote w:type="continuationNotice" w:id="1">
    <w:p w14:paraId="56C6330F" w14:textId="77777777" w:rsidR="00B76878" w:rsidRDefault="00B76878">
      <w:pPr>
        <w:spacing w:after="0" w:line="240" w:lineRule="auto"/>
      </w:pPr>
    </w:p>
  </w:footnote>
  <w:footnote w:id="2">
    <w:p w14:paraId="00A23CB1" w14:textId="77777777" w:rsidR="00B76878" w:rsidRPr="00AA18C7" w:rsidRDefault="00B76878" w:rsidP="004E4618">
      <w:pPr>
        <w:spacing w:after="220" w:line="240" w:lineRule="auto"/>
        <w:ind w:left="1440"/>
        <w:rPr>
          <w:rFonts w:ascii="Times New Roman" w:eastAsia="Times New Roman" w:hAnsi="Times New Roman"/>
        </w:rPr>
      </w:pPr>
      <w:r>
        <w:rPr>
          <w:rStyle w:val="FootnoteReference"/>
        </w:rPr>
        <w:footnoteRef/>
      </w:r>
      <w:r>
        <w:t xml:space="preserve"> Throughout this Section 6, references to CTE70 (adjusted) shall also mean </w:t>
      </w:r>
      <w:r>
        <w:rPr>
          <w:rFonts w:ascii="Times New Roman" w:eastAsia="Times New Roman" w:hAnsi="Times New Roman"/>
        </w:rPr>
        <w:t>the Stochastic Reserve for a company that does not have a CDHS as discussed in Section 4.A.4.a.</w:t>
      </w:r>
    </w:p>
    <w:p w14:paraId="6AFEFCA2" w14:textId="77777777" w:rsidR="00B76878" w:rsidRDefault="00B76878" w:rsidP="004E4618">
      <w:pPr>
        <w:pStyle w:val="FootnoteText"/>
      </w:pPr>
    </w:p>
  </w:footnote>
  <w:footnote w:id="3">
    <w:p w14:paraId="1A2393B8" w14:textId="77777777" w:rsidR="00B76878" w:rsidRPr="00465680" w:rsidRDefault="00B76878" w:rsidP="004E4618">
      <w:pPr>
        <w:tabs>
          <w:tab w:val="left" w:pos="2260"/>
        </w:tabs>
        <w:spacing w:after="220" w:line="240" w:lineRule="auto"/>
        <w:ind w:left="360"/>
        <w:rPr>
          <w:rFonts w:ascii="Times New Roman" w:eastAsia="Times New Roman" w:hAnsi="Times New Roman"/>
        </w:rPr>
      </w:pPr>
      <w:r w:rsidRPr="00063E8C">
        <w:rPr>
          <w:rStyle w:val="FootnoteReference"/>
        </w:rPr>
        <w:footnoteRef/>
      </w:r>
      <w:r w:rsidRPr="00063E8C">
        <w:t xml:space="preserve"> </w:t>
      </w:r>
      <w:r w:rsidRPr="00B70048">
        <w:rPr>
          <w:rFonts w:ascii="Times New Roman" w:hAnsi="Times New Roman"/>
        </w:rPr>
        <w:t xml:space="preserve">Although the volatility suggests “balanced </w:t>
      </w:r>
      <w:r>
        <w:rPr>
          <w:rFonts w:ascii="Times New Roman" w:hAnsi="Times New Roman"/>
        </w:rPr>
        <w:t>f</w:t>
      </w:r>
      <w:r w:rsidRPr="001876E0">
        <w:rPr>
          <w:rFonts w:ascii="Times New Roman" w:hAnsi="Times New Roman"/>
        </w:rPr>
        <w:t xml:space="preserve">und,” the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criteria were not met. Therefore, this “exposure” is moved “up” to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 xml:space="preserve">quity. For those funds classified as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quity,</w:t>
      </w:r>
      <w:r w:rsidRPr="009D45FD">
        <w:rPr>
          <w:rFonts w:ascii="Times New Roman" w:hAnsi="Times New Roman"/>
        </w:rPr>
        <w:t xml:space="preserve"> </w:t>
      </w:r>
      <w:r w:rsidRPr="001876E0">
        <w:rPr>
          <w:rFonts w:ascii="Times New Roman" w:hAnsi="Times New Roman"/>
        </w:rPr>
        <w:t>additional analysis would be required to assess whether they should be instead designated as “</w:t>
      </w:r>
      <w:r>
        <w:rPr>
          <w:rFonts w:ascii="Times New Roman" w:hAnsi="Times New Roman"/>
        </w:rPr>
        <w:t>d</w:t>
      </w:r>
      <w:r w:rsidRPr="001876E0">
        <w:rPr>
          <w:rFonts w:ascii="Times New Roman" w:hAnsi="Times New Roman"/>
        </w:rPr>
        <w:t xml:space="preserve">iversified </w:t>
      </w:r>
      <w:r>
        <w:rPr>
          <w:rFonts w:ascii="Times New Roman" w:hAnsi="Times New Roman"/>
        </w:rPr>
        <w:t>i</w:t>
      </w:r>
      <w:r w:rsidRPr="001876E0">
        <w:rPr>
          <w:rFonts w:ascii="Times New Roman" w:hAnsi="Times New Roman"/>
        </w:rPr>
        <w:t xml:space="preserve">nternational </w:t>
      </w:r>
      <w:r>
        <w:rPr>
          <w:rFonts w:ascii="Times New Roman" w:hAnsi="Times New Roman"/>
        </w:rPr>
        <w:t>e</w:t>
      </w:r>
      <w:r w:rsidRPr="001876E0">
        <w:rPr>
          <w:rFonts w:ascii="Times New Roman" w:hAnsi="Times New Roman"/>
        </w:rPr>
        <w:t>quity.”</w:t>
      </w:r>
    </w:p>
    <w:p w14:paraId="61E6B8B5" w14:textId="77777777" w:rsidR="00B76878" w:rsidRPr="00063E8C" w:rsidRDefault="00B76878" w:rsidP="004E4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1565674"/>
      <w:docPartObj>
        <w:docPartGallery w:val="Page Numbers (Top of Page)"/>
        <w:docPartUnique/>
      </w:docPartObj>
    </w:sdtPr>
    <w:sdtContent>
      <w:p w14:paraId="3DED5CE4" w14:textId="75306C65" w:rsidR="00B76878" w:rsidRDefault="00B76878" w:rsidP="00B420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2463E" w14:textId="77777777" w:rsidR="00B76878" w:rsidRPr="00B75DCB" w:rsidRDefault="00B76878" w:rsidP="002475B9">
    <w:pPr>
      <w:pStyle w:val="Header"/>
      <w:tabs>
        <w:tab w:val="clear" w:pos="4680"/>
      </w:tabs>
      <w:ind w:right="360"/>
      <w:rPr>
        <w:rFonts w:ascii="Times New Roman" w:hAnsi="Times New Roman"/>
        <w:b/>
        <w:sz w:val="18"/>
      </w:rPr>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321842"/>
      <w:docPartObj>
        <w:docPartGallery w:val="Page Numbers (Top of Page)"/>
        <w:docPartUnique/>
      </w:docPartObj>
    </w:sdtPr>
    <w:sdtContent>
      <w:p w14:paraId="3E4800C6" w14:textId="6F71900C" w:rsidR="00B76878" w:rsidRDefault="00B76878" w:rsidP="00B4207B">
        <w:pPr>
          <w:pStyle w:val="Header"/>
          <w:framePr w:wrap="none" w:vAnchor="text" w:hAnchor="margin" w:xAlign="right" w:y="1"/>
          <w:rPr>
            <w:rStyle w:val="PageNumber"/>
          </w:rPr>
        </w:pPr>
      </w:p>
    </w:sdtContent>
  </w:sdt>
  <w:p w14:paraId="7BAA1938" w14:textId="77777777" w:rsidR="00B76878" w:rsidRPr="000920F1" w:rsidRDefault="00B76878" w:rsidP="002475B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A2B6" w14:textId="6812C410" w:rsidR="00B76878" w:rsidRPr="00600360" w:rsidRDefault="00B76878" w:rsidP="00600360">
    <w:pPr>
      <w:pStyle w:val="Header"/>
      <w:tabs>
        <w:tab w:val="clear" w:pos="4680"/>
      </w:tabs>
      <w:rPr>
        <w:rFonts w:ascii="Times New Roman" w:hAnsi="Times New Roman"/>
        <w:b/>
        <w:sz w:val="18"/>
      </w:rPr>
    </w:pP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r>
      <w:rPr>
        <w:rFonts w:ascii="Times New Roman" w:hAnsi="Times New Roman"/>
        <w:b/>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3784CF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9B29D8"/>
    <w:multiLevelType w:val="multilevel"/>
    <w:tmpl w:val="2488F566"/>
    <w:numStyleLink w:val="VMOutline"/>
  </w:abstractNum>
  <w:abstractNum w:abstractNumId="39"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487967"/>
    <w:multiLevelType w:val="hybridMultilevel"/>
    <w:tmpl w:val="9412EA2E"/>
    <w:lvl w:ilvl="0" w:tplc="02A6D288">
      <w:start w:val="2"/>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5B41E0"/>
    <w:multiLevelType w:val="hybridMultilevel"/>
    <w:tmpl w:val="ED3CC9C6"/>
    <w:lvl w:ilvl="0" w:tplc="7AF46BE8">
      <w:start w:val="9"/>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6"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7"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61290"/>
    <w:multiLevelType w:val="hybridMultilevel"/>
    <w:tmpl w:val="64F815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66A7B4C"/>
    <w:multiLevelType w:val="hybridMultilevel"/>
    <w:tmpl w:val="4F865072"/>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26ED0858"/>
    <w:multiLevelType w:val="hybridMultilevel"/>
    <w:tmpl w:val="77E891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9"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1"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2"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3"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4"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5EE1CD3"/>
    <w:multiLevelType w:val="hybridMultilevel"/>
    <w:tmpl w:val="BC881C36"/>
    <w:lvl w:ilvl="0" w:tplc="1DAC9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5FA0439"/>
    <w:multiLevelType w:val="hybridMultilevel"/>
    <w:tmpl w:val="42AAF09A"/>
    <w:lvl w:ilvl="0" w:tplc="F01CFB0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5"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7"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8"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9"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D1C2151"/>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07"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8"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9"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19C3CCD"/>
    <w:multiLevelType w:val="multilevel"/>
    <w:tmpl w:val="2488F566"/>
    <w:numStyleLink w:val="VMOutline"/>
  </w:abstractNum>
  <w:abstractNum w:abstractNumId="115"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16" w15:restartNumberingAfterBreak="0">
    <w:nsid w:val="42992772"/>
    <w:multiLevelType w:val="hybridMultilevel"/>
    <w:tmpl w:val="2182C2A8"/>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1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8"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71B2886"/>
    <w:multiLevelType w:val="hybridMultilevel"/>
    <w:tmpl w:val="E43A41F8"/>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22"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4"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7"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38"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41"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4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6" w15:restartNumberingAfterBreak="0">
    <w:nsid w:val="5F2C74C5"/>
    <w:multiLevelType w:val="hybridMultilevel"/>
    <w:tmpl w:val="FFCCE4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8"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9" w15:restartNumberingAfterBreak="0">
    <w:nsid w:val="60B1430C"/>
    <w:multiLevelType w:val="hybridMultilevel"/>
    <w:tmpl w:val="D436CD0C"/>
    <w:lvl w:ilvl="0" w:tplc="BFD258DE">
      <w:start w:val="4"/>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52"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5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9"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0"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61"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62"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3"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4" w15:restartNumberingAfterBreak="0">
    <w:nsid w:val="6B39483D"/>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71"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2"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4"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0355F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8"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9"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80"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3"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4"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5"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8"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9"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1"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92"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3"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5"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6"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7"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8"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9"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0"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1"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2"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4"/>
  </w:num>
  <w:num w:numId="2">
    <w:abstractNumId w:val="201"/>
  </w:num>
  <w:num w:numId="3">
    <w:abstractNumId w:val="13"/>
  </w:num>
  <w:num w:numId="4">
    <w:abstractNumId w:val="24"/>
  </w:num>
  <w:num w:numId="5">
    <w:abstractNumId w:val="98"/>
  </w:num>
  <w:num w:numId="6">
    <w:abstractNumId w:val="66"/>
  </w:num>
  <w:num w:numId="7">
    <w:abstractNumId w:val="163"/>
  </w:num>
  <w:num w:numId="8">
    <w:abstractNumId w:val="96"/>
  </w:num>
  <w:num w:numId="9">
    <w:abstractNumId w:val="196"/>
  </w:num>
  <w:num w:numId="10">
    <w:abstractNumId w:val="63"/>
  </w:num>
  <w:num w:numId="11">
    <w:abstractNumId w:val="121"/>
  </w:num>
  <w:num w:numId="12">
    <w:abstractNumId w:val="46"/>
  </w:num>
  <w:num w:numId="13">
    <w:abstractNumId w:val="188"/>
  </w:num>
  <w:num w:numId="14">
    <w:abstractNumId w:val="20"/>
  </w:num>
  <w:num w:numId="15">
    <w:abstractNumId w:val="141"/>
  </w:num>
  <w:num w:numId="16">
    <w:abstractNumId w:val="116"/>
  </w:num>
  <w:num w:numId="17">
    <w:abstractNumId w:val="145"/>
  </w:num>
  <w:num w:numId="18">
    <w:abstractNumId w:val="130"/>
  </w:num>
  <w:num w:numId="19">
    <w:abstractNumId w:val="55"/>
  </w:num>
  <w:num w:numId="20">
    <w:abstractNumId w:val="160"/>
  </w:num>
  <w:num w:numId="21">
    <w:abstractNumId w:val="0"/>
  </w:num>
  <w:num w:numId="22">
    <w:abstractNumId w:val="11"/>
  </w:num>
  <w:num w:numId="23">
    <w:abstractNumId w:val="83"/>
  </w:num>
  <w:num w:numId="24">
    <w:abstractNumId w:val="25"/>
  </w:num>
  <w:num w:numId="25">
    <w:abstractNumId w:val="148"/>
  </w:num>
  <w:num w:numId="26">
    <w:abstractNumId w:val="108"/>
  </w:num>
  <w:num w:numId="27">
    <w:abstractNumId w:val="183"/>
  </w:num>
  <w:num w:numId="28">
    <w:abstractNumId w:val="179"/>
  </w:num>
  <w:num w:numId="29">
    <w:abstractNumId w:val="195"/>
  </w:num>
  <w:num w:numId="30">
    <w:abstractNumId w:val="174"/>
  </w:num>
  <w:num w:numId="31">
    <w:abstractNumId w:val="57"/>
  </w:num>
  <w:num w:numId="32">
    <w:abstractNumId w:val="190"/>
  </w:num>
  <w:num w:numId="33">
    <w:abstractNumId w:val="177"/>
  </w:num>
  <w:num w:numId="34">
    <w:abstractNumId w:val="91"/>
  </w:num>
  <w:num w:numId="35">
    <w:abstractNumId w:val="41"/>
  </w:num>
  <w:num w:numId="36">
    <w:abstractNumId w:val="167"/>
  </w:num>
  <w:num w:numId="37">
    <w:abstractNumId w:val="29"/>
  </w:num>
  <w:num w:numId="38">
    <w:abstractNumId w:val="39"/>
  </w:num>
  <w:num w:numId="39">
    <w:abstractNumId w:val="135"/>
  </w:num>
  <w:num w:numId="40">
    <w:abstractNumId w:val="62"/>
  </w:num>
  <w:num w:numId="41">
    <w:abstractNumId w:val="69"/>
  </w:num>
  <w:num w:numId="42">
    <w:abstractNumId w:val="49"/>
  </w:num>
  <w:num w:numId="43">
    <w:abstractNumId w:val="146"/>
  </w:num>
  <w:num w:numId="44">
    <w:abstractNumId w:val="93"/>
  </w:num>
  <w:num w:numId="45">
    <w:abstractNumId w:val="184"/>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9"/>
  </w:num>
  <w:num w:numId="53">
    <w:abstractNumId w:val="119"/>
  </w:num>
  <w:num w:numId="54">
    <w:abstractNumId w:val="99"/>
  </w:num>
  <w:num w:numId="55">
    <w:abstractNumId w:val="138"/>
  </w:num>
  <w:num w:numId="56">
    <w:abstractNumId w:val="164"/>
  </w:num>
  <w:num w:numId="57">
    <w:abstractNumId w:val="104"/>
  </w:num>
  <w:num w:numId="58">
    <w:abstractNumId w:val="90"/>
  </w:num>
  <w:num w:numId="59">
    <w:abstractNumId w:val="12"/>
  </w:num>
  <w:num w:numId="60">
    <w:abstractNumId w:val="58"/>
  </w:num>
  <w:num w:numId="61">
    <w:abstractNumId w:val="72"/>
  </w:num>
  <w:num w:numId="62">
    <w:abstractNumId w:val="122"/>
  </w:num>
  <w:num w:numId="63">
    <w:abstractNumId w:val="186"/>
  </w:num>
  <w:num w:numId="64">
    <w:abstractNumId w:val="2"/>
  </w:num>
  <w:num w:numId="65">
    <w:abstractNumId w:val="192"/>
  </w:num>
  <w:num w:numId="66">
    <w:abstractNumId w:val="22"/>
  </w:num>
  <w:num w:numId="67">
    <w:abstractNumId w:val="37"/>
  </w:num>
  <w:num w:numId="68">
    <w:abstractNumId w:val="137"/>
  </w:num>
  <w:num w:numId="69">
    <w:abstractNumId w:val="48"/>
  </w:num>
  <w:num w:numId="70">
    <w:abstractNumId w:val="185"/>
  </w:num>
  <w:num w:numId="71">
    <w:abstractNumId w:val="133"/>
  </w:num>
  <w:num w:numId="72">
    <w:abstractNumId w:val="157"/>
  </w:num>
  <w:num w:numId="73">
    <w:abstractNumId w:val="189"/>
  </w:num>
  <w:num w:numId="74">
    <w:abstractNumId w:val="129"/>
  </w:num>
  <w:num w:numId="75">
    <w:abstractNumId w:val="51"/>
  </w:num>
  <w:num w:numId="76">
    <w:abstractNumId w:val="32"/>
  </w:num>
  <w:num w:numId="77">
    <w:abstractNumId w:val="109"/>
  </w:num>
  <w:num w:numId="78">
    <w:abstractNumId w:val="85"/>
  </w:num>
  <w:num w:numId="79">
    <w:abstractNumId w:val="6"/>
  </w:num>
  <w:num w:numId="80">
    <w:abstractNumId w:val="165"/>
  </w:num>
  <w:num w:numId="81">
    <w:abstractNumId w:val="92"/>
  </w:num>
  <w:num w:numId="82">
    <w:abstractNumId w:val="194"/>
  </w:num>
  <w:num w:numId="83">
    <w:abstractNumId w:val="181"/>
  </w:num>
  <w:num w:numId="84">
    <w:abstractNumId w:val="86"/>
  </w:num>
  <w:num w:numId="85">
    <w:abstractNumId w:val="75"/>
  </w:num>
  <w:num w:numId="86">
    <w:abstractNumId w:val="14"/>
  </w:num>
  <w:num w:numId="87">
    <w:abstractNumId w:val="94"/>
  </w:num>
  <w:num w:numId="88">
    <w:abstractNumId w:val="102"/>
  </w:num>
  <w:num w:numId="89">
    <w:abstractNumId w:val="103"/>
  </w:num>
  <w:num w:numId="90">
    <w:abstractNumId w:val="67"/>
  </w:num>
  <w:num w:numId="91">
    <w:abstractNumId w:val="3"/>
  </w:num>
  <w:num w:numId="92">
    <w:abstractNumId w:val="143"/>
  </w:num>
  <w:num w:numId="93">
    <w:abstractNumId w:val="158"/>
  </w:num>
  <w:num w:numId="94">
    <w:abstractNumId w:val="110"/>
  </w:num>
  <w:num w:numId="95">
    <w:abstractNumId w:val="123"/>
  </w:num>
  <w:num w:numId="96">
    <w:abstractNumId w:val="19"/>
  </w:num>
  <w:num w:numId="97">
    <w:abstractNumId w:val="113"/>
  </w:num>
  <w:num w:numId="98">
    <w:abstractNumId w:val="105"/>
  </w:num>
  <w:num w:numId="99">
    <w:abstractNumId w:val="169"/>
  </w:num>
  <w:num w:numId="100">
    <w:abstractNumId w:val="10"/>
  </w:num>
  <w:num w:numId="101">
    <w:abstractNumId w:val="191"/>
  </w:num>
  <w:num w:numId="102">
    <w:abstractNumId w:val="162"/>
  </w:num>
  <w:num w:numId="103">
    <w:abstractNumId w:val="9"/>
  </w:num>
  <w:num w:numId="104">
    <w:abstractNumId w:val="64"/>
  </w:num>
  <w:num w:numId="105">
    <w:abstractNumId w:val="124"/>
  </w:num>
  <w:num w:numId="106">
    <w:abstractNumId w:val="112"/>
  </w:num>
  <w:num w:numId="107">
    <w:abstractNumId w:val="18"/>
  </w:num>
  <w:num w:numId="108">
    <w:abstractNumId w:val="47"/>
  </w:num>
  <w:num w:numId="109">
    <w:abstractNumId w:val="21"/>
  </w:num>
  <w:num w:numId="110">
    <w:abstractNumId w:val="38"/>
    <w:lvlOverride w:ilvl="3">
      <w:lvl w:ilvl="3">
        <w:start w:val="1"/>
        <w:numFmt w:val="lowerRoman"/>
        <w:lvlText w:val="%4."/>
        <w:lvlJc w:val="right"/>
        <w:pPr>
          <w:ind w:left="1440" w:hanging="360"/>
        </w:pPr>
        <w:rPr>
          <w:rFonts w:hint="default"/>
          <w:sz w:val="20"/>
        </w:rPr>
      </w:lvl>
    </w:lvlOverride>
  </w:num>
  <w:num w:numId="111">
    <w:abstractNumId w:val="81"/>
  </w:num>
  <w:num w:numId="112">
    <w:abstractNumId w:val="114"/>
  </w:num>
  <w:num w:numId="113">
    <w:abstractNumId w:val="151"/>
  </w:num>
  <w:num w:numId="114">
    <w:abstractNumId w:val="118"/>
  </w:num>
  <w:num w:numId="115">
    <w:abstractNumId w:val="56"/>
  </w:num>
  <w:num w:numId="116">
    <w:abstractNumId w:val="117"/>
  </w:num>
  <w:num w:numId="117">
    <w:abstractNumId w:val="193"/>
  </w:num>
  <w:num w:numId="118">
    <w:abstractNumId w:val="65"/>
  </w:num>
  <w:num w:numId="119">
    <w:abstractNumId w:val="187"/>
  </w:num>
  <w:num w:numId="120">
    <w:abstractNumId w:val="136"/>
  </w:num>
  <w:num w:numId="121">
    <w:abstractNumId w:val="36"/>
  </w:num>
  <w:num w:numId="122">
    <w:abstractNumId w:val="156"/>
  </w:num>
  <w:num w:numId="123">
    <w:abstractNumId w:val="53"/>
  </w:num>
  <w:num w:numId="124">
    <w:abstractNumId w:val="126"/>
  </w:num>
  <w:num w:numId="125">
    <w:abstractNumId w:val="87"/>
  </w:num>
  <w:num w:numId="126">
    <w:abstractNumId w:val="132"/>
  </w:num>
  <w:num w:numId="127">
    <w:abstractNumId w:val="198"/>
  </w:num>
  <w:num w:numId="128">
    <w:abstractNumId w:val="173"/>
  </w:num>
  <w:num w:numId="129">
    <w:abstractNumId w:val="134"/>
  </w:num>
  <w:num w:numId="130">
    <w:abstractNumId w:val="106"/>
  </w:num>
  <w:num w:numId="131">
    <w:abstractNumId w:val="139"/>
  </w:num>
  <w:num w:numId="132">
    <w:abstractNumId w:val="152"/>
  </w:num>
  <w:num w:numId="133">
    <w:abstractNumId w:val="15"/>
  </w:num>
  <w:num w:numId="134">
    <w:abstractNumId w:val="97"/>
  </w:num>
  <w:num w:numId="135">
    <w:abstractNumId w:val="43"/>
  </w:num>
  <w:num w:numId="136">
    <w:abstractNumId w:val="80"/>
  </w:num>
  <w:num w:numId="137">
    <w:abstractNumId w:val="142"/>
  </w:num>
  <w:num w:numId="138">
    <w:abstractNumId w:val="27"/>
  </w:num>
  <w:num w:numId="139">
    <w:abstractNumId w:val="28"/>
  </w:num>
  <w:num w:numId="140">
    <w:abstractNumId w:val="171"/>
  </w:num>
  <w:num w:numId="141">
    <w:abstractNumId w:val="182"/>
  </w:num>
  <w:num w:numId="142">
    <w:abstractNumId w:val="178"/>
  </w:num>
  <w:num w:numId="143">
    <w:abstractNumId w:val="78"/>
  </w:num>
  <w:num w:numId="144">
    <w:abstractNumId w:val="197"/>
  </w:num>
  <w:num w:numId="145">
    <w:abstractNumId w:val="200"/>
  </w:num>
  <w:num w:numId="146">
    <w:abstractNumId w:val="33"/>
  </w:num>
  <w:num w:numId="147">
    <w:abstractNumId w:val="17"/>
  </w:num>
  <w:num w:numId="148">
    <w:abstractNumId w:val="107"/>
  </w:num>
  <w:num w:numId="149">
    <w:abstractNumId w:val="199"/>
  </w:num>
  <w:num w:numId="150">
    <w:abstractNumId w:val="23"/>
  </w:num>
  <w:num w:numId="151">
    <w:abstractNumId w:val="79"/>
  </w:num>
  <w:num w:numId="152">
    <w:abstractNumId w:val="115"/>
  </w:num>
  <w:num w:numId="153">
    <w:abstractNumId w:val="170"/>
  </w:num>
  <w:num w:numId="154">
    <w:abstractNumId w:val="76"/>
  </w:num>
  <w:num w:numId="155">
    <w:abstractNumId w:val="147"/>
  </w:num>
  <w:num w:numId="156">
    <w:abstractNumId w:val="59"/>
  </w:num>
  <w:num w:numId="157">
    <w:abstractNumId w:val="175"/>
  </w:num>
  <w:num w:numId="158">
    <w:abstractNumId w:val="71"/>
  </w:num>
  <w:num w:numId="159">
    <w:abstractNumId w:val="168"/>
  </w:num>
  <w:num w:numId="160">
    <w:abstractNumId w:val="144"/>
  </w:num>
  <w:num w:numId="161">
    <w:abstractNumId w:val="89"/>
  </w:num>
  <w:num w:numId="162">
    <w:abstractNumId w:val="50"/>
  </w:num>
  <w:num w:numId="163">
    <w:abstractNumId w:val="44"/>
  </w:num>
  <w:num w:numId="164">
    <w:abstractNumId w:val="26"/>
  </w:num>
  <w:num w:numId="165">
    <w:abstractNumId w:val="150"/>
  </w:num>
  <w:num w:numId="166">
    <w:abstractNumId w:val="95"/>
  </w:num>
  <w:num w:numId="167">
    <w:abstractNumId w:val="1"/>
  </w:num>
  <w:num w:numId="168">
    <w:abstractNumId w:val="7"/>
  </w:num>
  <w:num w:numId="169">
    <w:abstractNumId w:val="88"/>
  </w:num>
  <w:num w:numId="170">
    <w:abstractNumId w:val="31"/>
  </w:num>
  <w:num w:numId="171">
    <w:abstractNumId w:val="82"/>
  </w:num>
  <w:num w:numId="172">
    <w:abstractNumId w:val="84"/>
  </w:num>
  <w:num w:numId="173">
    <w:abstractNumId w:val="128"/>
  </w:num>
  <w:num w:numId="174">
    <w:abstractNumId w:val="5"/>
  </w:num>
  <w:num w:numId="175">
    <w:abstractNumId w:val="30"/>
  </w:num>
  <w:num w:numId="176">
    <w:abstractNumId w:val="4"/>
  </w:num>
  <w:num w:numId="177">
    <w:abstractNumId w:val="40"/>
  </w:num>
  <w:num w:numId="178">
    <w:abstractNumId w:val="159"/>
  </w:num>
  <w:num w:numId="179">
    <w:abstractNumId w:val="140"/>
  </w:num>
  <w:num w:numId="180">
    <w:abstractNumId w:val="68"/>
  </w:num>
  <w:num w:numId="181">
    <w:abstractNumId w:val="42"/>
  </w:num>
  <w:num w:numId="182">
    <w:abstractNumId w:val="153"/>
  </w:num>
  <w:num w:numId="183">
    <w:abstractNumId w:val="166"/>
  </w:num>
  <w:num w:numId="184">
    <w:abstractNumId w:val="131"/>
  </w:num>
  <w:num w:numId="185">
    <w:abstractNumId w:val="180"/>
  </w:num>
  <w:num w:numId="186">
    <w:abstractNumId w:val="60"/>
  </w:num>
  <w:num w:numId="187">
    <w:abstractNumId w:val="35"/>
  </w:num>
  <w:num w:numId="188">
    <w:abstractNumId w:val="54"/>
  </w:num>
  <w:num w:numId="189">
    <w:abstractNumId w:val="120"/>
  </w:num>
  <w:num w:numId="190">
    <w:abstractNumId w:val="127"/>
  </w:num>
  <w:num w:numId="191">
    <w:abstractNumId w:val="111"/>
  </w:num>
  <w:num w:numId="192">
    <w:abstractNumId w:val="74"/>
  </w:num>
  <w:num w:numId="193">
    <w:abstractNumId w:val="16"/>
  </w:num>
  <w:num w:numId="194">
    <w:abstractNumId w:val="155"/>
  </w:num>
  <w:num w:numId="195">
    <w:abstractNumId w:val="34"/>
  </w:num>
  <w:num w:numId="196">
    <w:abstractNumId w:val="52"/>
  </w:num>
  <w:num w:numId="197">
    <w:abstractNumId w:val="100"/>
  </w:num>
  <w:num w:numId="198">
    <w:abstractNumId w:val="101"/>
  </w:num>
  <w:num w:numId="199">
    <w:abstractNumId w:val="77"/>
  </w:num>
  <w:num w:numId="200">
    <w:abstractNumId w:val="73"/>
  </w:num>
  <w:num w:numId="201">
    <w:abstractNumId w:val="61"/>
  </w:num>
  <w:num w:numId="202">
    <w:abstractNumId w:val="202"/>
  </w:num>
  <w:num w:numId="203">
    <w:abstractNumId w:val="172"/>
  </w:num>
  <w:num w:numId="204">
    <w:abstractNumId w:val="8"/>
  </w:num>
  <w:num w:numId="205">
    <w:abstractNumId w:val="176"/>
  </w:num>
  <w:num w:numId="206">
    <w:abstractNumId w:val="70"/>
  </w:num>
  <w:num w:numId="207">
    <w:abstractNumId w:val="125"/>
  </w:num>
  <w:num w:numId="208">
    <w:abstractNumId w:val="161"/>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8D3F41-702F-4C81-B742-7A5F86A8B5D4}"/>
    <w:docVar w:name="dgnword-eventsink" w:val="2447240383472"/>
  </w:docVars>
  <w:rsids>
    <w:rsidRoot w:val="006F5170"/>
    <w:rsid w:val="00000467"/>
    <w:rsid w:val="00000C12"/>
    <w:rsid w:val="00002163"/>
    <w:rsid w:val="000036BC"/>
    <w:rsid w:val="00003F31"/>
    <w:rsid w:val="000042AD"/>
    <w:rsid w:val="00004863"/>
    <w:rsid w:val="00004D48"/>
    <w:rsid w:val="00005140"/>
    <w:rsid w:val="00005FD2"/>
    <w:rsid w:val="00007E58"/>
    <w:rsid w:val="00007E72"/>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7D8"/>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3E8C"/>
    <w:rsid w:val="00065993"/>
    <w:rsid w:val="00065E37"/>
    <w:rsid w:val="00066F8D"/>
    <w:rsid w:val="00067EEF"/>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4EA"/>
    <w:rsid w:val="000E0A82"/>
    <w:rsid w:val="000E0B50"/>
    <w:rsid w:val="000E0C27"/>
    <w:rsid w:val="000E0EF5"/>
    <w:rsid w:val="000E168D"/>
    <w:rsid w:val="000E179A"/>
    <w:rsid w:val="000E2A5F"/>
    <w:rsid w:val="000E2EF0"/>
    <w:rsid w:val="000E41A8"/>
    <w:rsid w:val="000E4522"/>
    <w:rsid w:val="000E586A"/>
    <w:rsid w:val="000E6E7C"/>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4CDD"/>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C4A"/>
    <w:rsid w:val="00143D3C"/>
    <w:rsid w:val="001441CA"/>
    <w:rsid w:val="001445CC"/>
    <w:rsid w:val="00144ED3"/>
    <w:rsid w:val="00144F76"/>
    <w:rsid w:val="00145661"/>
    <w:rsid w:val="00145D86"/>
    <w:rsid w:val="00146DAD"/>
    <w:rsid w:val="00146F09"/>
    <w:rsid w:val="0014720D"/>
    <w:rsid w:val="00150E73"/>
    <w:rsid w:val="00151243"/>
    <w:rsid w:val="00151A1B"/>
    <w:rsid w:val="001527FF"/>
    <w:rsid w:val="0015358A"/>
    <w:rsid w:val="00155013"/>
    <w:rsid w:val="00155111"/>
    <w:rsid w:val="00161023"/>
    <w:rsid w:val="00161B35"/>
    <w:rsid w:val="0016232E"/>
    <w:rsid w:val="0016254C"/>
    <w:rsid w:val="001627F5"/>
    <w:rsid w:val="00162A3C"/>
    <w:rsid w:val="00162C21"/>
    <w:rsid w:val="00163259"/>
    <w:rsid w:val="00163C0D"/>
    <w:rsid w:val="00166300"/>
    <w:rsid w:val="00166CD5"/>
    <w:rsid w:val="00167082"/>
    <w:rsid w:val="001700D5"/>
    <w:rsid w:val="001706FD"/>
    <w:rsid w:val="00170736"/>
    <w:rsid w:val="00171696"/>
    <w:rsid w:val="001717EE"/>
    <w:rsid w:val="00172F40"/>
    <w:rsid w:val="00174C25"/>
    <w:rsid w:val="00175327"/>
    <w:rsid w:val="001758A0"/>
    <w:rsid w:val="00176D4B"/>
    <w:rsid w:val="00180D4F"/>
    <w:rsid w:val="001830EE"/>
    <w:rsid w:val="00183B01"/>
    <w:rsid w:val="00186D31"/>
    <w:rsid w:val="00186EB1"/>
    <w:rsid w:val="00186F37"/>
    <w:rsid w:val="00190B3A"/>
    <w:rsid w:val="001925F5"/>
    <w:rsid w:val="00192CD4"/>
    <w:rsid w:val="001954FA"/>
    <w:rsid w:val="00196FEA"/>
    <w:rsid w:val="0019729C"/>
    <w:rsid w:val="00197981"/>
    <w:rsid w:val="001A0205"/>
    <w:rsid w:val="001A0E94"/>
    <w:rsid w:val="001A0ED5"/>
    <w:rsid w:val="001A2178"/>
    <w:rsid w:val="001A24FC"/>
    <w:rsid w:val="001A3D5B"/>
    <w:rsid w:val="001A5A8E"/>
    <w:rsid w:val="001A5E70"/>
    <w:rsid w:val="001A6F54"/>
    <w:rsid w:val="001B0344"/>
    <w:rsid w:val="001B087C"/>
    <w:rsid w:val="001B0956"/>
    <w:rsid w:val="001B1077"/>
    <w:rsid w:val="001B206F"/>
    <w:rsid w:val="001B21CA"/>
    <w:rsid w:val="001B3C90"/>
    <w:rsid w:val="001B40C9"/>
    <w:rsid w:val="001B5D0E"/>
    <w:rsid w:val="001B5D75"/>
    <w:rsid w:val="001B621C"/>
    <w:rsid w:val="001B6BDD"/>
    <w:rsid w:val="001B727A"/>
    <w:rsid w:val="001C2067"/>
    <w:rsid w:val="001C25CF"/>
    <w:rsid w:val="001C25D9"/>
    <w:rsid w:val="001C400C"/>
    <w:rsid w:val="001C516B"/>
    <w:rsid w:val="001C6171"/>
    <w:rsid w:val="001D08A5"/>
    <w:rsid w:val="001D0C1B"/>
    <w:rsid w:val="001D262A"/>
    <w:rsid w:val="001D340A"/>
    <w:rsid w:val="001D362E"/>
    <w:rsid w:val="001D3747"/>
    <w:rsid w:val="001D3BE1"/>
    <w:rsid w:val="001D459F"/>
    <w:rsid w:val="001D59B1"/>
    <w:rsid w:val="001D5A3E"/>
    <w:rsid w:val="001D5C78"/>
    <w:rsid w:val="001D609A"/>
    <w:rsid w:val="001D6127"/>
    <w:rsid w:val="001D6A61"/>
    <w:rsid w:val="001D6D06"/>
    <w:rsid w:val="001D7FEE"/>
    <w:rsid w:val="001E2591"/>
    <w:rsid w:val="001E4322"/>
    <w:rsid w:val="001E4927"/>
    <w:rsid w:val="001E5443"/>
    <w:rsid w:val="001E587A"/>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475B9"/>
    <w:rsid w:val="0025046C"/>
    <w:rsid w:val="00250F8B"/>
    <w:rsid w:val="00252853"/>
    <w:rsid w:val="00253B4F"/>
    <w:rsid w:val="00253E6E"/>
    <w:rsid w:val="002551FA"/>
    <w:rsid w:val="00255389"/>
    <w:rsid w:val="002556C9"/>
    <w:rsid w:val="0025632E"/>
    <w:rsid w:val="00256E9D"/>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104"/>
    <w:rsid w:val="00287D13"/>
    <w:rsid w:val="00290596"/>
    <w:rsid w:val="00290B90"/>
    <w:rsid w:val="00292D3B"/>
    <w:rsid w:val="0029308A"/>
    <w:rsid w:val="0029310C"/>
    <w:rsid w:val="0029331D"/>
    <w:rsid w:val="002941DA"/>
    <w:rsid w:val="00295A0B"/>
    <w:rsid w:val="00295C98"/>
    <w:rsid w:val="00297381"/>
    <w:rsid w:val="0029770D"/>
    <w:rsid w:val="0029797D"/>
    <w:rsid w:val="002A08FA"/>
    <w:rsid w:val="002A233F"/>
    <w:rsid w:val="002A3E04"/>
    <w:rsid w:val="002A57AC"/>
    <w:rsid w:val="002A6848"/>
    <w:rsid w:val="002A6EA4"/>
    <w:rsid w:val="002A7E43"/>
    <w:rsid w:val="002B0604"/>
    <w:rsid w:val="002B0B98"/>
    <w:rsid w:val="002B2A16"/>
    <w:rsid w:val="002B3946"/>
    <w:rsid w:val="002B4607"/>
    <w:rsid w:val="002B654A"/>
    <w:rsid w:val="002B66D4"/>
    <w:rsid w:val="002C1A76"/>
    <w:rsid w:val="002C2997"/>
    <w:rsid w:val="002C3D30"/>
    <w:rsid w:val="002C465B"/>
    <w:rsid w:val="002C47F9"/>
    <w:rsid w:val="002C544D"/>
    <w:rsid w:val="002C5AC1"/>
    <w:rsid w:val="002C5ECB"/>
    <w:rsid w:val="002C64A5"/>
    <w:rsid w:val="002C7166"/>
    <w:rsid w:val="002C7EA8"/>
    <w:rsid w:val="002C7F53"/>
    <w:rsid w:val="002D00F3"/>
    <w:rsid w:val="002D0170"/>
    <w:rsid w:val="002D0963"/>
    <w:rsid w:val="002D0C0C"/>
    <w:rsid w:val="002D23AC"/>
    <w:rsid w:val="002D3CB7"/>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29FE"/>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4FF4"/>
    <w:rsid w:val="003555F8"/>
    <w:rsid w:val="00356031"/>
    <w:rsid w:val="003563BF"/>
    <w:rsid w:val="00356A09"/>
    <w:rsid w:val="00356EF2"/>
    <w:rsid w:val="00356F44"/>
    <w:rsid w:val="0035799C"/>
    <w:rsid w:val="0036017F"/>
    <w:rsid w:val="003606D7"/>
    <w:rsid w:val="00360E2F"/>
    <w:rsid w:val="00361056"/>
    <w:rsid w:val="00362259"/>
    <w:rsid w:val="00363C5D"/>
    <w:rsid w:val="00365604"/>
    <w:rsid w:val="00366B31"/>
    <w:rsid w:val="00367569"/>
    <w:rsid w:val="00371136"/>
    <w:rsid w:val="0037323E"/>
    <w:rsid w:val="00374391"/>
    <w:rsid w:val="003778DE"/>
    <w:rsid w:val="0037794D"/>
    <w:rsid w:val="00380E09"/>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27"/>
    <w:rsid w:val="003B2CE9"/>
    <w:rsid w:val="003B3AD4"/>
    <w:rsid w:val="003B54E5"/>
    <w:rsid w:val="003B57AD"/>
    <w:rsid w:val="003B5C10"/>
    <w:rsid w:val="003B6411"/>
    <w:rsid w:val="003B70A0"/>
    <w:rsid w:val="003B7D31"/>
    <w:rsid w:val="003C0FE4"/>
    <w:rsid w:val="003C1133"/>
    <w:rsid w:val="003C3520"/>
    <w:rsid w:val="003C35A3"/>
    <w:rsid w:val="003C482A"/>
    <w:rsid w:val="003C6CB3"/>
    <w:rsid w:val="003C75EC"/>
    <w:rsid w:val="003C75ED"/>
    <w:rsid w:val="003C79D7"/>
    <w:rsid w:val="003D0036"/>
    <w:rsid w:val="003D035C"/>
    <w:rsid w:val="003D249C"/>
    <w:rsid w:val="003D2590"/>
    <w:rsid w:val="003D5156"/>
    <w:rsid w:val="003D5CB6"/>
    <w:rsid w:val="003D7C4F"/>
    <w:rsid w:val="003E1CB3"/>
    <w:rsid w:val="003E3E27"/>
    <w:rsid w:val="003E4315"/>
    <w:rsid w:val="003E55B4"/>
    <w:rsid w:val="003E5975"/>
    <w:rsid w:val="003E6F37"/>
    <w:rsid w:val="003E7008"/>
    <w:rsid w:val="003F0E44"/>
    <w:rsid w:val="003F245D"/>
    <w:rsid w:val="003F2A6B"/>
    <w:rsid w:val="003F45D1"/>
    <w:rsid w:val="003F4BBE"/>
    <w:rsid w:val="003F5051"/>
    <w:rsid w:val="003F667C"/>
    <w:rsid w:val="003F7B53"/>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614"/>
    <w:rsid w:val="00427C43"/>
    <w:rsid w:val="004319FC"/>
    <w:rsid w:val="004343FA"/>
    <w:rsid w:val="004347B2"/>
    <w:rsid w:val="00434A2D"/>
    <w:rsid w:val="00434F62"/>
    <w:rsid w:val="0043553B"/>
    <w:rsid w:val="0043697C"/>
    <w:rsid w:val="00437E0D"/>
    <w:rsid w:val="00440EE7"/>
    <w:rsid w:val="004424F9"/>
    <w:rsid w:val="00442AE9"/>
    <w:rsid w:val="004430A5"/>
    <w:rsid w:val="00444047"/>
    <w:rsid w:val="00445A41"/>
    <w:rsid w:val="00445E17"/>
    <w:rsid w:val="004466BB"/>
    <w:rsid w:val="00447052"/>
    <w:rsid w:val="0044791B"/>
    <w:rsid w:val="00452929"/>
    <w:rsid w:val="00453297"/>
    <w:rsid w:val="00453941"/>
    <w:rsid w:val="00454874"/>
    <w:rsid w:val="0045493F"/>
    <w:rsid w:val="00455EA5"/>
    <w:rsid w:val="00456184"/>
    <w:rsid w:val="00456BB6"/>
    <w:rsid w:val="004609B2"/>
    <w:rsid w:val="00461C90"/>
    <w:rsid w:val="00462679"/>
    <w:rsid w:val="00463B5B"/>
    <w:rsid w:val="00464075"/>
    <w:rsid w:val="00464BF8"/>
    <w:rsid w:val="00464CAD"/>
    <w:rsid w:val="00464DA4"/>
    <w:rsid w:val="0046520B"/>
    <w:rsid w:val="00465680"/>
    <w:rsid w:val="00466359"/>
    <w:rsid w:val="004665A7"/>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014F"/>
    <w:rsid w:val="00491420"/>
    <w:rsid w:val="00492252"/>
    <w:rsid w:val="004929B7"/>
    <w:rsid w:val="00493439"/>
    <w:rsid w:val="00496ABC"/>
    <w:rsid w:val="00497643"/>
    <w:rsid w:val="004A0C87"/>
    <w:rsid w:val="004A0EB3"/>
    <w:rsid w:val="004A11AA"/>
    <w:rsid w:val="004A1C74"/>
    <w:rsid w:val="004A3315"/>
    <w:rsid w:val="004A3DF3"/>
    <w:rsid w:val="004A6014"/>
    <w:rsid w:val="004A6E40"/>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1E58"/>
    <w:rsid w:val="004D31AE"/>
    <w:rsid w:val="004D4B39"/>
    <w:rsid w:val="004D5FF3"/>
    <w:rsid w:val="004D7680"/>
    <w:rsid w:val="004E056F"/>
    <w:rsid w:val="004E1EC2"/>
    <w:rsid w:val="004E254A"/>
    <w:rsid w:val="004E2930"/>
    <w:rsid w:val="004E2E10"/>
    <w:rsid w:val="004E4618"/>
    <w:rsid w:val="004E535D"/>
    <w:rsid w:val="004E5E90"/>
    <w:rsid w:val="004E7066"/>
    <w:rsid w:val="004F0DFE"/>
    <w:rsid w:val="004F134B"/>
    <w:rsid w:val="004F3719"/>
    <w:rsid w:val="004F5645"/>
    <w:rsid w:val="004F600F"/>
    <w:rsid w:val="004F6485"/>
    <w:rsid w:val="00500629"/>
    <w:rsid w:val="00500FC3"/>
    <w:rsid w:val="00502633"/>
    <w:rsid w:val="00502B99"/>
    <w:rsid w:val="00503841"/>
    <w:rsid w:val="00503F77"/>
    <w:rsid w:val="00506AB2"/>
    <w:rsid w:val="00507FE7"/>
    <w:rsid w:val="00512A33"/>
    <w:rsid w:val="00514161"/>
    <w:rsid w:val="005150C7"/>
    <w:rsid w:val="0051658C"/>
    <w:rsid w:val="00516942"/>
    <w:rsid w:val="005169C8"/>
    <w:rsid w:val="005169CB"/>
    <w:rsid w:val="00516BFF"/>
    <w:rsid w:val="00516C2F"/>
    <w:rsid w:val="0052136C"/>
    <w:rsid w:val="00521BC1"/>
    <w:rsid w:val="005220D6"/>
    <w:rsid w:val="00522117"/>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5B78"/>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2E1"/>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40B"/>
    <w:rsid w:val="00592EBA"/>
    <w:rsid w:val="005940CB"/>
    <w:rsid w:val="00595912"/>
    <w:rsid w:val="00596727"/>
    <w:rsid w:val="005A006D"/>
    <w:rsid w:val="005A1CC3"/>
    <w:rsid w:val="005A4142"/>
    <w:rsid w:val="005A536A"/>
    <w:rsid w:val="005A5BE0"/>
    <w:rsid w:val="005A5F87"/>
    <w:rsid w:val="005A675C"/>
    <w:rsid w:val="005A72E6"/>
    <w:rsid w:val="005B0EE3"/>
    <w:rsid w:val="005B2170"/>
    <w:rsid w:val="005B25BD"/>
    <w:rsid w:val="005B2E9B"/>
    <w:rsid w:val="005B3BEC"/>
    <w:rsid w:val="005B3DCD"/>
    <w:rsid w:val="005B576E"/>
    <w:rsid w:val="005B633D"/>
    <w:rsid w:val="005B6712"/>
    <w:rsid w:val="005B7702"/>
    <w:rsid w:val="005B7E6B"/>
    <w:rsid w:val="005C0795"/>
    <w:rsid w:val="005C32FA"/>
    <w:rsid w:val="005C48C2"/>
    <w:rsid w:val="005C4D92"/>
    <w:rsid w:val="005C56DB"/>
    <w:rsid w:val="005C5F43"/>
    <w:rsid w:val="005C6663"/>
    <w:rsid w:val="005C669E"/>
    <w:rsid w:val="005C715F"/>
    <w:rsid w:val="005C7395"/>
    <w:rsid w:val="005C778E"/>
    <w:rsid w:val="005D0ABC"/>
    <w:rsid w:val="005D14DA"/>
    <w:rsid w:val="005D1B3C"/>
    <w:rsid w:val="005D1BF6"/>
    <w:rsid w:val="005D1DBD"/>
    <w:rsid w:val="005D3418"/>
    <w:rsid w:val="005D3436"/>
    <w:rsid w:val="005D39AC"/>
    <w:rsid w:val="005D53C3"/>
    <w:rsid w:val="005D5780"/>
    <w:rsid w:val="005D5FAA"/>
    <w:rsid w:val="005D659D"/>
    <w:rsid w:val="005D77FE"/>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0C44"/>
    <w:rsid w:val="005F1F38"/>
    <w:rsid w:val="005F2152"/>
    <w:rsid w:val="005F2364"/>
    <w:rsid w:val="005F447A"/>
    <w:rsid w:val="005F5D92"/>
    <w:rsid w:val="005F6EC6"/>
    <w:rsid w:val="005F72EB"/>
    <w:rsid w:val="005F7412"/>
    <w:rsid w:val="0060001D"/>
    <w:rsid w:val="00600360"/>
    <w:rsid w:val="0060092D"/>
    <w:rsid w:val="006018A0"/>
    <w:rsid w:val="0060255D"/>
    <w:rsid w:val="006038E3"/>
    <w:rsid w:val="00605DDF"/>
    <w:rsid w:val="00605F15"/>
    <w:rsid w:val="006064E9"/>
    <w:rsid w:val="006072F0"/>
    <w:rsid w:val="0061022C"/>
    <w:rsid w:val="00610238"/>
    <w:rsid w:val="006115FF"/>
    <w:rsid w:val="00614383"/>
    <w:rsid w:val="00614E55"/>
    <w:rsid w:val="00614E5D"/>
    <w:rsid w:val="00616C45"/>
    <w:rsid w:val="00616EC2"/>
    <w:rsid w:val="006176C4"/>
    <w:rsid w:val="00620001"/>
    <w:rsid w:val="00622370"/>
    <w:rsid w:val="00623FF5"/>
    <w:rsid w:val="0062484E"/>
    <w:rsid w:val="0062497C"/>
    <w:rsid w:val="00624D6E"/>
    <w:rsid w:val="00624EF4"/>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5140"/>
    <w:rsid w:val="00665557"/>
    <w:rsid w:val="00666BD5"/>
    <w:rsid w:val="00666F6E"/>
    <w:rsid w:val="00667255"/>
    <w:rsid w:val="00667400"/>
    <w:rsid w:val="00667A71"/>
    <w:rsid w:val="0067265E"/>
    <w:rsid w:val="00674437"/>
    <w:rsid w:val="00676153"/>
    <w:rsid w:val="006766BE"/>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8C5"/>
    <w:rsid w:val="006C0C74"/>
    <w:rsid w:val="006C1214"/>
    <w:rsid w:val="006C3587"/>
    <w:rsid w:val="006C3FCC"/>
    <w:rsid w:val="006C461D"/>
    <w:rsid w:val="006C6B89"/>
    <w:rsid w:val="006C6EF6"/>
    <w:rsid w:val="006C7778"/>
    <w:rsid w:val="006C7E90"/>
    <w:rsid w:val="006D04DA"/>
    <w:rsid w:val="006D0598"/>
    <w:rsid w:val="006D05BD"/>
    <w:rsid w:val="006D19A6"/>
    <w:rsid w:val="006D2D00"/>
    <w:rsid w:val="006D339C"/>
    <w:rsid w:val="006D3B3D"/>
    <w:rsid w:val="006D5ED5"/>
    <w:rsid w:val="006D79C2"/>
    <w:rsid w:val="006E06E8"/>
    <w:rsid w:val="006E110B"/>
    <w:rsid w:val="006E172E"/>
    <w:rsid w:val="006E2E05"/>
    <w:rsid w:val="006E3027"/>
    <w:rsid w:val="006E4ADC"/>
    <w:rsid w:val="006E6F7F"/>
    <w:rsid w:val="006E71F9"/>
    <w:rsid w:val="006F13D8"/>
    <w:rsid w:val="006F1C91"/>
    <w:rsid w:val="006F1D51"/>
    <w:rsid w:val="006F1F7B"/>
    <w:rsid w:val="006F456B"/>
    <w:rsid w:val="006F5170"/>
    <w:rsid w:val="006F54BC"/>
    <w:rsid w:val="006F561B"/>
    <w:rsid w:val="006F7D37"/>
    <w:rsid w:val="0070209D"/>
    <w:rsid w:val="007029E7"/>
    <w:rsid w:val="00703A32"/>
    <w:rsid w:val="00703F1B"/>
    <w:rsid w:val="00704528"/>
    <w:rsid w:val="007045E1"/>
    <w:rsid w:val="00704C84"/>
    <w:rsid w:val="0071054B"/>
    <w:rsid w:val="00710CA9"/>
    <w:rsid w:val="00712476"/>
    <w:rsid w:val="00712B64"/>
    <w:rsid w:val="007133D5"/>
    <w:rsid w:val="007141E6"/>
    <w:rsid w:val="007142B4"/>
    <w:rsid w:val="0071513F"/>
    <w:rsid w:val="0071555B"/>
    <w:rsid w:val="007205A5"/>
    <w:rsid w:val="00722849"/>
    <w:rsid w:val="00722D26"/>
    <w:rsid w:val="007240CA"/>
    <w:rsid w:val="00724A49"/>
    <w:rsid w:val="00724C20"/>
    <w:rsid w:val="0072609D"/>
    <w:rsid w:val="00727C09"/>
    <w:rsid w:val="00727DE4"/>
    <w:rsid w:val="0073072C"/>
    <w:rsid w:val="00730EC7"/>
    <w:rsid w:val="00731DA2"/>
    <w:rsid w:val="00732D96"/>
    <w:rsid w:val="007340EA"/>
    <w:rsid w:val="0073448A"/>
    <w:rsid w:val="007373AA"/>
    <w:rsid w:val="007378AC"/>
    <w:rsid w:val="007421D4"/>
    <w:rsid w:val="007422D8"/>
    <w:rsid w:val="00742CFE"/>
    <w:rsid w:val="007433DB"/>
    <w:rsid w:val="00743604"/>
    <w:rsid w:val="0074386B"/>
    <w:rsid w:val="00743B19"/>
    <w:rsid w:val="007443E6"/>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113"/>
    <w:rsid w:val="00776546"/>
    <w:rsid w:val="007769AE"/>
    <w:rsid w:val="00777AA9"/>
    <w:rsid w:val="00780E1E"/>
    <w:rsid w:val="00783828"/>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3C2C"/>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C5D"/>
    <w:rsid w:val="007C5F36"/>
    <w:rsid w:val="007D039B"/>
    <w:rsid w:val="007D150A"/>
    <w:rsid w:val="007D1C81"/>
    <w:rsid w:val="007D247D"/>
    <w:rsid w:val="007D46E0"/>
    <w:rsid w:val="007D5740"/>
    <w:rsid w:val="007E1BCC"/>
    <w:rsid w:val="007E2231"/>
    <w:rsid w:val="007E286A"/>
    <w:rsid w:val="007E2E66"/>
    <w:rsid w:val="007E3C6D"/>
    <w:rsid w:val="007E4190"/>
    <w:rsid w:val="007E4AEF"/>
    <w:rsid w:val="007E5231"/>
    <w:rsid w:val="007E526B"/>
    <w:rsid w:val="007E548A"/>
    <w:rsid w:val="007E79F6"/>
    <w:rsid w:val="007F39F6"/>
    <w:rsid w:val="007F50C1"/>
    <w:rsid w:val="007F6024"/>
    <w:rsid w:val="007F62F3"/>
    <w:rsid w:val="007F7151"/>
    <w:rsid w:val="007F7F34"/>
    <w:rsid w:val="008003A1"/>
    <w:rsid w:val="008022A3"/>
    <w:rsid w:val="00802562"/>
    <w:rsid w:val="00802D7D"/>
    <w:rsid w:val="00802DDC"/>
    <w:rsid w:val="00803291"/>
    <w:rsid w:val="008034DD"/>
    <w:rsid w:val="008034FD"/>
    <w:rsid w:val="00804E14"/>
    <w:rsid w:val="0080562A"/>
    <w:rsid w:val="00805DF9"/>
    <w:rsid w:val="0080602B"/>
    <w:rsid w:val="00806201"/>
    <w:rsid w:val="008063E7"/>
    <w:rsid w:val="00806B7A"/>
    <w:rsid w:val="00806C40"/>
    <w:rsid w:val="0080772F"/>
    <w:rsid w:val="0080788F"/>
    <w:rsid w:val="00810D62"/>
    <w:rsid w:val="00812763"/>
    <w:rsid w:val="00812B1D"/>
    <w:rsid w:val="00813221"/>
    <w:rsid w:val="008132F9"/>
    <w:rsid w:val="00821489"/>
    <w:rsid w:val="00821E98"/>
    <w:rsid w:val="00821F43"/>
    <w:rsid w:val="008223ED"/>
    <w:rsid w:val="0082287B"/>
    <w:rsid w:val="00824244"/>
    <w:rsid w:val="0082586B"/>
    <w:rsid w:val="00831038"/>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1E8F"/>
    <w:rsid w:val="00856F36"/>
    <w:rsid w:val="00861C8C"/>
    <w:rsid w:val="008646E7"/>
    <w:rsid w:val="00865F84"/>
    <w:rsid w:val="00866D04"/>
    <w:rsid w:val="00866E0A"/>
    <w:rsid w:val="008673CB"/>
    <w:rsid w:val="0087025A"/>
    <w:rsid w:val="008711D6"/>
    <w:rsid w:val="0087168F"/>
    <w:rsid w:val="00871BD4"/>
    <w:rsid w:val="0087209C"/>
    <w:rsid w:val="008730FC"/>
    <w:rsid w:val="008766FC"/>
    <w:rsid w:val="00877590"/>
    <w:rsid w:val="008836EB"/>
    <w:rsid w:val="008838C1"/>
    <w:rsid w:val="00883ADC"/>
    <w:rsid w:val="00884514"/>
    <w:rsid w:val="00884B76"/>
    <w:rsid w:val="00886626"/>
    <w:rsid w:val="00886E12"/>
    <w:rsid w:val="00890143"/>
    <w:rsid w:val="00891064"/>
    <w:rsid w:val="0089452F"/>
    <w:rsid w:val="0089455C"/>
    <w:rsid w:val="00895551"/>
    <w:rsid w:val="00896B49"/>
    <w:rsid w:val="008A1E17"/>
    <w:rsid w:val="008A1E92"/>
    <w:rsid w:val="008A26A9"/>
    <w:rsid w:val="008A5ECA"/>
    <w:rsid w:val="008A618E"/>
    <w:rsid w:val="008A6D77"/>
    <w:rsid w:val="008A6FC7"/>
    <w:rsid w:val="008A716B"/>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4228"/>
    <w:rsid w:val="008D5E60"/>
    <w:rsid w:val="008D657A"/>
    <w:rsid w:val="008D6860"/>
    <w:rsid w:val="008D6861"/>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5D9F"/>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43C5"/>
    <w:rsid w:val="0092615F"/>
    <w:rsid w:val="00926916"/>
    <w:rsid w:val="00927524"/>
    <w:rsid w:val="0092760F"/>
    <w:rsid w:val="00930203"/>
    <w:rsid w:val="00931B81"/>
    <w:rsid w:val="00931C6D"/>
    <w:rsid w:val="00931F87"/>
    <w:rsid w:val="009322F5"/>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0125"/>
    <w:rsid w:val="00952221"/>
    <w:rsid w:val="009533AE"/>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8DE"/>
    <w:rsid w:val="00976FCD"/>
    <w:rsid w:val="00977646"/>
    <w:rsid w:val="00977693"/>
    <w:rsid w:val="00977A2B"/>
    <w:rsid w:val="00980D43"/>
    <w:rsid w:val="00980E4B"/>
    <w:rsid w:val="00981066"/>
    <w:rsid w:val="00982937"/>
    <w:rsid w:val="00983A13"/>
    <w:rsid w:val="00983D9D"/>
    <w:rsid w:val="00984E7B"/>
    <w:rsid w:val="00985D20"/>
    <w:rsid w:val="009864D1"/>
    <w:rsid w:val="00987B82"/>
    <w:rsid w:val="009916C2"/>
    <w:rsid w:val="00991FA6"/>
    <w:rsid w:val="00992D62"/>
    <w:rsid w:val="00994EC3"/>
    <w:rsid w:val="0099510C"/>
    <w:rsid w:val="009967E4"/>
    <w:rsid w:val="009A0164"/>
    <w:rsid w:val="009A033C"/>
    <w:rsid w:val="009A0DF6"/>
    <w:rsid w:val="009A1316"/>
    <w:rsid w:val="009A1B6E"/>
    <w:rsid w:val="009A1FA1"/>
    <w:rsid w:val="009A27F3"/>
    <w:rsid w:val="009A37BF"/>
    <w:rsid w:val="009A4427"/>
    <w:rsid w:val="009A44A0"/>
    <w:rsid w:val="009A56D0"/>
    <w:rsid w:val="009A75CE"/>
    <w:rsid w:val="009A7B2B"/>
    <w:rsid w:val="009A7FE5"/>
    <w:rsid w:val="009B2106"/>
    <w:rsid w:val="009B2657"/>
    <w:rsid w:val="009B26B6"/>
    <w:rsid w:val="009B3465"/>
    <w:rsid w:val="009B3A0D"/>
    <w:rsid w:val="009B4C1F"/>
    <w:rsid w:val="009B5B67"/>
    <w:rsid w:val="009B5E51"/>
    <w:rsid w:val="009B6471"/>
    <w:rsid w:val="009B72E2"/>
    <w:rsid w:val="009C0B39"/>
    <w:rsid w:val="009C2D71"/>
    <w:rsid w:val="009C4B9F"/>
    <w:rsid w:val="009C4CE9"/>
    <w:rsid w:val="009D055F"/>
    <w:rsid w:val="009D21DE"/>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3E3"/>
    <w:rsid w:val="009F54E7"/>
    <w:rsid w:val="009F5903"/>
    <w:rsid w:val="009F5FE0"/>
    <w:rsid w:val="009F68DB"/>
    <w:rsid w:val="00A0298B"/>
    <w:rsid w:val="00A054B0"/>
    <w:rsid w:val="00A077AA"/>
    <w:rsid w:val="00A10831"/>
    <w:rsid w:val="00A10D46"/>
    <w:rsid w:val="00A111E3"/>
    <w:rsid w:val="00A11601"/>
    <w:rsid w:val="00A11AEF"/>
    <w:rsid w:val="00A11CA1"/>
    <w:rsid w:val="00A126D8"/>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691"/>
    <w:rsid w:val="00A468C5"/>
    <w:rsid w:val="00A51DC1"/>
    <w:rsid w:val="00A51F92"/>
    <w:rsid w:val="00A5240B"/>
    <w:rsid w:val="00A528ED"/>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12C"/>
    <w:rsid w:val="00AB5274"/>
    <w:rsid w:val="00AB6134"/>
    <w:rsid w:val="00AB6DC8"/>
    <w:rsid w:val="00AB6E47"/>
    <w:rsid w:val="00AB782F"/>
    <w:rsid w:val="00AC0341"/>
    <w:rsid w:val="00AC038C"/>
    <w:rsid w:val="00AC18DE"/>
    <w:rsid w:val="00AC2B82"/>
    <w:rsid w:val="00AC380E"/>
    <w:rsid w:val="00AC651F"/>
    <w:rsid w:val="00AD043F"/>
    <w:rsid w:val="00AD083C"/>
    <w:rsid w:val="00AD1DC7"/>
    <w:rsid w:val="00AD2118"/>
    <w:rsid w:val="00AD407B"/>
    <w:rsid w:val="00AD553A"/>
    <w:rsid w:val="00AD611F"/>
    <w:rsid w:val="00AD6A22"/>
    <w:rsid w:val="00AD6FC0"/>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C86"/>
    <w:rsid w:val="00B30EDD"/>
    <w:rsid w:val="00B311F1"/>
    <w:rsid w:val="00B315A9"/>
    <w:rsid w:val="00B31A13"/>
    <w:rsid w:val="00B31BA4"/>
    <w:rsid w:val="00B31C82"/>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18AF"/>
    <w:rsid w:val="00B5205F"/>
    <w:rsid w:val="00B5432B"/>
    <w:rsid w:val="00B54520"/>
    <w:rsid w:val="00B54CC2"/>
    <w:rsid w:val="00B5509F"/>
    <w:rsid w:val="00B5561E"/>
    <w:rsid w:val="00B5644E"/>
    <w:rsid w:val="00B56554"/>
    <w:rsid w:val="00B6106C"/>
    <w:rsid w:val="00B6153A"/>
    <w:rsid w:val="00B629E0"/>
    <w:rsid w:val="00B63B3E"/>
    <w:rsid w:val="00B63B83"/>
    <w:rsid w:val="00B63E34"/>
    <w:rsid w:val="00B65E32"/>
    <w:rsid w:val="00B66C6D"/>
    <w:rsid w:val="00B67B60"/>
    <w:rsid w:val="00B70048"/>
    <w:rsid w:val="00B708D4"/>
    <w:rsid w:val="00B70C19"/>
    <w:rsid w:val="00B740B4"/>
    <w:rsid w:val="00B75DCB"/>
    <w:rsid w:val="00B76275"/>
    <w:rsid w:val="00B76878"/>
    <w:rsid w:val="00B76E99"/>
    <w:rsid w:val="00B76EAE"/>
    <w:rsid w:val="00B8079F"/>
    <w:rsid w:val="00B811BD"/>
    <w:rsid w:val="00B81732"/>
    <w:rsid w:val="00B8387B"/>
    <w:rsid w:val="00B838F4"/>
    <w:rsid w:val="00B83947"/>
    <w:rsid w:val="00B83B49"/>
    <w:rsid w:val="00B83DA2"/>
    <w:rsid w:val="00B842C5"/>
    <w:rsid w:val="00B84B74"/>
    <w:rsid w:val="00B852E3"/>
    <w:rsid w:val="00B855CD"/>
    <w:rsid w:val="00B85738"/>
    <w:rsid w:val="00B858C9"/>
    <w:rsid w:val="00B85A70"/>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1523"/>
    <w:rsid w:val="00BD25C7"/>
    <w:rsid w:val="00BD4482"/>
    <w:rsid w:val="00BD5FEC"/>
    <w:rsid w:val="00BD64E9"/>
    <w:rsid w:val="00BD6D92"/>
    <w:rsid w:val="00BE0008"/>
    <w:rsid w:val="00BE00BC"/>
    <w:rsid w:val="00BE0471"/>
    <w:rsid w:val="00BE0A9B"/>
    <w:rsid w:val="00BE0EFB"/>
    <w:rsid w:val="00BE28C0"/>
    <w:rsid w:val="00BE3017"/>
    <w:rsid w:val="00BE5669"/>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172EF"/>
    <w:rsid w:val="00C17445"/>
    <w:rsid w:val="00C2212E"/>
    <w:rsid w:val="00C22EE9"/>
    <w:rsid w:val="00C24C1E"/>
    <w:rsid w:val="00C252E1"/>
    <w:rsid w:val="00C25F51"/>
    <w:rsid w:val="00C27491"/>
    <w:rsid w:val="00C27D9C"/>
    <w:rsid w:val="00C310C5"/>
    <w:rsid w:val="00C324AF"/>
    <w:rsid w:val="00C329EE"/>
    <w:rsid w:val="00C32A92"/>
    <w:rsid w:val="00C36574"/>
    <w:rsid w:val="00C37E61"/>
    <w:rsid w:val="00C40594"/>
    <w:rsid w:val="00C41166"/>
    <w:rsid w:val="00C41E5C"/>
    <w:rsid w:val="00C42463"/>
    <w:rsid w:val="00C43AF8"/>
    <w:rsid w:val="00C44687"/>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5717"/>
    <w:rsid w:val="00C56869"/>
    <w:rsid w:val="00C57490"/>
    <w:rsid w:val="00C577E9"/>
    <w:rsid w:val="00C61047"/>
    <w:rsid w:val="00C620B9"/>
    <w:rsid w:val="00C624CC"/>
    <w:rsid w:val="00C63D85"/>
    <w:rsid w:val="00C64BF8"/>
    <w:rsid w:val="00C662B0"/>
    <w:rsid w:val="00C66934"/>
    <w:rsid w:val="00C67807"/>
    <w:rsid w:val="00C67C7E"/>
    <w:rsid w:val="00C726B6"/>
    <w:rsid w:val="00C737D6"/>
    <w:rsid w:val="00C74A30"/>
    <w:rsid w:val="00C764A9"/>
    <w:rsid w:val="00C77A57"/>
    <w:rsid w:val="00C77D20"/>
    <w:rsid w:val="00C81486"/>
    <w:rsid w:val="00C82945"/>
    <w:rsid w:val="00C830F0"/>
    <w:rsid w:val="00C83B70"/>
    <w:rsid w:val="00C83D61"/>
    <w:rsid w:val="00C8526B"/>
    <w:rsid w:val="00C85B15"/>
    <w:rsid w:val="00C85B69"/>
    <w:rsid w:val="00C8687A"/>
    <w:rsid w:val="00C928A3"/>
    <w:rsid w:val="00C9309F"/>
    <w:rsid w:val="00C935D3"/>
    <w:rsid w:val="00C96564"/>
    <w:rsid w:val="00C96CAA"/>
    <w:rsid w:val="00CA1DFC"/>
    <w:rsid w:val="00CA211B"/>
    <w:rsid w:val="00CA2188"/>
    <w:rsid w:val="00CA24D7"/>
    <w:rsid w:val="00CA29F5"/>
    <w:rsid w:val="00CA4D52"/>
    <w:rsid w:val="00CA519B"/>
    <w:rsid w:val="00CA5BBF"/>
    <w:rsid w:val="00CA6356"/>
    <w:rsid w:val="00CA6B12"/>
    <w:rsid w:val="00CA72F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3B65"/>
    <w:rsid w:val="00CD46DD"/>
    <w:rsid w:val="00CD5390"/>
    <w:rsid w:val="00CD6547"/>
    <w:rsid w:val="00CD683C"/>
    <w:rsid w:val="00CD6EBB"/>
    <w:rsid w:val="00CE151D"/>
    <w:rsid w:val="00CE1552"/>
    <w:rsid w:val="00CE47B0"/>
    <w:rsid w:val="00CE5367"/>
    <w:rsid w:val="00CE59F0"/>
    <w:rsid w:val="00CE66A5"/>
    <w:rsid w:val="00CF054D"/>
    <w:rsid w:val="00CF0C44"/>
    <w:rsid w:val="00CF25ED"/>
    <w:rsid w:val="00CF35A9"/>
    <w:rsid w:val="00CF40FE"/>
    <w:rsid w:val="00CF5D80"/>
    <w:rsid w:val="00CF60C0"/>
    <w:rsid w:val="00CF6378"/>
    <w:rsid w:val="00CF703D"/>
    <w:rsid w:val="00D022D0"/>
    <w:rsid w:val="00D0245F"/>
    <w:rsid w:val="00D025AB"/>
    <w:rsid w:val="00D059A7"/>
    <w:rsid w:val="00D05B29"/>
    <w:rsid w:val="00D05CCC"/>
    <w:rsid w:val="00D07487"/>
    <w:rsid w:val="00D078B2"/>
    <w:rsid w:val="00D11AFD"/>
    <w:rsid w:val="00D12553"/>
    <w:rsid w:val="00D13BAA"/>
    <w:rsid w:val="00D1497A"/>
    <w:rsid w:val="00D16DEB"/>
    <w:rsid w:val="00D17C56"/>
    <w:rsid w:val="00D2245E"/>
    <w:rsid w:val="00D225D4"/>
    <w:rsid w:val="00D22A19"/>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5B8E"/>
    <w:rsid w:val="00D3627C"/>
    <w:rsid w:val="00D3686A"/>
    <w:rsid w:val="00D36F94"/>
    <w:rsid w:val="00D40E92"/>
    <w:rsid w:val="00D415BC"/>
    <w:rsid w:val="00D4335B"/>
    <w:rsid w:val="00D43B89"/>
    <w:rsid w:val="00D443C2"/>
    <w:rsid w:val="00D453E9"/>
    <w:rsid w:val="00D45C69"/>
    <w:rsid w:val="00D50D22"/>
    <w:rsid w:val="00D52208"/>
    <w:rsid w:val="00D538E4"/>
    <w:rsid w:val="00D541EC"/>
    <w:rsid w:val="00D54826"/>
    <w:rsid w:val="00D55050"/>
    <w:rsid w:val="00D5516E"/>
    <w:rsid w:val="00D55927"/>
    <w:rsid w:val="00D55998"/>
    <w:rsid w:val="00D55C2E"/>
    <w:rsid w:val="00D564C5"/>
    <w:rsid w:val="00D565FA"/>
    <w:rsid w:val="00D60442"/>
    <w:rsid w:val="00D60FFF"/>
    <w:rsid w:val="00D6171C"/>
    <w:rsid w:val="00D618C9"/>
    <w:rsid w:val="00D6477A"/>
    <w:rsid w:val="00D66A2F"/>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16F2"/>
    <w:rsid w:val="00D84F32"/>
    <w:rsid w:val="00D86D19"/>
    <w:rsid w:val="00D92B1E"/>
    <w:rsid w:val="00D93068"/>
    <w:rsid w:val="00D930D5"/>
    <w:rsid w:val="00D93B2F"/>
    <w:rsid w:val="00D9465C"/>
    <w:rsid w:val="00D964A8"/>
    <w:rsid w:val="00D967EB"/>
    <w:rsid w:val="00D9688A"/>
    <w:rsid w:val="00D973A8"/>
    <w:rsid w:val="00D97649"/>
    <w:rsid w:val="00DA1604"/>
    <w:rsid w:val="00DA1C68"/>
    <w:rsid w:val="00DA2236"/>
    <w:rsid w:val="00DA2604"/>
    <w:rsid w:val="00DA3D04"/>
    <w:rsid w:val="00DA474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261A"/>
    <w:rsid w:val="00DD29B3"/>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9B4"/>
    <w:rsid w:val="00DE7E6B"/>
    <w:rsid w:val="00DF11D7"/>
    <w:rsid w:val="00DF20C2"/>
    <w:rsid w:val="00DF2227"/>
    <w:rsid w:val="00DF3629"/>
    <w:rsid w:val="00DF46E1"/>
    <w:rsid w:val="00E02149"/>
    <w:rsid w:val="00E0308F"/>
    <w:rsid w:val="00E0528A"/>
    <w:rsid w:val="00E057C4"/>
    <w:rsid w:val="00E06E49"/>
    <w:rsid w:val="00E07C76"/>
    <w:rsid w:val="00E10954"/>
    <w:rsid w:val="00E1126D"/>
    <w:rsid w:val="00E11322"/>
    <w:rsid w:val="00E119CC"/>
    <w:rsid w:val="00E11B41"/>
    <w:rsid w:val="00E12412"/>
    <w:rsid w:val="00E139EE"/>
    <w:rsid w:val="00E13F25"/>
    <w:rsid w:val="00E14234"/>
    <w:rsid w:val="00E15048"/>
    <w:rsid w:val="00E1604F"/>
    <w:rsid w:val="00E166CB"/>
    <w:rsid w:val="00E17905"/>
    <w:rsid w:val="00E2050A"/>
    <w:rsid w:val="00E208F0"/>
    <w:rsid w:val="00E22129"/>
    <w:rsid w:val="00E230C0"/>
    <w:rsid w:val="00E233A6"/>
    <w:rsid w:val="00E25562"/>
    <w:rsid w:val="00E25BF9"/>
    <w:rsid w:val="00E25C30"/>
    <w:rsid w:val="00E30887"/>
    <w:rsid w:val="00E311C6"/>
    <w:rsid w:val="00E312DA"/>
    <w:rsid w:val="00E328BB"/>
    <w:rsid w:val="00E33858"/>
    <w:rsid w:val="00E36005"/>
    <w:rsid w:val="00E365F3"/>
    <w:rsid w:val="00E37CCD"/>
    <w:rsid w:val="00E37D62"/>
    <w:rsid w:val="00E42AE0"/>
    <w:rsid w:val="00E4391A"/>
    <w:rsid w:val="00E44E49"/>
    <w:rsid w:val="00E468E3"/>
    <w:rsid w:val="00E4732C"/>
    <w:rsid w:val="00E50E7E"/>
    <w:rsid w:val="00E51827"/>
    <w:rsid w:val="00E52D8B"/>
    <w:rsid w:val="00E5402A"/>
    <w:rsid w:val="00E545FD"/>
    <w:rsid w:val="00E553B0"/>
    <w:rsid w:val="00E55B58"/>
    <w:rsid w:val="00E5723A"/>
    <w:rsid w:val="00E60963"/>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1E3B"/>
    <w:rsid w:val="00E8343A"/>
    <w:rsid w:val="00E859CE"/>
    <w:rsid w:val="00E86857"/>
    <w:rsid w:val="00E87BB9"/>
    <w:rsid w:val="00E87C09"/>
    <w:rsid w:val="00E87EFC"/>
    <w:rsid w:val="00E90E27"/>
    <w:rsid w:val="00E90E8D"/>
    <w:rsid w:val="00E92BC3"/>
    <w:rsid w:val="00E938C7"/>
    <w:rsid w:val="00E9577F"/>
    <w:rsid w:val="00E96BF5"/>
    <w:rsid w:val="00E971CB"/>
    <w:rsid w:val="00EA10CB"/>
    <w:rsid w:val="00EA1B78"/>
    <w:rsid w:val="00EA1C76"/>
    <w:rsid w:val="00EA230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497C"/>
    <w:rsid w:val="00EC53A3"/>
    <w:rsid w:val="00EC56B4"/>
    <w:rsid w:val="00EC5FEC"/>
    <w:rsid w:val="00EC6AEB"/>
    <w:rsid w:val="00EC6CBA"/>
    <w:rsid w:val="00ED0C32"/>
    <w:rsid w:val="00ED1FA7"/>
    <w:rsid w:val="00ED6569"/>
    <w:rsid w:val="00ED6E37"/>
    <w:rsid w:val="00ED7FCD"/>
    <w:rsid w:val="00EE0A58"/>
    <w:rsid w:val="00EE0DDD"/>
    <w:rsid w:val="00EE0E74"/>
    <w:rsid w:val="00EE1A06"/>
    <w:rsid w:val="00EE4301"/>
    <w:rsid w:val="00EE4378"/>
    <w:rsid w:val="00EE50A0"/>
    <w:rsid w:val="00EE6D1D"/>
    <w:rsid w:val="00EE7910"/>
    <w:rsid w:val="00EF20B4"/>
    <w:rsid w:val="00EF2996"/>
    <w:rsid w:val="00EF2B0C"/>
    <w:rsid w:val="00EF3635"/>
    <w:rsid w:val="00EF40A4"/>
    <w:rsid w:val="00EF5A28"/>
    <w:rsid w:val="00EF6326"/>
    <w:rsid w:val="00EF63BC"/>
    <w:rsid w:val="00EF785D"/>
    <w:rsid w:val="00F014B7"/>
    <w:rsid w:val="00F0163D"/>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51D1"/>
    <w:rsid w:val="00F561C7"/>
    <w:rsid w:val="00F60631"/>
    <w:rsid w:val="00F60963"/>
    <w:rsid w:val="00F61EA0"/>
    <w:rsid w:val="00F62698"/>
    <w:rsid w:val="00F62AD1"/>
    <w:rsid w:val="00F62C4E"/>
    <w:rsid w:val="00F633C7"/>
    <w:rsid w:val="00F65F7D"/>
    <w:rsid w:val="00F7150B"/>
    <w:rsid w:val="00F71D15"/>
    <w:rsid w:val="00F73155"/>
    <w:rsid w:val="00F75340"/>
    <w:rsid w:val="00F754D5"/>
    <w:rsid w:val="00F755C3"/>
    <w:rsid w:val="00F76710"/>
    <w:rsid w:val="00F76908"/>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96937"/>
    <w:rsid w:val="00FA1555"/>
    <w:rsid w:val="00FA18EE"/>
    <w:rsid w:val="00FA2C39"/>
    <w:rsid w:val="00FA3D04"/>
    <w:rsid w:val="00FA5A0A"/>
    <w:rsid w:val="00FA5FBF"/>
    <w:rsid w:val="00FA65BF"/>
    <w:rsid w:val="00FB05AF"/>
    <w:rsid w:val="00FB1D77"/>
    <w:rsid w:val="00FB1FC6"/>
    <w:rsid w:val="00FC093D"/>
    <w:rsid w:val="00FC117C"/>
    <w:rsid w:val="00FC176A"/>
    <w:rsid w:val="00FC19A4"/>
    <w:rsid w:val="00FC25EB"/>
    <w:rsid w:val="00FC2F66"/>
    <w:rsid w:val="00FC3BCF"/>
    <w:rsid w:val="00FC43B9"/>
    <w:rsid w:val="00FC591F"/>
    <w:rsid w:val="00FC6752"/>
    <w:rsid w:val="00FC7058"/>
    <w:rsid w:val="00FC76E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61BD"/>
    <w:rsid w:val="00FE7358"/>
    <w:rsid w:val="00FE7E64"/>
    <w:rsid w:val="00FF0A3A"/>
    <w:rsid w:val="00FF0CA9"/>
    <w:rsid w:val="00FF1C3E"/>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09"/>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numPr>
        <w:numId w:val="20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numPr>
        <w:ilvl w:val="1"/>
        <w:numId w:val="204"/>
      </w:num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numPr>
        <w:ilvl w:val="2"/>
        <w:numId w:val="204"/>
      </w:num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numPr>
        <w:ilvl w:val="3"/>
      </w:numPr>
      <w:outlineLvl w:val="3"/>
    </w:pPr>
    <w:rPr>
      <w:i/>
    </w:rPr>
  </w:style>
  <w:style w:type="paragraph" w:styleId="Heading5">
    <w:name w:val="heading 5"/>
    <w:basedOn w:val="Normal"/>
    <w:next w:val="Normal"/>
    <w:link w:val="Heading5Char"/>
    <w:uiPriority w:val="9"/>
    <w:unhideWhenUsed/>
    <w:qFormat/>
    <w:rsid w:val="006E172E"/>
    <w:pPr>
      <w:keepNext/>
      <w:keepLines/>
      <w:numPr>
        <w:ilvl w:val="4"/>
        <w:numId w:val="20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B35"/>
    <w:pPr>
      <w:keepNext/>
      <w:keepLines/>
      <w:numPr>
        <w:ilvl w:val="5"/>
        <w:numId w:val="20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B35"/>
    <w:pPr>
      <w:keepNext/>
      <w:keepLines/>
      <w:numPr>
        <w:ilvl w:val="6"/>
        <w:numId w:val="20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B35"/>
    <w:pPr>
      <w:keepNext/>
      <w:keepLines/>
      <w:numPr>
        <w:ilvl w:val="7"/>
        <w:numId w:val="20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B35"/>
    <w:pPr>
      <w:keepNext/>
      <w:keepLines/>
      <w:numPr>
        <w:ilvl w:val="8"/>
        <w:numId w:val="20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9533AE"/>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9533A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 w:type="character" w:customStyle="1" w:styleId="apple-converted-space">
    <w:name w:val="apple-converted-space"/>
    <w:basedOn w:val="DefaultParagraphFont"/>
    <w:rsid w:val="003129FE"/>
  </w:style>
  <w:style w:type="character" w:customStyle="1" w:styleId="Heading6Char">
    <w:name w:val="Heading 6 Char"/>
    <w:basedOn w:val="DefaultParagraphFont"/>
    <w:link w:val="Heading6"/>
    <w:uiPriority w:val="9"/>
    <w:semiHidden/>
    <w:rsid w:val="00161B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B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B35"/>
    <w:rPr>
      <w:rFonts w:asciiTheme="majorHAnsi" w:eastAsiaTheme="majorEastAsia" w:hAnsiTheme="majorHAnsi" w:cstheme="majorBidi"/>
      <w:i/>
      <w:iCs/>
      <w:color w:val="272727" w:themeColor="text1" w:themeTint="D8"/>
      <w:sz w:val="21"/>
      <w:szCs w:val="21"/>
    </w:rPr>
  </w:style>
  <w:style w:type="table" w:customStyle="1" w:styleId="TableGrid11">
    <w:name w:val="Table Grid11"/>
    <w:basedOn w:val="TableNormal"/>
    <w:next w:val="TableGrid"/>
    <w:uiPriority w:val="39"/>
    <w:rsid w:val="005F21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610432115">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reas.gov/offices/domestic-finance/debt-management/interest-rate/yield_historical_main.shtml"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theme" Target="theme/theme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D79B-5CDA-47E4-A603-7314DB7A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30312</Words>
  <Characters>172782</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202689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Peter Weber</cp:lastModifiedBy>
  <cp:revision>3</cp:revision>
  <cp:lastPrinted>2019-05-17T13:26:00Z</cp:lastPrinted>
  <dcterms:created xsi:type="dcterms:W3CDTF">2019-05-17T14:35:00Z</dcterms:created>
  <dcterms:modified xsi:type="dcterms:W3CDTF">2019-05-17T14:39:00Z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