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3B9E0" w14:textId="0AC7DD91" w:rsidR="001F4093" w:rsidRDefault="001F4093" w:rsidP="006C300A">
      <w:pPr>
        <w:pStyle w:val="Default"/>
        <w:jc w:val="center"/>
        <w:rPr>
          <w:rFonts w:asciiTheme="majorHAnsi" w:eastAsiaTheme="majorEastAsia" w:hAnsiTheme="majorHAnsi" w:cstheme="majorBidi"/>
          <w:b/>
          <w:color w:val="365F91" w:themeColor="accent1" w:themeShade="BF"/>
          <w:sz w:val="32"/>
          <w:szCs w:val="32"/>
          <w:u w:val="single"/>
        </w:rPr>
      </w:pPr>
    </w:p>
    <w:p w14:paraId="63ACD003" w14:textId="77777777" w:rsidR="001F4093" w:rsidRDefault="001F4093" w:rsidP="001F4093">
      <w:pPr>
        <w:pStyle w:val="TOCHeading"/>
        <w:spacing w:before="120"/>
        <w:jc w:val="right"/>
        <w:rPr>
          <w:rFonts w:asciiTheme="minorHAnsi" w:eastAsiaTheme="minorHAnsi" w:hAnsiTheme="minorHAnsi" w:cstheme="minorBidi"/>
          <w:b w:val="0"/>
          <w:bCs w:val="0"/>
          <w:color w:val="auto"/>
          <w:sz w:val="22"/>
          <w:szCs w:val="22"/>
          <w:lang w:eastAsia="en-US"/>
        </w:rPr>
      </w:pPr>
      <w:r w:rsidRPr="009C367E">
        <w:rPr>
          <w:rFonts w:asciiTheme="minorHAnsi" w:eastAsiaTheme="minorHAnsi" w:hAnsiTheme="minorHAnsi" w:cstheme="minorBidi"/>
          <w:b w:val="0"/>
          <w:bCs w:val="0"/>
          <w:noProof/>
          <w:color w:val="auto"/>
          <w:sz w:val="22"/>
          <w:szCs w:val="22"/>
          <w:lang w:eastAsia="en-US"/>
        </w:rPr>
        <w:drawing>
          <wp:inline distT="0" distB="0" distL="0" distR="0" wp14:anchorId="2C5D98D7" wp14:editId="1DBD3C16">
            <wp:extent cx="2535649" cy="822960"/>
            <wp:effectExtent l="0" t="0" r="0"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5649" cy="822960"/>
                    </a:xfrm>
                    <a:prstGeom prst="rect">
                      <a:avLst/>
                    </a:prstGeom>
                    <a:noFill/>
                    <a:ln>
                      <a:noFill/>
                    </a:ln>
                    <a:extLst/>
                  </pic:spPr>
                </pic:pic>
              </a:graphicData>
            </a:graphic>
          </wp:inline>
        </w:drawing>
      </w:r>
      <w:r>
        <w:rPr>
          <w:rFonts w:asciiTheme="minorHAnsi" w:eastAsiaTheme="minorHAnsi" w:hAnsiTheme="minorHAnsi" w:cstheme="minorBidi"/>
          <w:b w:val="0"/>
          <w:bCs w:val="0"/>
          <w:noProof/>
          <w:color w:val="auto"/>
          <w:sz w:val="22"/>
          <w:szCs w:val="22"/>
          <w:lang w:eastAsia="en-US"/>
        </w:rPr>
        <w:drawing>
          <wp:anchor distT="0" distB="0" distL="114300" distR="114300" simplePos="0" relativeHeight="251659264" behindDoc="0" locked="0" layoutInCell="1" allowOverlap="1" wp14:anchorId="7FB6D282" wp14:editId="23B6C01C">
            <wp:simplePos x="0" y="0"/>
            <wp:positionH relativeFrom="margin">
              <wp:align>left</wp:align>
            </wp:positionH>
            <wp:positionV relativeFrom="margin">
              <wp:align>top</wp:align>
            </wp:positionV>
            <wp:extent cx="2781300" cy="123825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CEC8" w14:textId="77777777" w:rsidR="001F4093" w:rsidRDefault="001F4093" w:rsidP="001F4093">
      <w:pPr>
        <w:jc w:val="center"/>
        <w:rPr>
          <w:rFonts w:ascii="Times New Roman" w:eastAsia="Calibri" w:hAnsi="Times New Roman"/>
          <w:b/>
          <w:bCs/>
          <w:sz w:val="28"/>
          <w:szCs w:val="28"/>
        </w:rPr>
      </w:pPr>
    </w:p>
    <w:p w14:paraId="436CCC76" w14:textId="3AC112FE" w:rsidR="001F4093" w:rsidRPr="00170130" w:rsidRDefault="001F4093" w:rsidP="001F4093">
      <w:pPr>
        <w:spacing w:after="0" w:line="240" w:lineRule="auto"/>
        <w:jc w:val="center"/>
        <w:rPr>
          <w:rFonts w:ascii="Times New Roman" w:eastAsia="Calibri" w:hAnsi="Times New Roman"/>
          <w:b/>
          <w:bCs/>
          <w:sz w:val="26"/>
          <w:szCs w:val="26"/>
        </w:rPr>
      </w:pPr>
      <w:r w:rsidRPr="00170130">
        <w:rPr>
          <w:rFonts w:ascii="Times New Roman" w:eastAsia="Calibri" w:hAnsi="Times New Roman"/>
          <w:b/>
          <w:bCs/>
          <w:sz w:val="26"/>
          <w:szCs w:val="26"/>
        </w:rPr>
        <w:t xml:space="preserve">Question and </w:t>
      </w:r>
      <w:r w:rsidR="00D47064">
        <w:rPr>
          <w:rFonts w:ascii="Times New Roman" w:eastAsia="Calibri" w:hAnsi="Times New Roman"/>
          <w:b/>
          <w:bCs/>
          <w:sz w:val="26"/>
          <w:szCs w:val="26"/>
        </w:rPr>
        <w:t>Commentary</w:t>
      </w:r>
      <w:r w:rsidRPr="00170130">
        <w:rPr>
          <w:rFonts w:ascii="Times New Roman" w:eastAsia="Calibri" w:hAnsi="Times New Roman"/>
          <w:b/>
          <w:bCs/>
          <w:sz w:val="26"/>
          <w:szCs w:val="26"/>
        </w:rPr>
        <w:t xml:space="preserve"> regarding application of VM-20 mortality to business issued under an </w:t>
      </w:r>
      <w:r w:rsidR="003217D8">
        <w:rPr>
          <w:rFonts w:ascii="Times New Roman" w:eastAsia="Calibri" w:hAnsi="Times New Roman"/>
          <w:b/>
          <w:bCs/>
          <w:sz w:val="26"/>
          <w:szCs w:val="26"/>
        </w:rPr>
        <w:t>A</w:t>
      </w:r>
      <w:r w:rsidRPr="00170130">
        <w:rPr>
          <w:rFonts w:ascii="Times New Roman" w:eastAsia="Calibri" w:hAnsi="Times New Roman"/>
          <w:b/>
          <w:bCs/>
          <w:sz w:val="26"/>
          <w:szCs w:val="26"/>
        </w:rPr>
        <w:t xml:space="preserve">ccelerated </w:t>
      </w:r>
      <w:r w:rsidR="003217D8">
        <w:rPr>
          <w:rFonts w:ascii="Times New Roman" w:eastAsia="Calibri" w:hAnsi="Times New Roman"/>
          <w:b/>
          <w:bCs/>
          <w:sz w:val="26"/>
          <w:szCs w:val="26"/>
        </w:rPr>
        <w:t>U</w:t>
      </w:r>
      <w:r w:rsidRPr="00170130">
        <w:rPr>
          <w:rFonts w:ascii="Times New Roman" w:eastAsia="Calibri" w:hAnsi="Times New Roman"/>
          <w:b/>
          <w:bCs/>
          <w:sz w:val="26"/>
          <w:szCs w:val="26"/>
        </w:rPr>
        <w:t>nderwriting program</w:t>
      </w:r>
    </w:p>
    <w:p w14:paraId="3FECA3CF" w14:textId="77777777" w:rsidR="001F4093" w:rsidRPr="00170130" w:rsidRDefault="001F4093" w:rsidP="001F4093">
      <w:pPr>
        <w:spacing w:after="0" w:line="240" w:lineRule="auto"/>
        <w:jc w:val="center"/>
        <w:rPr>
          <w:rFonts w:ascii="Times New Roman" w:eastAsia="Calibri" w:hAnsi="Times New Roman"/>
          <w:b/>
          <w:bCs/>
          <w:sz w:val="26"/>
          <w:szCs w:val="26"/>
        </w:rPr>
      </w:pPr>
    </w:p>
    <w:p w14:paraId="745506FA" w14:textId="77777777" w:rsidR="001F4093" w:rsidRPr="00170130" w:rsidRDefault="001F4093" w:rsidP="001F4093">
      <w:pPr>
        <w:spacing w:after="0" w:line="240" w:lineRule="auto"/>
        <w:jc w:val="center"/>
        <w:rPr>
          <w:rFonts w:ascii="Times New Roman" w:eastAsia="Calibri" w:hAnsi="Times New Roman"/>
          <w:b/>
          <w:bCs/>
          <w:sz w:val="26"/>
          <w:szCs w:val="26"/>
        </w:rPr>
      </w:pPr>
      <w:r w:rsidRPr="00170130">
        <w:rPr>
          <w:rFonts w:ascii="Times New Roman" w:eastAsia="Calibri" w:hAnsi="Times New Roman"/>
          <w:b/>
          <w:bCs/>
          <w:sz w:val="26"/>
          <w:szCs w:val="26"/>
        </w:rPr>
        <w:t xml:space="preserve">American Academy of Actuaries’ Life Experience Committee and </w:t>
      </w:r>
    </w:p>
    <w:p w14:paraId="7CF9894C" w14:textId="77777777" w:rsidR="001F4093" w:rsidRPr="00170130" w:rsidRDefault="001F4093" w:rsidP="001F4093">
      <w:pPr>
        <w:spacing w:after="0" w:line="240" w:lineRule="auto"/>
        <w:jc w:val="center"/>
        <w:rPr>
          <w:rFonts w:ascii="Times New Roman" w:eastAsia="Calibri" w:hAnsi="Times New Roman"/>
          <w:b/>
          <w:bCs/>
          <w:sz w:val="26"/>
          <w:szCs w:val="26"/>
        </w:rPr>
      </w:pPr>
      <w:r w:rsidRPr="00170130">
        <w:rPr>
          <w:rFonts w:ascii="Times New Roman" w:eastAsia="Calibri" w:hAnsi="Times New Roman"/>
          <w:b/>
          <w:bCs/>
          <w:sz w:val="26"/>
          <w:szCs w:val="26"/>
        </w:rPr>
        <w:t>Society of Actuaries Preferred Mortality Oversight Group (“Joint Committee”)</w:t>
      </w:r>
    </w:p>
    <w:p w14:paraId="0C1518C8" w14:textId="77777777" w:rsidR="001F4093" w:rsidRPr="00170130" w:rsidRDefault="001F4093" w:rsidP="001F4093">
      <w:pPr>
        <w:spacing w:after="0" w:line="240" w:lineRule="auto"/>
        <w:jc w:val="center"/>
        <w:rPr>
          <w:rFonts w:ascii="Times New Roman" w:hAnsi="Times New Roman"/>
          <w:b/>
          <w:bCs/>
          <w:sz w:val="26"/>
          <w:szCs w:val="26"/>
        </w:rPr>
      </w:pPr>
      <w:r w:rsidRPr="00170130">
        <w:rPr>
          <w:rFonts w:ascii="Times New Roman" w:eastAsia="Calibri" w:hAnsi="Times New Roman"/>
          <w:b/>
          <w:bCs/>
          <w:sz w:val="26"/>
          <w:szCs w:val="26"/>
        </w:rPr>
        <w:t xml:space="preserve">Accelerated Underwriting Subgroup </w:t>
      </w:r>
    </w:p>
    <w:p w14:paraId="206460FD" w14:textId="77777777" w:rsidR="001F4093" w:rsidRPr="009D454D" w:rsidRDefault="001F4093" w:rsidP="001F4093">
      <w:pPr>
        <w:jc w:val="center"/>
        <w:rPr>
          <w:b/>
        </w:rPr>
      </w:pPr>
    </w:p>
    <w:p w14:paraId="45E98374" w14:textId="77777777" w:rsidR="001F4093" w:rsidRDefault="001F4093" w:rsidP="001F4093">
      <w:pPr>
        <w:jc w:val="center"/>
        <w:rPr>
          <w:rFonts w:ascii="Times New Roman" w:hAnsi="Times New Roman"/>
          <w:b/>
        </w:rPr>
      </w:pPr>
      <w:r>
        <w:rPr>
          <w:rFonts w:ascii="Times New Roman" w:hAnsi="Times New Roman"/>
          <w:b/>
        </w:rPr>
        <w:t>November 2017</w:t>
      </w:r>
    </w:p>
    <w:p w14:paraId="263E58BA" w14:textId="77777777" w:rsidR="001F4093" w:rsidRPr="00383324" w:rsidRDefault="001F4093" w:rsidP="001F4093">
      <w:pPr>
        <w:jc w:val="center"/>
        <w:rPr>
          <w:rFonts w:ascii="Times New Roman" w:hAnsi="Times New Roman"/>
          <w:b/>
        </w:rPr>
      </w:pPr>
    </w:p>
    <w:p w14:paraId="257066F6" w14:textId="77777777" w:rsidR="001F4093" w:rsidRDefault="001F4093" w:rsidP="001F4093">
      <w:pPr>
        <w:jc w:val="both"/>
        <w:rPr>
          <w:rFonts w:ascii="Times New Roman" w:hAnsi="Times New Roman"/>
        </w:rPr>
      </w:pPr>
      <w:r w:rsidRPr="00383324">
        <w:rPr>
          <w:rFonts w:ascii="Times New Roman" w:hAnsi="Times New Roman"/>
        </w:rPr>
        <w:t xml:space="preserve">The American Academy of Actuaries is a </w:t>
      </w:r>
      <w:r>
        <w:rPr>
          <w:rFonts w:ascii="Times New Roman" w:hAnsi="Times New Roman"/>
        </w:rPr>
        <w:t>19000</w:t>
      </w:r>
      <w:r w:rsidRPr="00383324">
        <w:rPr>
          <w:rFonts w:ascii="Times New Roman" w:hAnsi="Times New Roman"/>
        </w:rPr>
        <w:t>+ member professional association whose mission is to serve the public and the U.S. actuarial profession. The Academy assists public policymakers on all levels by providing leadership, objective expertise, and actuarial advice on risk and financial security issues. The Academy also sets qualification, practice, and professionalism standards for actuaries in the United States.</w:t>
      </w:r>
    </w:p>
    <w:p w14:paraId="5341C8F3" w14:textId="77777777" w:rsidR="001F4093" w:rsidRPr="00516E6B" w:rsidRDefault="001F4093" w:rsidP="001F4093">
      <w:pPr>
        <w:jc w:val="both"/>
        <w:rPr>
          <w:rFonts w:ascii="Times New Roman" w:hAnsi="Times New Roman" w:cs="Times New Roman"/>
        </w:rPr>
      </w:pPr>
      <w:r w:rsidRPr="00E0575C">
        <w:rPr>
          <w:rFonts w:ascii="Times New Roman" w:hAnsi="Times New Roman" w:cs="Times New Roman"/>
          <w:iCs/>
        </w:rPr>
        <w:t>The Society of Actuaries (SOA) is an educational, research and professional organization dedicated to serving the public, its members and its candidates. The SOA's mission is to advance actuarial knowledge and to enhance the ability of actuaries to provide expert advice and relevant solutions for financial, business and societal problems. The SOA's vision is for actuaries to be the leading professionals in the measurement and management of risk.</w:t>
      </w:r>
    </w:p>
    <w:p w14:paraId="1DC6ED51" w14:textId="77777777" w:rsidR="001F4093" w:rsidRPr="00383324" w:rsidRDefault="001F4093" w:rsidP="001F4093">
      <w:pPr>
        <w:jc w:val="center"/>
        <w:rPr>
          <w:rFonts w:ascii="Times New Roman" w:hAnsi="Times New Roman"/>
          <w:b/>
          <w:bCs/>
        </w:rPr>
      </w:pPr>
    </w:p>
    <w:p w14:paraId="738B0A80" w14:textId="77777777" w:rsidR="001F4093" w:rsidRDefault="001F4093" w:rsidP="001F4093">
      <w:pPr>
        <w:spacing w:after="0"/>
        <w:jc w:val="center"/>
        <w:rPr>
          <w:rFonts w:ascii="Times New Roman" w:hAnsi="Times New Roman"/>
          <w:bCs/>
        </w:rPr>
      </w:pPr>
      <w:r>
        <w:rPr>
          <w:rFonts w:ascii="Times New Roman" w:hAnsi="Times New Roman"/>
          <w:bCs/>
        </w:rPr>
        <w:t>Mary J. Bahna-Nolan</w:t>
      </w:r>
      <w:r w:rsidRPr="00383324">
        <w:rPr>
          <w:rFonts w:ascii="Times New Roman" w:hAnsi="Times New Roman"/>
          <w:bCs/>
        </w:rPr>
        <w:t>, MAAA, FSA,</w:t>
      </w:r>
      <w:r>
        <w:rPr>
          <w:rFonts w:ascii="Times New Roman" w:hAnsi="Times New Roman"/>
          <w:bCs/>
        </w:rPr>
        <w:t xml:space="preserve"> CERA,</w:t>
      </w:r>
      <w:r w:rsidRPr="00383324">
        <w:rPr>
          <w:rFonts w:ascii="Times New Roman" w:hAnsi="Times New Roman"/>
          <w:bCs/>
        </w:rPr>
        <w:t xml:space="preserve"> Chairperson</w:t>
      </w:r>
      <w:r>
        <w:rPr>
          <w:rFonts w:ascii="Times New Roman" w:hAnsi="Times New Roman"/>
          <w:bCs/>
        </w:rPr>
        <w:t>, Joint Committee</w:t>
      </w:r>
    </w:p>
    <w:p w14:paraId="3DDA55A2" w14:textId="77777777" w:rsidR="001F4093" w:rsidRDefault="001F4093" w:rsidP="001F4093">
      <w:pPr>
        <w:spacing w:after="0" w:line="240" w:lineRule="auto"/>
        <w:jc w:val="center"/>
        <w:rPr>
          <w:rFonts w:ascii="Times New Roman" w:hAnsi="Times New Roman"/>
          <w:bCs/>
        </w:rPr>
      </w:pPr>
    </w:p>
    <w:p w14:paraId="381EB4AE" w14:textId="77777777" w:rsidR="001F4093" w:rsidRDefault="001F4093" w:rsidP="001F4093">
      <w:pPr>
        <w:spacing w:after="0" w:line="240" w:lineRule="auto"/>
        <w:jc w:val="center"/>
        <w:rPr>
          <w:rFonts w:ascii="Times New Roman" w:hAnsi="Times New Roman"/>
          <w:bCs/>
        </w:rPr>
      </w:pPr>
      <w:r>
        <w:rPr>
          <w:rFonts w:ascii="Times New Roman" w:hAnsi="Times New Roman"/>
          <w:bCs/>
        </w:rPr>
        <w:t>Lauren M. Cross, MAAA, FSA, Co-Chairperson, AUW Subgroup</w:t>
      </w:r>
    </w:p>
    <w:p w14:paraId="0D064B82" w14:textId="77777777" w:rsidR="001F4093" w:rsidRDefault="001F4093" w:rsidP="001F4093">
      <w:pPr>
        <w:spacing w:after="0" w:line="240" w:lineRule="auto"/>
        <w:jc w:val="center"/>
        <w:rPr>
          <w:rFonts w:ascii="Times New Roman" w:hAnsi="Times New Roman"/>
          <w:bCs/>
        </w:rPr>
      </w:pPr>
      <w:r>
        <w:rPr>
          <w:rFonts w:ascii="Times New Roman" w:hAnsi="Times New Roman"/>
          <w:bCs/>
        </w:rPr>
        <w:t>Matthew A. Monson, MAAA, FSA, Co-Chairpoerson, AUW Subgroup</w:t>
      </w:r>
    </w:p>
    <w:p w14:paraId="458B7AF7" w14:textId="77777777" w:rsidR="001F4093" w:rsidRDefault="001F4093" w:rsidP="001F4093">
      <w:pPr>
        <w:spacing w:after="0" w:line="240" w:lineRule="auto"/>
        <w:jc w:val="center"/>
        <w:rPr>
          <w:rFonts w:ascii="Times New Roman" w:hAnsi="Times New Roman"/>
          <w:bCs/>
        </w:rPr>
      </w:pPr>
    </w:p>
    <w:p w14:paraId="7C13FF84" w14:textId="77777777" w:rsidR="001F4093" w:rsidRPr="00383324" w:rsidRDefault="001F4093" w:rsidP="001F4093">
      <w:pPr>
        <w:spacing w:after="0" w:line="240" w:lineRule="auto"/>
        <w:jc w:val="center"/>
        <w:rPr>
          <w:rFonts w:ascii="Times New Roman" w:hAnsi="Times New Roman"/>
          <w:bCs/>
        </w:rPr>
      </w:pPr>
    </w:p>
    <w:p w14:paraId="12F92D2D" w14:textId="77777777" w:rsidR="001F4093" w:rsidRDefault="001F4093" w:rsidP="001F4093">
      <w:pPr>
        <w:autoSpaceDE w:val="0"/>
        <w:autoSpaceDN w:val="0"/>
        <w:adjustRightInd w:val="0"/>
        <w:spacing w:after="0"/>
        <w:ind w:left="720" w:firstLine="720"/>
        <w:rPr>
          <w:rFonts w:ascii="Times New Roman" w:hAnsi="Times New Roman"/>
          <w:color w:val="303030"/>
        </w:rPr>
      </w:pPr>
      <w:r>
        <w:rPr>
          <w:rFonts w:ascii="Times New Roman" w:hAnsi="Times New Roman"/>
          <w:color w:val="303030"/>
        </w:rPr>
        <w:t>Albert A. Abalo, MAAA, FSA, CERA</w:t>
      </w:r>
      <w:r>
        <w:rPr>
          <w:rFonts w:ascii="Times New Roman" w:hAnsi="Times New Roman"/>
          <w:color w:val="303030"/>
        </w:rPr>
        <w:tab/>
      </w:r>
      <w:r>
        <w:rPr>
          <w:rFonts w:ascii="Times New Roman" w:hAnsi="Times New Roman"/>
          <w:color w:val="303030"/>
        </w:rPr>
        <w:tab/>
        <w:t>Armand M. de Paolo, MAAA, FSA</w:t>
      </w:r>
    </w:p>
    <w:p w14:paraId="7C46C9D9" w14:textId="77777777" w:rsidR="001F4093" w:rsidRDefault="001F4093" w:rsidP="001F4093">
      <w:pPr>
        <w:autoSpaceDE w:val="0"/>
        <w:autoSpaceDN w:val="0"/>
        <w:adjustRightInd w:val="0"/>
        <w:spacing w:after="0"/>
        <w:ind w:left="720" w:firstLine="720"/>
        <w:rPr>
          <w:rFonts w:ascii="Times New Roman" w:hAnsi="Times New Roman"/>
          <w:color w:val="303030"/>
        </w:rPr>
      </w:pPr>
      <w:r>
        <w:rPr>
          <w:rFonts w:ascii="Times New Roman" w:hAnsi="Times New Roman"/>
          <w:color w:val="303030"/>
        </w:rPr>
        <w:t xml:space="preserve">Frederick J. Anderson, MAAA, FSA </w:t>
      </w:r>
      <w:r>
        <w:rPr>
          <w:rFonts w:ascii="Times New Roman" w:hAnsi="Times New Roman"/>
          <w:color w:val="303030"/>
        </w:rPr>
        <w:tab/>
      </w:r>
      <w:r>
        <w:rPr>
          <w:rFonts w:ascii="Times New Roman" w:hAnsi="Times New Roman"/>
          <w:color w:val="303030"/>
        </w:rPr>
        <w:tab/>
        <w:t xml:space="preserve">Ryan A. Reimers, MAAA, ASA </w:t>
      </w:r>
    </w:p>
    <w:p w14:paraId="42BA7401" w14:textId="77777777" w:rsidR="001F4093" w:rsidRDefault="001F4093" w:rsidP="001F4093">
      <w:pPr>
        <w:autoSpaceDE w:val="0"/>
        <w:autoSpaceDN w:val="0"/>
        <w:adjustRightInd w:val="0"/>
        <w:spacing w:after="0"/>
        <w:ind w:left="720" w:firstLine="720"/>
        <w:rPr>
          <w:rFonts w:ascii="Times New Roman" w:hAnsi="Times New Roman"/>
          <w:color w:val="303030"/>
        </w:rPr>
      </w:pPr>
      <w:r>
        <w:rPr>
          <w:rFonts w:ascii="Times New Roman" w:hAnsi="Times New Roman"/>
          <w:color w:val="303030"/>
        </w:rPr>
        <w:t>Tony R. Litterer, MAAA, FSA</w:t>
      </w:r>
      <w:r>
        <w:rPr>
          <w:rFonts w:ascii="Times New Roman" w:hAnsi="Times New Roman"/>
          <w:color w:val="303030"/>
        </w:rPr>
        <w:tab/>
      </w:r>
      <w:r>
        <w:rPr>
          <w:rFonts w:ascii="Times New Roman" w:hAnsi="Times New Roman"/>
          <w:color w:val="303030"/>
        </w:rPr>
        <w:tab/>
      </w:r>
      <w:r>
        <w:rPr>
          <w:rFonts w:ascii="Times New Roman" w:hAnsi="Times New Roman"/>
          <w:color w:val="303030"/>
        </w:rPr>
        <w:tab/>
        <w:t>Karen K. Rudolph, MAAA, FSA</w:t>
      </w:r>
    </w:p>
    <w:p w14:paraId="0601330B" w14:textId="77777777" w:rsidR="001F4093" w:rsidRDefault="001F4093" w:rsidP="001F4093">
      <w:pPr>
        <w:autoSpaceDE w:val="0"/>
        <w:autoSpaceDN w:val="0"/>
        <w:adjustRightInd w:val="0"/>
        <w:spacing w:after="0"/>
        <w:ind w:left="720" w:firstLine="720"/>
        <w:rPr>
          <w:rFonts w:ascii="Times New Roman" w:hAnsi="Times New Roman"/>
          <w:color w:val="303030"/>
        </w:rPr>
      </w:pPr>
      <w:r>
        <w:rPr>
          <w:rFonts w:ascii="Times New Roman" w:hAnsi="Times New Roman"/>
          <w:color w:val="303030"/>
        </w:rPr>
        <w:t>Mark C. Massey, MAAA, FSA</w:t>
      </w:r>
      <w:r>
        <w:rPr>
          <w:rFonts w:ascii="Times New Roman" w:hAnsi="Times New Roman"/>
          <w:color w:val="303030"/>
        </w:rPr>
        <w:tab/>
      </w:r>
      <w:r>
        <w:rPr>
          <w:rFonts w:ascii="Times New Roman" w:hAnsi="Times New Roman"/>
          <w:color w:val="303030"/>
        </w:rPr>
        <w:tab/>
      </w:r>
      <w:r>
        <w:rPr>
          <w:rFonts w:ascii="Times New Roman" w:hAnsi="Times New Roman"/>
          <w:color w:val="303030"/>
        </w:rPr>
        <w:tab/>
        <w:t>Mark A. Sayre, FSA, CERA</w:t>
      </w:r>
    </w:p>
    <w:p w14:paraId="308BB787" w14:textId="54243DC8" w:rsidR="001F4093" w:rsidRDefault="001F4093" w:rsidP="00170130">
      <w:pPr>
        <w:autoSpaceDE w:val="0"/>
        <w:autoSpaceDN w:val="0"/>
        <w:adjustRightInd w:val="0"/>
        <w:spacing w:after="0"/>
        <w:ind w:left="720" w:firstLine="720"/>
        <w:rPr>
          <w:rFonts w:asciiTheme="majorHAnsi" w:eastAsiaTheme="majorEastAsia" w:hAnsiTheme="majorHAnsi" w:cstheme="majorBidi"/>
          <w:b/>
          <w:color w:val="365F91" w:themeColor="accent1" w:themeShade="BF"/>
          <w:sz w:val="32"/>
          <w:szCs w:val="32"/>
          <w:u w:val="single"/>
        </w:rPr>
      </w:pPr>
      <w:r>
        <w:rPr>
          <w:rFonts w:ascii="Times New Roman" w:hAnsi="Times New Roman"/>
          <w:color w:val="303030"/>
        </w:rPr>
        <w:lastRenderedPageBreak/>
        <w:t>Constance S. Nicklien, MAAA, FSA, CERA</w:t>
      </w:r>
      <w:r>
        <w:rPr>
          <w:rFonts w:ascii="Times New Roman" w:hAnsi="Times New Roman"/>
          <w:color w:val="303030"/>
        </w:rPr>
        <w:tab/>
        <w:t>Benjamin Slutsker, MAAA, FS</w:t>
      </w:r>
      <w:r>
        <w:rPr>
          <w:rFonts w:asciiTheme="majorHAnsi" w:eastAsiaTheme="majorEastAsia" w:hAnsiTheme="majorHAnsi" w:cstheme="majorBidi"/>
          <w:b/>
          <w:color w:val="365F91" w:themeColor="accent1" w:themeShade="BF"/>
          <w:sz w:val="32"/>
          <w:szCs w:val="32"/>
          <w:u w:val="single"/>
        </w:rPr>
        <w:br w:type="page"/>
      </w:r>
    </w:p>
    <w:p w14:paraId="23B87677" w14:textId="16E923C0" w:rsidR="00E14ADF" w:rsidRPr="00E14ADF" w:rsidRDefault="00E14ADF" w:rsidP="006C300A">
      <w:pPr>
        <w:pStyle w:val="Default"/>
        <w:jc w:val="center"/>
        <w:rPr>
          <w:rFonts w:asciiTheme="majorHAnsi" w:eastAsiaTheme="majorEastAsia" w:hAnsiTheme="majorHAnsi" w:cstheme="majorBidi"/>
          <w:b/>
          <w:color w:val="365F91" w:themeColor="accent1" w:themeShade="BF"/>
          <w:sz w:val="32"/>
          <w:szCs w:val="32"/>
          <w:u w:val="single"/>
        </w:rPr>
      </w:pPr>
      <w:r w:rsidRPr="00E14ADF">
        <w:rPr>
          <w:rFonts w:asciiTheme="majorHAnsi" w:eastAsiaTheme="majorEastAsia" w:hAnsiTheme="majorHAnsi" w:cstheme="majorBidi"/>
          <w:b/>
          <w:color w:val="365F91" w:themeColor="accent1" w:themeShade="BF"/>
          <w:sz w:val="32"/>
          <w:szCs w:val="32"/>
          <w:u w:val="single"/>
        </w:rPr>
        <w:lastRenderedPageBreak/>
        <w:t>VM-20 Accelerated Underwriting Q</w:t>
      </w:r>
      <w:r w:rsidR="00D47064">
        <w:rPr>
          <w:rFonts w:asciiTheme="majorHAnsi" w:eastAsiaTheme="majorEastAsia" w:hAnsiTheme="majorHAnsi" w:cstheme="majorBidi"/>
          <w:b/>
          <w:color w:val="365F91" w:themeColor="accent1" w:themeShade="BF"/>
          <w:sz w:val="32"/>
          <w:szCs w:val="32"/>
          <w:u w:val="single"/>
        </w:rPr>
        <w:t>uestion &amp; Commentary</w:t>
      </w:r>
    </w:p>
    <w:p w14:paraId="0E23AA52" w14:textId="77777777" w:rsidR="00E14ADF" w:rsidRDefault="00E14ADF" w:rsidP="006C300A">
      <w:pPr>
        <w:pStyle w:val="Default"/>
        <w:rPr>
          <w:rFonts w:ascii="Times New Roman" w:hAnsi="Times New Roman" w:cs="Times New Roman"/>
        </w:rPr>
      </w:pPr>
    </w:p>
    <w:p w14:paraId="1B341EAC" w14:textId="2706A0A4" w:rsidR="00E14ADF" w:rsidRDefault="00E14ADF" w:rsidP="006C300A">
      <w:pPr>
        <w:pStyle w:val="Default"/>
        <w:rPr>
          <w:rFonts w:ascii="Times New Roman" w:hAnsi="Times New Roman" w:cs="Times New Roman"/>
        </w:rPr>
      </w:pPr>
      <w:r>
        <w:rPr>
          <w:rFonts w:ascii="Times New Roman" w:hAnsi="Times New Roman" w:cs="Times New Roman"/>
        </w:rPr>
        <w:t>Many</w:t>
      </w:r>
      <w:r w:rsidR="00B440CA">
        <w:rPr>
          <w:rFonts w:ascii="Times New Roman" w:hAnsi="Times New Roman" w:cs="Times New Roman"/>
        </w:rPr>
        <w:t xml:space="preserve"> U.S.</w:t>
      </w:r>
      <w:r>
        <w:rPr>
          <w:rFonts w:ascii="Times New Roman" w:hAnsi="Times New Roman" w:cs="Times New Roman"/>
        </w:rPr>
        <w:t xml:space="preserve"> life insurance companies find themselves in an era of changing and evolving underwriting methodologies</w:t>
      </w:r>
      <w:r w:rsidR="00DF5F9B">
        <w:rPr>
          <w:rFonts w:ascii="Times New Roman" w:hAnsi="Times New Roman" w:cs="Times New Roman"/>
        </w:rPr>
        <w:t xml:space="preserve"> </w:t>
      </w:r>
      <w:r w:rsidR="003F61EF">
        <w:rPr>
          <w:rFonts w:ascii="Times New Roman" w:hAnsi="Times New Roman" w:cs="Times New Roman"/>
        </w:rPr>
        <w:t xml:space="preserve">in contrast to </w:t>
      </w:r>
      <w:r w:rsidR="00DF5F9B">
        <w:rPr>
          <w:rFonts w:ascii="Times New Roman" w:hAnsi="Times New Roman" w:cs="Times New Roman"/>
        </w:rPr>
        <w:t xml:space="preserve">the </w:t>
      </w:r>
      <w:r w:rsidR="003F61EF">
        <w:rPr>
          <w:rFonts w:ascii="Times New Roman" w:hAnsi="Times New Roman" w:cs="Times New Roman"/>
        </w:rPr>
        <w:t xml:space="preserve">stable </w:t>
      </w:r>
      <w:r w:rsidR="00DF5F9B">
        <w:rPr>
          <w:rFonts w:ascii="Times New Roman" w:hAnsi="Times New Roman" w:cs="Times New Roman"/>
        </w:rPr>
        <w:t>techniques or requirements employed in recent decades. These changes may</w:t>
      </w:r>
      <w:r>
        <w:rPr>
          <w:rFonts w:ascii="Times New Roman" w:hAnsi="Times New Roman" w:cs="Times New Roman"/>
        </w:rPr>
        <w:t xml:space="preserve"> be </w:t>
      </w:r>
      <w:r w:rsidR="00DF5F9B">
        <w:rPr>
          <w:rFonts w:ascii="Times New Roman" w:hAnsi="Times New Roman" w:cs="Times New Roman"/>
        </w:rPr>
        <w:t>motivated by a number of factors</w:t>
      </w:r>
      <w:r w:rsidR="001035AD">
        <w:rPr>
          <w:rFonts w:ascii="Times New Roman" w:hAnsi="Times New Roman" w:cs="Times New Roman"/>
        </w:rPr>
        <w:t>,</w:t>
      </w:r>
      <w:r w:rsidR="00DF5F9B">
        <w:rPr>
          <w:rFonts w:ascii="Times New Roman" w:hAnsi="Times New Roman" w:cs="Times New Roman"/>
        </w:rPr>
        <w:t xml:space="preserve"> including</w:t>
      </w:r>
      <w:r w:rsidR="001035AD">
        <w:rPr>
          <w:rFonts w:ascii="Times New Roman" w:hAnsi="Times New Roman" w:cs="Times New Roman"/>
        </w:rPr>
        <w:t>,</w:t>
      </w:r>
      <w:r w:rsidR="00DF5F9B">
        <w:rPr>
          <w:rFonts w:ascii="Times New Roman" w:hAnsi="Times New Roman" w:cs="Times New Roman"/>
        </w:rPr>
        <w:t xml:space="preserve"> but not limited to</w:t>
      </w:r>
      <w:r w:rsidR="001035AD">
        <w:rPr>
          <w:rFonts w:ascii="Times New Roman" w:hAnsi="Times New Roman" w:cs="Times New Roman"/>
        </w:rPr>
        <w:t>,</w:t>
      </w:r>
      <w:r w:rsidR="00DF5F9B">
        <w:rPr>
          <w:rFonts w:ascii="Times New Roman" w:hAnsi="Times New Roman" w:cs="Times New Roman"/>
        </w:rPr>
        <w:t xml:space="preserve"> </w:t>
      </w:r>
      <w:r>
        <w:rPr>
          <w:rFonts w:ascii="Times New Roman" w:hAnsi="Times New Roman" w:cs="Times New Roman"/>
        </w:rPr>
        <w:t>tak</w:t>
      </w:r>
      <w:r w:rsidR="00DF5F9B">
        <w:rPr>
          <w:rFonts w:ascii="Times New Roman" w:hAnsi="Times New Roman" w:cs="Times New Roman"/>
        </w:rPr>
        <w:t>ing</w:t>
      </w:r>
      <w:r>
        <w:rPr>
          <w:rFonts w:ascii="Times New Roman" w:hAnsi="Times New Roman" w:cs="Times New Roman"/>
        </w:rPr>
        <w:t xml:space="preserve"> advantage of new </w:t>
      </w:r>
      <w:r w:rsidR="00DF5F9B">
        <w:rPr>
          <w:rFonts w:ascii="Times New Roman" w:hAnsi="Times New Roman" w:cs="Times New Roman"/>
        </w:rPr>
        <w:t xml:space="preserve">technology or </w:t>
      </w:r>
      <w:r>
        <w:rPr>
          <w:rFonts w:ascii="Times New Roman" w:hAnsi="Times New Roman" w:cs="Times New Roman"/>
        </w:rPr>
        <w:t>data sources, improv</w:t>
      </w:r>
      <w:r w:rsidR="00DF5F9B">
        <w:rPr>
          <w:rFonts w:ascii="Times New Roman" w:hAnsi="Times New Roman" w:cs="Times New Roman"/>
        </w:rPr>
        <w:t xml:space="preserve">ing </w:t>
      </w:r>
      <w:r>
        <w:rPr>
          <w:rFonts w:ascii="Times New Roman" w:hAnsi="Times New Roman" w:cs="Times New Roman"/>
        </w:rPr>
        <w:t>the customer experience during the underwriting process</w:t>
      </w:r>
      <w:r w:rsidR="00DF5F9B">
        <w:rPr>
          <w:rFonts w:ascii="Times New Roman" w:hAnsi="Times New Roman" w:cs="Times New Roman"/>
        </w:rPr>
        <w:t>, or reducing acquisition costs. VM-20 may not have specifically contemplated the emergence of these new underwriting methodologies in its drafting</w:t>
      </w:r>
      <w:r w:rsidR="000F3B45">
        <w:rPr>
          <w:rFonts w:ascii="Times New Roman" w:hAnsi="Times New Roman" w:cs="Times New Roman"/>
        </w:rPr>
        <w:t>. As such, the American A</w:t>
      </w:r>
      <w:r w:rsidR="000F3B45" w:rsidRPr="000F3B45">
        <w:rPr>
          <w:rFonts w:ascii="Times New Roman" w:hAnsi="Times New Roman" w:cs="Times New Roman"/>
        </w:rPr>
        <w:t xml:space="preserve">cademy </w:t>
      </w:r>
      <w:r w:rsidR="000F3B45">
        <w:rPr>
          <w:rFonts w:ascii="Times New Roman" w:hAnsi="Times New Roman" w:cs="Times New Roman"/>
        </w:rPr>
        <w:t xml:space="preserve">of Actuaries’ </w:t>
      </w:r>
      <w:r w:rsidR="000F3B45" w:rsidRPr="000F3B45">
        <w:rPr>
          <w:rFonts w:ascii="Times New Roman" w:hAnsi="Times New Roman" w:cs="Times New Roman"/>
          <w:bCs/>
        </w:rPr>
        <w:t>Life Experience Committee and SOA Preferred Mortality Project Oversight Group (“Joint Committee”)</w:t>
      </w:r>
      <w:r w:rsidR="000F3B45">
        <w:rPr>
          <w:rFonts w:ascii="Times New Roman" w:hAnsi="Times New Roman" w:cs="Times New Roman"/>
          <w:bCs/>
        </w:rPr>
        <w:t xml:space="preserve"> developed this </w:t>
      </w:r>
      <w:r w:rsidR="00DF5F9B">
        <w:rPr>
          <w:rFonts w:ascii="Times New Roman" w:hAnsi="Times New Roman" w:cs="Times New Roman"/>
        </w:rPr>
        <w:t>Q</w:t>
      </w:r>
      <w:r w:rsidR="003217D8">
        <w:rPr>
          <w:rFonts w:ascii="Times New Roman" w:hAnsi="Times New Roman" w:cs="Times New Roman"/>
        </w:rPr>
        <w:t xml:space="preserve">uestion </w:t>
      </w:r>
      <w:r w:rsidR="00DF5F9B">
        <w:rPr>
          <w:rFonts w:ascii="Times New Roman" w:hAnsi="Times New Roman" w:cs="Times New Roman"/>
        </w:rPr>
        <w:t>&amp;</w:t>
      </w:r>
      <w:r w:rsidR="003217D8">
        <w:rPr>
          <w:rFonts w:ascii="Times New Roman" w:hAnsi="Times New Roman" w:cs="Times New Roman"/>
        </w:rPr>
        <w:t xml:space="preserve"> Commentary </w:t>
      </w:r>
      <w:r w:rsidR="000F3B45">
        <w:rPr>
          <w:rFonts w:ascii="Times New Roman" w:hAnsi="Times New Roman" w:cs="Times New Roman"/>
        </w:rPr>
        <w:t xml:space="preserve">which identifies </w:t>
      </w:r>
      <w:r w:rsidR="00DF5F9B">
        <w:rPr>
          <w:rFonts w:ascii="Times New Roman" w:hAnsi="Times New Roman" w:cs="Times New Roman"/>
        </w:rPr>
        <w:t xml:space="preserve">some references and considerations </w:t>
      </w:r>
      <w:r w:rsidR="000F3B45">
        <w:rPr>
          <w:rFonts w:ascii="Times New Roman" w:hAnsi="Times New Roman" w:cs="Times New Roman"/>
        </w:rPr>
        <w:t xml:space="preserve">that </w:t>
      </w:r>
      <w:r w:rsidR="00DF5F9B">
        <w:rPr>
          <w:rFonts w:ascii="Times New Roman" w:hAnsi="Times New Roman" w:cs="Times New Roman"/>
        </w:rPr>
        <w:t>may be useful to a practitioner determining reserves for life insurance policies where Accelerated Underwriting methods were used.</w:t>
      </w:r>
    </w:p>
    <w:p w14:paraId="00552718" w14:textId="77777777" w:rsidR="00DF5F9B" w:rsidRDefault="00DF5F9B" w:rsidP="006C300A">
      <w:pPr>
        <w:pStyle w:val="Default"/>
        <w:rPr>
          <w:rFonts w:ascii="Times New Roman" w:hAnsi="Times New Roman" w:cs="Times New Roman"/>
        </w:rPr>
      </w:pPr>
    </w:p>
    <w:p w14:paraId="08428861" w14:textId="4EF37EE6" w:rsidR="00E14ADF" w:rsidRPr="00E14ADF" w:rsidRDefault="00E14ADF" w:rsidP="006C300A">
      <w:pPr>
        <w:pStyle w:val="Default"/>
        <w:rPr>
          <w:rFonts w:ascii="Times New Roman" w:hAnsi="Times New Roman" w:cs="Times New Roman"/>
        </w:rPr>
      </w:pPr>
      <w:r w:rsidRPr="00E14ADF">
        <w:rPr>
          <w:rFonts w:ascii="Times New Roman" w:hAnsi="Times New Roman" w:cs="Times New Roman"/>
        </w:rPr>
        <w:t>The valuation actuary may</w:t>
      </w:r>
      <w:r>
        <w:rPr>
          <w:rFonts w:ascii="Times New Roman" w:hAnsi="Times New Roman" w:cs="Times New Roman"/>
        </w:rPr>
        <w:t xml:space="preserve"> also</w:t>
      </w:r>
      <w:r w:rsidRPr="00E14ADF">
        <w:rPr>
          <w:rFonts w:ascii="Times New Roman" w:hAnsi="Times New Roman" w:cs="Times New Roman"/>
        </w:rPr>
        <w:t xml:space="preserve"> find it helpful to </w:t>
      </w:r>
      <w:r w:rsidR="00DF5F9B">
        <w:rPr>
          <w:rFonts w:ascii="Times New Roman" w:hAnsi="Times New Roman" w:cs="Times New Roman"/>
        </w:rPr>
        <w:t>consult</w:t>
      </w:r>
      <w:r w:rsidRPr="00E14ADF">
        <w:rPr>
          <w:rFonts w:ascii="Times New Roman" w:hAnsi="Times New Roman" w:cs="Times New Roman"/>
        </w:rPr>
        <w:t xml:space="preserve"> the definitions for different categories of underwriting methods, as proposed by the GI/SI/AUW definitions sub-group of the Joint Committee:</w:t>
      </w:r>
      <w:r w:rsidR="00170130">
        <w:rPr>
          <w:rFonts w:ascii="Times New Roman" w:hAnsi="Times New Roman" w:cs="Times New Roman"/>
        </w:rPr>
        <w:t xml:space="preserve">  </w:t>
      </w:r>
      <w:r w:rsidRPr="00170130">
        <w:rPr>
          <w:rFonts w:ascii="Times New Roman" w:hAnsi="Times New Roman" w:cs="Times New Roman"/>
          <w:highlight w:val="yellow"/>
        </w:rPr>
        <w:t>INSERT LINK</w:t>
      </w:r>
      <w:r w:rsidR="00EA270C">
        <w:rPr>
          <w:rFonts w:ascii="Times New Roman" w:hAnsi="Times New Roman" w:cs="Times New Roman"/>
          <w:highlight w:val="yellow"/>
        </w:rPr>
        <w:t xml:space="preserve"> once finalized</w:t>
      </w:r>
      <w:r w:rsidRPr="00170130">
        <w:rPr>
          <w:rFonts w:ascii="Times New Roman" w:hAnsi="Times New Roman" w:cs="Times New Roman"/>
          <w:highlight w:val="yellow"/>
        </w:rPr>
        <w:t>]</w:t>
      </w:r>
    </w:p>
    <w:p w14:paraId="12CE3C28" w14:textId="77777777" w:rsidR="00DF5F9B" w:rsidRDefault="00DF5F9B" w:rsidP="006C300A">
      <w:pPr>
        <w:pStyle w:val="Default"/>
      </w:pPr>
    </w:p>
    <w:p w14:paraId="7857DBC1" w14:textId="628114D2" w:rsidR="00C17171" w:rsidRPr="00945489" w:rsidRDefault="00C17171" w:rsidP="006C300A">
      <w:pPr>
        <w:pStyle w:val="Default"/>
        <w:rPr>
          <w:rFonts w:asciiTheme="majorHAnsi" w:eastAsiaTheme="majorEastAsia" w:hAnsiTheme="majorHAnsi" w:cstheme="majorBidi"/>
          <w:b/>
          <w:color w:val="365F91" w:themeColor="accent1" w:themeShade="BF"/>
          <w:sz w:val="28"/>
          <w:szCs w:val="32"/>
          <w:u w:val="single"/>
        </w:rPr>
      </w:pPr>
      <w:r w:rsidRPr="00945489">
        <w:rPr>
          <w:rFonts w:asciiTheme="majorHAnsi" w:eastAsiaTheme="majorEastAsia" w:hAnsiTheme="majorHAnsi" w:cstheme="majorBidi"/>
          <w:b/>
          <w:color w:val="365F91" w:themeColor="accent1" w:themeShade="BF"/>
          <w:sz w:val="28"/>
          <w:szCs w:val="32"/>
          <w:u w:val="single"/>
        </w:rPr>
        <w:t xml:space="preserve">Credibility and Mortality Segments Related to Accelerated Underwriting </w:t>
      </w:r>
    </w:p>
    <w:p w14:paraId="328138BB" w14:textId="77777777" w:rsidR="00BE322C" w:rsidRPr="00BE322C" w:rsidRDefault="00BE322C" w:rsidP="006C300A">
      <w:pPr>
        <w:pStyle w:val="Default"/>
        <w:rPr>
          <w:rFonts w:asciiTheme="majorHAnsi" w:eastAsiaTheme="majorEastAsia" w:hAnsiTheme="majorHAnsi" w:cstheme="majorBidi"/>
          <w:color w:val="365F91" w:themeColor="accent1" w:themeShade="BF"/>
          <w:sz w:val="28"/>
          <w:szCs w:val="32"/>
          <w:u w:val="single"/>
        </w:rPr>
      </w:pPr>
    </w:p>
    <w:p w14:paraId="5D9671E0" w14:textId="744F8BFA" w:rsidR="00C17171" w:rsidRPr="00BE322C" w:rsidRDefault="00C17171" w:rsidP="006C300A">
      <w:pPr>
        <w:pStyle w:val="Default"/>
        <w:rPr>
          <w:rFonts w:asciiTheme="majorHAnsi" w:eastAsiaTheme="majorEastAsia" w:hAnsiTheme="majorHAnsi" w:cstheme="majorBidi"/>
          <w:color w:val="365F91" w:themeColor="accent1" w:themeShade="BF"/>
          <w:sz w:val="26"/>
          <w:szCs w:val="26"/>
        </w:rPr>
      </w:pPr>
      <w:r w:rsidRPr="00BE322C">
        <w:rPr>
          <w:rFonts w:asciiTheme="majorHAnsi" w:eastAsiaTheme="majorEastAsia" w:hAnsiTheme="majorHAnsi" w:cstheme="majorBidi"/>
          <w:color w:val="365F91" w:themeColor="accent1" w:themeShade="BF"/>
          <w:sz w:val="26"/>
          <w:szCs w:val="26"/>
        </w:rPr>
        <w:t>References</w:t>
      </w:r>
      <w:r w:rsidR="00726052">
        <w:rPr>
          <w:rStyle w:val="FootnoteReference"/>
          <w:rFonts w:asciiTheme="majorHAnsi" w:hAnsiTheme="majorHAnsi"/>
          <w:i/>
        </w:rPr>
        <w:footnoteReference w:id="1"/>
      </w:r>
      <w:r w:rsidR="00726052" w:rsidRPr="00BE322C">
        <w:rPr>
          <w:rFonts w:asciiTheme="majorHAnsi" w:hAnsiTheme="majorHAnsi"/>
          <w:i/>
        </w:rPr>
        <w:t xml:space="preserve"> </w:t>
      </w:r>
      <w:r w:rsidRPr="00BE322C">
        <w:rPr>
          <w:rFonts w:asciiTheme="majorHAnsi" w:eastAsiaTheme="majorEastAsia" w:hAnsiTheme="majorHAnsi" w:cstheme="majorBidi"/>
          <w:color w:val="365F91" w:themeColor="accent1" w:themeShade="BF"/>
          <w:sz w:val="26"/>
          <w:szCs w:val="26"/>
        </w:rPr>
        <w:t xml:space="preserve"> </w:t>
      </w:r>
    </w:p>
    <w:p w14:paraId="6F9B7477" w14:textId="27A80834" w:rsidR="00C17171" w:rsidRPr="00BE322C" w:rsidRDefault="00C17171" w:rsidP="006C300A">
      <w:pPr>
        <w:spacing w:after="0" w:line="240" w:lineRule="auto"/>
        <w:rPr>
          <w:rFonts w:asciiTheme="majorHAnsi" w:hAnsiTheme="majorHAnsi"/>
          <w:i/>
        </w:rPr>
      </w:pPr>
      <w:r w:rsidRPr="00BE322C">
        <w:rPr>
          <w:rFonts w:asciiTheme="majorHAnsi" w:hAnsiTheme="majorHAnsi"/>
          <w:i/>
        </w:rPr>
        <w:t xml:space="preserve">VM-20: Requirements for Principle-Based Reserves for Life Products Sections 1.C, 9.C.1, 9.C.2.b, 9.C.4.b </w:t>
      </w:r>
    </w:p>
    <w:p w14:paraId="39CFEE1F" w14:textId="34BAAE5F" w:rsidR="00C17171" w:rsidRDefault="00C17171" w:rsidP="006C300A">
      <w:pPr>
        <w:pStyle w:val="Default"/>
        <w:rPr>
          <w:rFonts w:asciiTheme="majorHAnsi" w:hAnsiTheme="majorHAnsi"/>
          <w:i/>
          <w:sz w:val="22"/>
          <w:szCs w:val="22"/>
        </w:rPr>
      </w:pPr>
      <w:r w:rsidRPr="00BE322C">
        <w:rPr>
          <w:rFonts w:asciiTheme="majorHAnsi" w:hAnsiTheme="majorHAnsi"/>
          <w:i/>
          <w:sz w:val="22"/>
          <w:szCs w:val="22"/>
        </w:rPr>
        <w:t xml:space="preserve">VM-31 PBR Actuarial Report Requirements for Business Subject to a Principle-Based Valuation Section 3.D.3 </w:t>
      </w:r>
    </w:p>
    <w:p w14:paraId="78C04D52" w14:textId="77777777" w:rsidR="00B6495A" w:rsidRPr="00BE322C" w:rsidRDefault="00B6495A" w:rsidP="006C300A">
      <w:pPr>
        <w:pStyle w:val="Default"/>
        <w:rPr>
          <w:rFonts w:asciiTheme="majorHAnsi" w:hAnsiTheme="majorHAnsi"/>
          <w:i/>
          <w:sz w:val="22"/>
          <w:szCs w:val="22"/>
        </w:rPr>
      </w:pPr>
    </w:p>
    <w:p w14:paraId="78EEDC85" w14:textId="77777777" w:rsidR="00C17171" w:rsidRPr="00BE322C" w:rsidRDefault="00C17171" w:rsidP="006C300A">
      <w:pPr>
        <w:pStyle w:val="Default"/>
        <w:rPr>
          <w:rFonts w:asciiTheme="majorHAnsi" w:eastAsiaTheme="majorEastAsia" w:hAnsiTheme="majorHAnsi" w:cstheme="majorBidi"/>
          <w:color w:val="365F91" w:themeColor="accent1" w:themeShade="BF"/>
          <w:sz w:val="26"/>
          <w:szCs w:val="26"/>
        </w:rPr>
      </w:pPr>
      <w:r w:rsidRPr="00BE322C">
        <w:rPr>
          <w:rFonts w:asciiTheme="majorHAnsi" w:eastAsiaTheme="majorEastAsia" w:hAnsiTheme="majorHAnsi" w:cstheme="majorBidi"/>
          <w:color w:val="365F91" w:themeColor="accent1" w:themeShade="BF"/>
          <w:sz w:val="26"/>
          <w:szCs w:val="26"/>
        </w:rPr>
        <w:t xml:space="preserve">Question #1 </w:t>
      </w:r>
    </w:p>
    <w:p w14:paraId="7E8EE288" w14:textId="046348B1"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Can different mortality segments, such as different risk classes, products, and genders, be combined for the purposes of calculating credibility? </w:t>
      </w:r>
    </w:p>
    <w:p w14:paraId="6FE85230" w14:textId="77777777" w:rsidR="00B6495A" w:rsidRPr="003C6D4F" w:rsidRDefault="00B6495A" w:rsidP="006C300A">
      <w:pPr>
        <w:pStyle w:val="Default"/>
        <w:rPr>
          <w:rFonts w:ascii="Times New Roman" w:eastAsia="Times New Roman" w:hAnsi="Times New Roman" w:cs="Times New Roman"/>
          <w:color w:val="auto"/>
          <w:szCs w:val="22"/>
        </w:rPr>
      </w:pPr>
    </w:p>
    <w:p w14:paraId="4A95844D" w14:textId="3F39D6B5" w:rsidR="00C17171" w:rsidRPr="00BE322C" w:rsidRDefault="001F4093" w:rsidP="006C300A">
      <w:pPr>
        <w:pStyle w:val="Defaul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Commentary</w:t>
      </w:r>
    </w:p>
    <w:p w14:paraId="6501526A" w14:textId="28EEB1D3" w:rsidR="00C17171" w:rsidRPr="003C6D4F"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VM-20 Sections 1.C.9 and 9.C.1 define and prescribe use of mortality segments. VM-20 Section 9.C.2.d </w:t>
      </w:r>
      <w:r w:rsidR="00EE2F00">
        <w:rPr>
          <w:rFonts w:ascii="Times New Roman" w:eastAsia="Times New Roman" w:hAnsi="Times New Roman" w:cs="Times New Roman"/>
          <w:color w:val="auto"/>
          <w:szCs w:val="22"/>
        </w:rPr>
        <w:t>provides</w:t>
      </w:r>
      <w:r w:rsidRPr="003C6D4F">
        <w:rPr>
          <w:rFonts w:ascii="Times New Roman" w:eastAsia="Times New Roman" w:hAnsi="Times New Roman" w:cs="Times New Roman"/>
          <w:color w:val="auto"/>
          <w:szCs w:val="22"/>
        </w:rPr>
        <w:t xml:space="preserve"> guidance on aggregation and subdivision of mortality segments. Mortality segments, such as for different risk classes, products, genders, underwriting methods, or product distribution practices</w:t>
      </w:r>
      <w:r w:rsidR="00BE322C" w:rsidRPr="003C6D4F">
        <w:rPr>
          <w:rFonts w:ascii="Times New Roman" w:eastAsia="Times New Roman" w:hAnsi="Times New Roman" w:cs="Times New Roman"/>
          <w:color w:val="auto"/>
          <w:szCs w:val="22"/>
        </w:rPr>
        <w:t>,</w:t>
      </w:r>
      <w:r w:rsidRPr="003C6D4F">
        <w:rPr>
          <w:rFonts w:ascii="Times New Roman" w:eastAsia="Times New Roman" w:hAnsi="Times New Roman" w:cs="Times New Roman"/>
          <w:color w:val="auto"/>
          <w:szCs w:val="22"/>
        </w:rPr>
        <w:t xml:space="preserve"> </w:t>
      </w:r>
      <w:r w:rsidR="00395EBA">
        <w:rPr>
          <w:rFonts w:ascii="Times New Roman" w:eastAsia="Times New Roman" w:hAnsi="Times New Roman" w:cs="Times New Roman"/>
          <w:color w:val="auto"/>
          <w:szCs w:val="22"/>
        </w:rPr>
        <w:t>may</w:t>
      </w:r>
      <w:r w:rsidRPr="003C6D4F">
        <w:rPr>
          <w:rFonts w:ascii="Times New Roman" w:eastAsia="Times New Roman" w:hAnsi="Times New Roman" w:cs="Times New Roman"/>
          <w:color w:val="auto"/>
          <w:szCs w:val="22"/>
        </w:rPr>
        <w:t xml:space="preserve"> be combined for credibility purposes if the experience associated with these mortality segments </w:t>
      </w:r>
      <w:r w:rsidR="00A90F60">
        <w:rPr>
          <w:rFonts w:ascii="Times New Roman" w:eastAsia="Times New Roman" w:hAnsi="Times New Roman" w:cs="Times New Roman"/>
          <w:color w:val="auto"/>
          <w:szCs w:val="22"/>
        </w:rPr>
        <w:t>is</w:t>
      </w:r>
      <w:r w:rsidRPr="003C6D4F">
        <w:rPr>
          <w:rFonts w:ascii="Times New Roman" w:eastAsia="Times New Roman" w:hAnsi="Times New Roman" w:cs="Times New Roman"/>
          <w:color w:val="auto"/>
          <w:szCs w:val="22"/>
        </w:rPr>
        <w:t xml:space="preserve"> aggregated for the purpose of determining mortality assumptions. </w:t>
      </w:r>
    </w:p>
    <w:p w14:paraId="7EC3A18B" w14:textId="3EA5FBDD"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Aggregation of experience between mortality segments must comply with VM-20 Section 9.C.2.d. and VM-31 Section 3.D.3.b on disclosures for aggregating experience across mortality segments and VM-31 Section 3.D.3.f on disclosures related to credibility method and level. </w:t>
      </w:r>
    </w:p>
    <w:p w14:paraId="00BC3404" w14:textId="77777777" w:rsidR="00B6495A" w:rsidRDefault="00B6495A" w:rsidP="006C300A">
      <w:pPr>
        <w:pStyle w:val="Default"/>
        <w:rPr>
          <w:rFonts w:ascii="Times New Roman" w:eastAsia="Times New Roman" w:hAnsi="Times New Roman" w:cs="Times New Roman"/>
          <w:color w:val="auto"/>
          <w:szCs w:val="22"/>
        </w:rPr>
      </w:pPr>
    </w:p>
    <w:p w14:paraId="54A14BD7" w14:textId="77777777" w:rsidR="00D811DB" w:rsidRDefault="00D811DB">
      <w:pPr>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p>
    <w:p w14:paraId="3219470F" w14:textId="621EDA15" w:rsidR="00C17171" w:rsidRDefault="00C17171" w:rsidP="006C300A">
      <w:pPr>
        <w:pStyle w:val="Default"/>
        <w:rPr>
          <w:sz w:val="26"/>
          <w:szCs w:val="26"/>
        </w:rPr>
      </w:pPr>
      <w:r w:rsidRPr="00BE322C">
        <w:rPr>
          <w:rFonts w:asciiTheme="majorHAnsi" w:eastAsiaTheme="majorEastAsia" w:hAnsiTheme="majorHAnsi" w:cstheme="majorBidi"/>
          <w:color w:val="365F91" w:themeColor="accent1" w:themeShade="BF"/>
          <w:sz w:val="26"/>
          <w:szCs w:val="26"/>
        </w:rPr>
        <w:lastRenderedPageBreak/>
        <w:t xml:space="preserve">Question #2 </w:t>
      </w:r>
    </w:p>
    <w:p w14:paraId="0EC7E424" w14:textId="4F24320D"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Can mortality experience from different policy forms be combined in the same mortality segment? </w:t>
      </w:r>
    </w:p>
    <w:p w14:paraId="3AA10A32" w14:textId="77777777" w:rsidR="00B6495A" w:rsidRDefault="00B6495A" w:rsidP="006C300A">
      <w:pPr>
        <w:pStyle w:val="Default"/>
        <w:rPr>
          <w:sz w:val="22"/>
          <w:szCs w:val="22"/>
        </w:rPr>
      </w:pPr>
    </w:p>
    <w:p w14:paraId="2587FCD1" w14:textId="7E0811A2" w:rsidR="00C17171" w:rsidRPr="00BE322C" w:rsidRDefault="00EA270C" w:rsidP="006C300A">
      <w:pPr>
        <w:pStyle w:val="Default"/>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Commentary</w:t>
      </w:r>
    </w:p>
    <w:p w14:paraId="64D3E0A3" w14:textId="2BC04CCD"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VM-20 Sections 9.C.2.d and 9.C.4.b allow experience from different policy forms to be combined under certain circumstances related to the relationship of the expected mortality among lives within each mortality segment and between different mortality segments. VM-31 Section 3.D.3 requires disclosure of mortality assumptions in the PBR Actuarial Report</w:t>
      </w:r>
      <w:r w:rsidR="006C300A">
        <w:rPr>
          <w:rFonts w:ascii="Times New Roman" w:eastAsia="Times New Roman" w:hAnsi="Times New Roman" w:cs="Times New Roman"/>
          <w:color w:val="auto"/>
          <w:szCs w:val="22"/>
        </w:rPr>
        <w:t>, specifying that a</w:t>
      </w:r>
      <w:r w:rsidRPr="003C6D4F">
        <w:rPr>
          <w:rFonts w:ascii="Times New Roman" w:eastAsia="Times New Roman" w:hAnsi="Times New Roman" w:cs="Times New Roman"/>
          <w:color w:val="auto"/>
          <w:szCs w:val="22"/>
        </w:rPr>
        <w:t>ctuaries should consider whether polices in the same mortality segment follow similar marketing and distribution practices. Possible examples of aggregating mortality</w:t>
      </w:r>
      <w:r w:rsidR="00720C0E">
        <w:rPr>
          <w:rFonts w:ascii="Times New Roman" w:eastAsia="Times New Roman" w:hAnsi="Times New Roman" w:cs="Times New Roman"/>
          <w:color w:val="auto"/>
          <w:szCs w:val="22"/>
        </w:rPr>
        <w:t xml:space="preserve"> include</w:t>
      </w:r>
      <w:r w:rsidRPr="003C6D4F">
        <w:rPr>
          <w:rFonts w:ascii="Times New Roman" w:eastAsia="Times New Roman" w:hAnsi="Times New Roman" w:cs="Times New Roman"/>
          <w:color w:val="auto"/>
          <w:szCs w:val="22"/>
        </w:rPr>
        <w:t xml:space="preserve">: </w:t>
      </w:r>
    </w:p>
    <w:p w14:paraId="6268CBB4" w14:textId="77777777" w:rsidR="00522EE6" w:rsidRPr="003C6D4F" w:rsidRDefault="00522EE6" w:rsidP="006C300A">
      <w:pPr>
        <w:pStyle w:val="Default"/>
        <w:rPr>
          <w:rFonts w:ascii="Times New Roman" w:eastAsia="Times New Roman" w:hAnsi="Times New Roman" w:cs="Times New Roman"/>
          <w:color w:val="auto"/>
          <w:szCs w:val="22"/>
        </w:rPr>
      </w:pPr>
    </w:p>
    <w:p w14:paraId="2F5DC686" w14:textId="4FAFA5C7" w:rsidR="00C17171" w:rsidRPr="003C6D4F" w:rsidRDefault="00C17171" w:rsidP="006C300A">
      <w:pPr>
        <w:pStyle w:val="Default"/>
        <w:numPr>
          <w:ilvl w:val="0"/>
          <w:numId w:val="8"/>
        </w:numPr>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Policy Forms </w:t>
      </w:r>
      <w:r w:rsidR="00720C0E">
        <w:rPr>
          <w:rFonts w:ascii="Times New Roman" w:eastAsia="Times New Roman" w:hAnsi="Times New Roman" w:cs="Times New Roman"/>
          <w:color w:val="auto"/>
          <w:szCs w:val="22"/>
        </w:rPr>
        <w:t xml:space="preserve">from </w:t>
      </w:r>
      <w:r w:rsidRPr="003C6D4F">
        <w:rPr>
          <w:rFonts w:ascii="Times New Roman" w:eastAsia="Times New Roman" w:hAnsi="Times New Roman" w:cs="Times New Roman"/>
          <w:color w:val="auto"/>
          <w:szCs w:val="22"/>
        </w:rPr>
        <w:t xml:space="preserve">Different Issue Years – Combining experience for term business using a policy form issued in 2017-2018 with experience for term business using a policy form issued in 2019-2020. </w:t>
      </w:r>
    </w:p>
    <w:p w14:paraId="3B95DF71" w14:textId="77777777" w:rsidR="00C17171" w:rsidRPr="003C6D4F" w:rsidRDefault="00C17171" w:rsidP="006C300A">
      <w:pPr>
        <w:pStyle w:val="Default"/>
        <w:rPr>
          <w:rFonts w:ascii="Times New Roman" w:eastAsia="Times New Roman" w:hAnsi="Times New Roman" w:cs="Times New Roman"/>
          <w:color w:val="auto"/>
          <w:szCs w:val="22"/>
        </w:rPr>
      </w:pPr>
    </w:p>
    <w:p w14:paraId="7FA9C6F1" w14:textId="79A5F12E" w:rsidR="00C17171" w:rsidRPr="003C6D4F" w:rsidRDefault="00C17171" w:rsidP="006C300A">
      <w:pPr>
        <w:pStyle w:val="Default"/>
        <w:numPr>
          <w:ilvl w:val="0"/>
          <w:numId w:val="8"/>
        </w:numPr>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Policy Forms with the same Underwriting Requirements – Combining mortality experience associated with a term policy form with experience associated with a universal life policy form with the</w:t>
      </w:r>
      <w:r w:rsidR="00BE322C" w:rsidRPr="003C6D4F">
        <w:rPr>
          <w:rFonts w:ascii="Times New Roman" w:eastAsia="Times New Roman" w:hAnsi="Times New Roman" w:cs="Times New Roman"/>
          <w:color w:val="auto"/>
          <w:szCs w:val="22"/>
        </w:rPr>
        <w:t xml:space="preserve"> same underwriting requirements.</w:t>
      </w:r>
    </w:p>
    <w:p w14:paraId="6667073E" w14:textId="30089FC7" w:rsidR="00C17171" w:rsidRDefault="00C17171" w:rsidP="006C300A">
      <w:pPr>
        <w:pStyle w:val="Default"/>
      </w:pPr>
    </w:p>
    <w:p w14:paraId="198DB6EF" w14:textId="2803873C" w:rsidR="00C17171" w:rsidRPr="00945489" w:rsidRDefault="00C17171" w:rsidP="006C300A">
      <w:pPr>
        <w:pStyle w:val="Default"/>
        <w:rPr>
          <w:b/>
          <w:sz w:val="26"/>
          <w:szCs w:val="26"/>
        </w:rPr>
      </w:pPr>
      <w:r w:rsidRPr="00945489">
        <w:rPr>
          <w:rFonts w:asciiTheme="majorHAnsi" w:eastAsiaTheme="majorEastAsia" w:hAnsiTheme="majorHAnsi" w:cstheme="majorBidi"/>
          <w:b/>
          <w:color w:val="365F91" w:themeColor="accent1" w:themeShade="BF"/>
          <w:sz w:val="28"/>
          <w:szCs w:val="32"/>
          <w:u w:val="single"/>
        </w:rPr>
        <w:t>Mortality Margins Related to Accelerated Underwriting</w:t>
      </w:r>
      <w:r w:rsidRPr="00945489">
        <w:rPr>
          <w:b/>
          <w:sz w:val="26"/>
          <w:szCs w:val="26"/>
        </w:rPr>
        <w:t xml:space="preserve"> </w:t>
      </w:r>
    </w:p>
    <w:p w14:paraId="5C78004E" w14:textId="77777777" w:rsidR="00BE322C" w:rsidRDefault="00BE322C" w:rsidP="006C300A">
      <w:pPr>
        <w:pStyle w:val="Default"/>
        <w:rPr>
          <w:sz w:val="26"/>
          <w:szCs w:val="26"/>
        </w:rPr>
      </w:pPr>
    </w:p>
    <w:p w14:paraId="6CAFA765" w14:textId="226A20C6" w:rsidR="00C17171" w:rsidRDefault="00C17171" w:rsidP="006C300A">
      <w:pPr>
        <w:pStyle w:val="Heading2"/>
        <w:spacing w:before="0" w:line="240" w:lineRule="auto"/>
      </w:pPr>
      <w:r>
        <w:t xml:space="preserve">References </w:t>
      </w:r>
    </w:p>
    <w:p w14:paraId="29B5ACDA" w14:textId="77777777" w:rsidR="00C17171" w:rsidRPr="00BE322C" w:rsidRDefault="00C17171" w:rsidP="006C300A">
      <w:pPr>
        <w:spacing w:after="0" w:line="240" w:lineRule="auto"/>
        <w:rPr>
          <w:rFonts w:asciiTheme="majorHAnsi" w:hAnsiTheme="majorHAnsi"/>
          <w:i/>
        </w:rPr>
      </w:pPr>
      <w:r w:rsidRPr="00BE322C">
        <w:rPr>
          <w:rFonts w:asciiTheme="majorHAnsi" w:hAnsiTheme="majorHAnsi"/>
          <w:i/>
        </w:rPr>
        <w:t xml:space="preserve">VM-20: Requirements for Principle-Based Reserves for Life Products Sections 9.A.6, 9.C.2, and 9.C.5. </w:t>
      </w:r>
    </w:p>
    <w:p w14:paraId="39B4F50C" w14:textId="77777777" w:rsidR="00C17171" w:rsidRPr="00BE322C" w:rsidRDefault="00C17171" w:rsidP="006C300A">
      <w:pPr>
        <w:spacing w:after="0" w:line="240" w:lineRule="auto"/>
        <w:rPr>
          <w:rFonts w:asciiTheme="majorHAnsi" w:hAnsiTheme="majorHAnsi"/>
          <w:i/>
        </w:rPr>
      </w:pPr>
      <w:r w:rsidRPr="00BE322C">
        <w:rPr>
          <w:rFonts w:asciiTheme="majorHAnsi" w:hAnsiTheme="majorHAnsi"/>
          <w:i/>
        </w:rPr>
        <w:t xml:space="preserve">VM-31 PBR Actuarial Report Requirements for Business Subject to a Principle-Based Valuation Section 3.D.3 </w:t>
      </w:r>
    </w:p>
    <w:p w14:paraId="4AE76CBE" w14:textId="77777777" w:rsidR="00D811DB" w:rsidRDefault="00D811DB" w:rsidP="006C300A">
      <w:pPr>
        <w:pStyle w:val="Heading2"/>
        <w:spacing w:before="0" w:line="240" w:lineRule="auto"/>
      </w:pPr>
    </w:p>
    <w:p w14:paraId="6E299CA2" w14:textId="77777777" w:rsidR="00C17171" w:rsidRDefault="00C17171" w:rsidP="006C300A">
      <w:pPr>
        <w:pStyle w:val="Heading2"/>
        <w:spacing w:before="0" w:line="240" w:lineRule="auto"/>
      </w:pPr>
      <w:r>
        <w:t xml:space="preserve">Question #1 </w:t>
      </w:r>
    </w:p>
    <w:p w14:paraId="4D6AD36F" w14:textId="5DC08CD3"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A company underwrites a group of policies using both traditional and new </w:t>
      </w:r>
      <w:r w:rsidR="00D811DB">
        <w:rPr>
          <w:rFonts w:ascii="Times New Roman" w:eastAsia="Times New Roman" w:hAnsi="Times New Roman" w:cs="Times New Roman"/>
          <w:color w:val="auto"/>
          <w:szCs w:val="22"/>
        </w:rPr>
        <w:t>a</w:t>
      </w:r>
      <w:r w:rsidR="00D811DB" w:rsidRPr="003C6D4F">
        <w:rPr>
          <w:rFonts w:ascii="Times New Roman" w:eastAsia="Times New Roman" w:hAnsi="Times New Roman" w:cs="Times New Roman"/>
          <w:color w:val="auto"/>
          <w:szCs w:val="22"/>
        </w:rPr>
        <w:t xml:space="preserve">ccelerated </w:t>
      </w:r>
      <w:r w:rsidR="00D811DB">
        <w:rPr>
          <w:rFonts w:ascii="Times New Roman" w:eastAsia="Times New Roman" w:hAnsi="Times New Roman" w:cs="Times New Roman"/>
          <w:color w:val="auto"/>
          <w:szCs w:val="22"/>
        </w:rPr>
        <w:t>u</w:t>
      </w:r>
      <w:r w:rsidR="00D811DB" w:rsidRPr="003C6D4F">
        <w:rPr>
          <w:rFonts w:ascii="Times New Roman" w:eastAsia="Times New Roman" w:hAnsi="Times New Roman" w:cs="Times New Roman"/>
          <w:color w:val="auto"/>
          <w:szCs w:val="22"/>
        </w:rPr>
        <w:t xml:space="preserve">nderwriting </w:t>
      </w:r>
      <w:r w:rsidRPr="003C6D4F">
        <w:rPr>
          <w:rFonts w:ascii="Times New Roman" w:eastAsia="Times New Roman" w:hAnsi="Times New Roman" w:cs="Times New Roman"/>
          <w:color w:val="auto"/>
          <w:szCs w:val="22"/>
        </w:rPr>
        <w:t xml:space="preserve">methods. The new underwriting method was introduced recently and is designed to result in risk class assignments </w:t>
      </w:r>
      <w:r w:rsidR="00395EBA">
        <w:rPr>
          <w:rFonts w:ascii="Times New Roman" w:eastAsia="Times New Roman" w:hAnsi="Times New Roman" w:cs="Times New Roman"/>
          <w:color w:val="auto"/>
          <w:szCs w:val="22"/>
        </w:rPr>
        <w:t xml:space="preserve">that are </w:t>
      </w:r>
      <w:r w:rsidRPr="003C6D4F">
        <w:rPr>
          <w:rFonts w:ascii="Times New Roman" w:eastAsia="Times New Roman" w:hAnsi="Times New Roman" w:cs="Times New Roman"/>
          <w:color w:val="auto"/>
          <w:szCs w:val="22"/>
        </w:rPr>
        <w:t xml:space="preserve">similar to the traditional method. Retrospective studies of inforce policies that were issued using traditional underwriting found the new method reproduces risk selection outcomes to within a targeted threshold. </w:t>
      </w:r>
    </w:p>
    <w:p w14:paraId="5887B853" w14:textId="77777777" w:rsidR="000500CE" w:rsidRPr="003C6D4F" w:rsidRDefault="000500CE" w:rsidP="006C300A">
      <w:pPr>
        <w:pStyle w:val="Default"/>
        <w:rPr>
          <w:rFonts w:ascii="Times New Roman" w:eastAsia="Times New Roman" w:hAnsi="Times New Roman" w:cs="Times New Roman"/>
          <w:color w:val="auto"/>
          <w:szCs w:val="22"/>
        </w:rPr>
      </w:pPr>
    </w:p>
    <w:p w14:paraId="163E2869" w14:textId="69B738E1"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The company establishes its anticipated mortality experience assumption using sound actuarial judgment for the group of policies by relying on relevant and credible company experience that includes the policies underwritten using traditional methods. The company has designed the new underwriting method with the objective of reproducing traditional methods’ results and has tested the outcome. </w:t>
      </w:r>
    </w:p>
    <w:p w14:paraId="350DF079" w14:textId="77777777" w:rsidR="000500CE" w:rsidRPr="003C6D4F" w:rsidRDefault="000500CE" w:rsidP="006C300A">
      <w:pPr>
        <w:pStyle w:val="Default"/>
        <w:rPr>
          <w:rFonts w:ascii="Times New Roman" w:eastAsia="Times New Roman" w:hAnsi="Times New Roman" w:cs="Times New Roman"/>
          <w:color w:val="auto"/>
          <w:szCs w:val="22"/>
        </w:rPr>
      </w:pPr>
    </w:p>
    <w:p w14:paraId="69A10AE0" w14:textId="7CD1EACE"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For a group of such policies that is valued using VM-20, is the company allowed to base the anticipated mortality experience and credibility of the policies that use the new underwriting method on the larger group of policies? </w:t>
      </w:r>
    </w:p>
    <w:p w14:paraId="1C29E3F7" w14:textId="77777777" w:rsidR="00B6495A" w:rsidRPr="003C6D4F" w:rsidRDefault="00B6495A" w:rsidP="006C300A">
      <w:pPr>
        <w:pStyle w:val="Default"/>
        <w:rPr>
          <w:rFonts w:ascii="Times New Roman" w:eastAsia="Times New Roman" w:hAnsi="Times New Roman" w:cs="Times New Roman"/>
          <w:color w:val="auto"/>
          <w:szCs w:val="22"/>
        </w:rPr>
      </w:pPr>
    </w:p>
    <w:p w14:paraId="622B1F32" w14:textId="4F80EAD4" w:rsidR="00C17171" w:rsidRDefault="006C300A" w:rsidP="006C300A">
      <w:pPr>
        <w:pStyle w:val="Heading2"/>
        <w:spacing w:before="0" w:line="240" w:lineRule="auto"/>
      </w:pPr>
      <w:r>
        <w:lastRenderedPageBreak/>
        <w:t>Co</w:t>
      </w:r>
      <w:r w:rsidR="00EA270C">
        <w:t>mmentary</w:t>
      </w:r>
    </w:p>
    <w:p w14:paraId="2B58A99E" w14:textId="72CF1889"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VM-20 Section 9.A.6 has general assumption requirements for a company to use its own experience, if relevant and credible, to establish an anticipated experience assumption for any risk factor. VM-20 Section 9.A provides guidance for use of other company experience in situations where data is not relevant or credible and the use of industry data, as appropriate. VM-20 Section 9.C.2.b provides guidance on what constitutes company experience data. </w:t>
      </w:r>
    </w:p>
    <w:p w14:paraId="0DED4405" w14:textId="77777777" w:rsidR="000500CE" w:rsidRPr="003C6D4F" w:rsidRDefault="000500CE" w:rsidP="006C300A">
      <w:pPr>
        <w:pStyle w:val="Default"/>
        <w:rPr>
          <w:rFonts w:ascii="Times New Roman" w:eastAsia="Times New Roman" w:hAnsi="Times New Roman" w:cs="Times New Roman"/>
          <w:color w:val="auto"/>
          <w:szCs w:val="22"/>
        </w:rPr>
      </w:pPr>
    </w:p>
    <w:p w14:paraId="036FCDD2" w14:textId="38119E2D"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In the situation described above, the mortality assumption for policies subject to VM-20 has been established using sound actuarial judgment. If when using studies and the most relevant data available, the actuary has determined the inforce policy block’s experience to be the best predic</w:t>
      </w:r>
      <w:r w:rsidR="000500CE">
        <w:rPr>
          <w:rFonts w:ascii="Times New Roman" w:eastAsia="Times New Roman" w:hAnsi="Times New Roman" w:cs="Times New Roman"/>
          <w:color w:val="auto"/>
          <w:szCs w:val="22"/>
        </w:rPr>
        <w:t>tor of the mortality risk</w:t>
      </w:r>
      <w:r w:rsidRPr="003C6D4F">
        <w:rPr>
          <w:rFonts w:ascii="Times New Roman" w:eastAsia="Times New Roman" w:hAnsi="Times New Roman" w:cs="Times New Roman"/>
          <w:color w:val="auto"/>
          <w:szCs w:val="22"/>
        </w:rPr>
        <w:t xml:space="preserve"> for the policies issued using the new underwriting method, then compliance with VM-20 is satisfied for the current reporting period. </w:t>
      </w:r>
    </w:p>
    <w:p w14:paraId="43108134" w14:textId="77777777" w:rsidR="00B6495A" w:rsidRPr="003C6D4F" w:rsidRDefault="00B6495A" w:rsidP="006C300A">
      <w:pPr>
        <w:pStyle w:val="Default"/>
        <w:rPr>
          <w:rFonts w:ascii="Times New Roman" w:eastAsia="Times New Roman" w:hAnsi="Times New Roman" w:cs="Times New Roman"/>
          <w:color w:val="auto"/>
          <w:szCs w:val="22"/>
        </w:rPr>
      </w:pPr>
    </w:p>
    <w:p w14:paraId="7337A656" w14:textId="77777777" w:rsidR="00C17171" w:rsidRDefault="00C17171" w:rsidP="006C300A">
      <w:pPr>
        <w:pStyle w:val="Heading2"/>
        <w:spacing w:before="0" w:line="240" w:lineRule="auto"/>
      </w:pPr>
      <w:r>
        <w:t xml:space="preserve">Question #2 </w:t>
      </w:r>
    </w:p>
    <w:p w14:paraId="38F52229" w14:textId="6B397C7B" w:rsidR="00C17171" w:rsidRDefault="00C17171" w:rsidP="006C300A">
      <w:pPr>
        <w:pStyle w:val="Default"/>
        <w:rPr>
          <w:rFonts w:ascii="Times New Roman" w:eastAsia="Times New Roman" w:hAnsi="Times New Roman" w:cs="Times New Roman"/>
          <w:color w:val="auto"/>
          <w:szCs w:val="22"/>
        </w:rPr>
      </w:pPr>
      <w:r w:rsidRPr="003C6D4F">
        <w:rPr>
          <w:rFonts w:ascii="Times New Roman" w:eastAsia="Times New Roman" w:hAnsi="Times New Roman" w:cs="Times New Roman"/>
          <w:color w:val="auto"/>
          <w:szCs w:val="22"/>
        </w:rPr>
        <w:t xml:space="preserve">What amount of additional margin, if any, would be required per the language of VM-20 Section 9.C.5.d? </w:t>
      </w:r>
    </w:p>
    <w:p w14:paraId="17697DA9" w14:textId="77777777" w:rsidR="00B6495A" w:rsidRPr="003C6D4F" w:rsidRDefault="00B6495A" w:rsidP="006C300A">
      <w:pPr>
        <w:pStyle w:val="Default"/>
        <w:rPr>
          <w:rFonts w:ascii="Times New Roman" w:eastAsia="Times New Roman" w:hAnsi="Times New Roman" w:cs="Times New Roman"/>
          <w:color w:val="auto"/>
          <w:szCs w:val="22"/>
        </w:rPr>
      </w:pPr>
    </w:p>
    <w:p w14:paraId="2F2C4E8B" w14:textId="48666804" w:rsidR="00C17171" w:rsidRDefault="006C300A" w:rsidP="006C300A">
      <w:pPr>
        <w:pStyle w:val="Heading2"/>
        <w:spacing w:before="0" w:line="240" w:lineRule="auto"/>
      </w:pPr>
      <w:r>
        <w:t>Co</w:t>
      </w:r>
      <w:r w:rsidR="00EA270C">
        <w:t>mmentary</w:t>
      </w:r>
    </w:p>
    <w:p w14:paraId="6804C35A" w14:textId="4928F8C1" w:rsidR="00C17171" w:rsidRDefault="00C17171" w:rsidP="006C300A">
      <w:pPr>
        <w:pStyle w:val="Default"/>
        <w:rPr>
          <w:rFonts w:ascii="Times New Roman" w:eastAsia="Times New Roman" w:hAnsi="Times New Roman" w:cs="Times New Roman"/>
          <w:color w:val="auto"/>
          <w:szCs w:val="22"/>
        </w:rPr>
      </w:pPr>
      <w:r w:rsidRPr="007E52DA">
        <w:rPr>
          <w:rFonts w:ascii="Times New Roman" w:eastAsia="Times New Roman" w:hAnsi="Times New Roman" w:cs="Times New Roman"/>
          <w:color w:val="auto"/>
          <w:szCs w:val="22"/>
        </w:rPr>
        <w:t>VM-20 Section 9.C.5.d anticipates an additional margin</w:t>
      </w:r>
      <w:r w:rsidR="009F5FBA">
        <w:rPr>
          <w:rFonts w:ascii="Times New Roman" w:eastAsia="Times New Roman" w:hAnsi="Times New Roman" w:cs="Times New Roman"/>
          <w:color w:val="auto"/>
          <w:szCs w:val="22"/>
        </w:rPr>
        <w:t>, as appropriate,</w:t>
      </w:r>
      <w:r w:rsidRPr="007E52DA">
        <w:rPr>
          <w:rFonts w:ascii="Times New Roman" w:eastAsia="Times New Roman" w:hAnsi="Times New Roman" w:cs="Times New Roman"/>
          <w:color w:val="auto"/>
          <w:szCs w:val="22"/>
        </w:rPr>
        <w:t xml:space="preserve"> if a company is relying on new risk selection techniques, such as the predictive value of experience under its traditional underwriting program. VM-31 Section 3.D.3 would require disclosure in the PBR Actuarial Report of judgment</w:t>
      </w:r>
      <w:r w:rsidR="000500CE">
        <w:rPr>
          <w:rFonts w:ascii="Times New Roman" w:eastAsia="Times New Roman" w:hAnsi="Times New Roman" w:cs="Times New Roman"/>
          <w:color w:val="auto"/>
          <w:szCs w:val="22"/>
        </w:rPr>
        <w:t xml:space="preserve"> used</w:t>
      </w:r>
      <w:r w:rsidRPr="007E52DA">
        <w:rPr>
          <w:rFonts w:ascii="Times New Roman" w:eastAsia="Times New Roman" w:hAnsi="Times New Roman" w:cs="Times New Roman"/>
          <w:color w:val="auto"/>
          <w:szCs w:val="22"/>
        </w:rPr>
        <w:t xml:space="preserve"> in determining the amount and form of any additional 9.C.5.d.iii margin, including when no additional margin is added. </w:t>
      </w:r>
    </w:p>
    <w:p w14:paraId="41999BFE" w14:textId="77777777" w:rsidR="000500CE" w:rsidRPr="007E52DA" w:rsidRDefault="000500CE" w:rsidP="006C300A">
      <w:pPr>
        <w:pStyle w:val="Default"/>
        <w:rPr>
          <w:rFonts w:ascii="Times New Roman" w:eastAsia="Times New Roman" w:hAnsi="Times New Roman" w:cs="Times New Roman"/>
          <w:color w:val="auto"/>
          <w:szCs w:val="22"/>
        </w:rPr>
      </w:pPr>
    </w:p>
    <w:p w14:paraId="19C73BB3" w14:textId="4176C171" w:rsidR="00C17171" w:rsidRDefault="00C17171" w:rsidP="006C300A">
      <w:pPr>
        <w:pStyle w:val="Default"/>
        <w:rPr>
          <w:rFonts w:ascii="Times New Roman" w:eastAsia="Times New Roman" w:hAnsi="Times New Roman" w:cs="Times New Roman"/>
          <w:color w:val="auto"/>
          <w:szCs w:val="22"/>
        </w:rPr>
      </w:pPr>
      <w:r w:rsidRPr="007E52DA">
        <w:rPr>
          <w:rFonts w:ascii="Times New Roman" w:eastAsia="Times New Roman" w:hAnsi="Times New Roman" w:cs="Times New Roman"/>
          <w:color w:val="auto"/>
          <w:szCs w:val="22"/>
        </w:rPr>
        <w:t>The margin may be level or could decrease by duration from its initial level. The margin may be set as a percentage increase to the underlying mortality rate (i.e.</w:t>
      </w:r>
      <w:r w:rsidR="006C300A">
        <w:rPr>
          <w:rFonts w:ascii="Times New Roman" w:eastAsia="Times New Roman" w:hAnsi="Times New Roman" w:cs="Times New Roman"/>
          <w:color w:val="auto"/>
          <w:szCs w:val="22"/>
        </w:rPr>
        <w:t>,</w:t>
      </w:r>
      <w:r w:rsidRPr="007E52DA">
        <w:rPr>
          <w:rFonts w:ascii="Times New Roman" w:eastAsia="Times New Roman" w:hAnsi="Times New Roman" w:cs="Times New Roman"/>
          <w:color w:val="auto"/>
          <w:szCs w:val="22"/>
        </w:rPr>
        <w:t xml:space="preserve"> “added to” the prescribed margin) or set as a percentage increase to the prescribed margin (i.e.</w:t>
      </w:r>
      <w:r w:rsidR="006C300A">
        <w:rPr>
          <w:rFonts w:ascii="Times New Roman" w:eastAsia="Times New Roman" w:hAnsi="Times New Roman" w:cs="Times New Roman"/>
          <w:color w:val="auto"/>
          <w:szCs w:val="22"/>
        </w:rPr>
        <w:t>,</w:t>
      </w:r>
      <w:r w:rsidRPr="007E52DA">
        <w:rPr>
          <w:rFonts w:ascii="Times New Roman" w:eastAsia="Times New Roman" w:hAnsi="Times New Roman" w:cs="Times New Roman"/>
          <w:color w:val="auto"/>
          <w:szCs w:val="22"/>
        </w:rPr>
        <w:t xml:space="preserve"> “scaling up” the prescribed margin). The margin may vary by other characteristics of the policy, such as issue age, risk class, and/or policy size. The margin may vary by the characteristics of the new underwriting method which are intended to mitigate excessive mortality risks. </w:t>
      </w:r>
    </w:p>
    <w:p w14:paraId="6C330698" w14:textId="77777777" w:rsidR="006C300A" w:rsidRPr="007E52DA" w:rsidRDefault="006C300A" w:rsidP="006C300A">
      <w:pPr>
        <w:pStyle w:val="Default"/>
        <w:rPr>
          <w:rFonts w:ascii="Times New Roman" w:eastAsia="Times New Roman" w:hAnsi="Times New Roman" w:cs="Times New Roman"/>
          <w:color w:val="auto"/>
          <w:szCs w:val="22"/>
        </w:rPr>
      </w:pPr>
    </w:p>
    <w:p w14:paraId="3F2DFA8D" w14:textId="2A171EF1" w:rsidR="00C17171" w:rsidRPr="007E52DA" w:rsidRDefault="00C17171" w:rsidP="006C300A">
      <w:pPr>
        <w:pStyle w:val="Heading1"/>
        <w:spacing w:before="0" w:line="240" w:lineRule="auto"/>
        <w:rPr>
          <w:rFonts w:ascii="Times New Roman" w:eastAsia="Times New Roman" w:hAnsi="Times New Roman" w:cs="Times New Roman"/>
          <w:color w:val="auto"/>
          <w:sz w:val="24"/>
          <w:szCs w:val="22"/>
        </w:rPr>
      </w:pPr>
      <w:r w:rsidRPr="007E52DA">
        <w:rPr>
          <w:rFonts w:ascii="Times New Roman" w:eastAsia="Times New Roman" w:hAnsi="Times New Roman" w:cs="Times New Roman"/>
          <w:color w:val="auto"/>
          <w:sz w:val="24"/>
          <w:szCs w:val="22"/>
        </w:rPr>
        <w:t xml:space="preserve">Emerging experience </w:t>
      </w:r>
      <w:r w:rsidR="000500CE">
        <w:rPr>
          <w:rFonts w:ascii="Times New Roman" w:eastAsia="Times New Roman" w:hAnsi="Times New Roman" w:cs="Times New Roman"/>
          <w:color w:val="auto"/>
          <w:sz w:val="24"/>
          <w:szCs w:val="22"/>
        </w:rPr>
        <w:t>under</w:t>
      </w:r>
      <w:r w:rsidRPr="007E52DA">
        <w:rPr>
          <w:rFonts w:ascii="Times New Roman" w:eastAsia="Times New Roman" w:hAnsi="Times New Roman" w:cs="Times New Roman"/>
          <w:color w:val="auto"/>
          <w:sz w:val="24"/>
          <w:szCs w:val="22"/>
        </w:rPr>
        <w:t xml:space="preserve"> the new underwriting method will be recognized in future reporting periods in proportion to its credibility within the larger</w:t>
      </w:r>
      <w:r w:rsidR="000500CE">
        <w:rPr>
          <w:rFonts w:ascii="Times New Roman" w:eastAsia="Times New Roman" w:hAnsi="Times New Roman" w:cs="Times New Roman"/>
          <w:color w:val="auto"/>
          <w:sz w:val="24"/>
          <w:szCs w:val="22"/>
        </w:rPr>
        <w:t xml:space="preserve"> group of policies in the mortality segment</w:t>
      </w:r>
      <w:r w:rsidRPr="007E52DA">
        <w:rPr>
          <w:rFonts w:ascii="Times New Roman" w:eastAsia="Times New Roman" w:hAnsi="Times New Roman" w:cs="Times New Roman"/>
          <w:color w:val="auto"/>
          <w:sz w:val="24"/>
          <w:szCs w:val="22"/>
        </w:rPr>
        <w:t>.</w:t>
      </w:r>
    </w:p>
    <w:p w14:paraId="5C1370CC" w14:textId="77777777" w:rsidR="006C300A" w:rsidRDefault="006C300A" w:rsidP="006C300A">
      <w:pPr>
        <w:pStyle w:val="Default"/>
        <w:rPr>
          <w:rFonts w:asciiTheme="majorHAnsi" w:eastAsiaTheme="majorEastAsia" w:hAnsiTheme="majorHAnsi" w:cstheme="majorBidi"/>
          <w:b/>
          <w:color w:val="365F91" w:themeColor="accent1" w:themeShade="BF"/>
          <w:sz w:val="28"/>
          <w:szCs w:val="32"/>
          <w:u w:val="single"/>
        </w:rPr>
      </w:pPr>
    </w:p>
    <w:p w14:paraId="3AADA8E5" w14:textId="7351A6C3" w:rsidR="007C3A26" w:rsidRPr="00945489" w:rsidRDefault="007C3A26" w:rsidP="006C300A">
      <w:pPr>
        <w:pStyle w:val="Default"/>
        <w:rPr>
          <w:rFonts w:asciiTheme="majorHAnsi" w:eastAsiaTheme="majorEastAsia" w:hAnsiTheme="majorHAnsi" w:cstheme="majorBidi"/>
          <w:b/>
          <w:color w:val="365F91" w:themeColor="accent1" w:themeShade="BF"/>
          <w:sz w:val="28"/>
          <w:szCs w:val="32"/>
          <w:u w:val="single"/>
        </w:rPr>
      </w:pPr>
      <w:r w:rsidRPr="00945489">
        <w:rPr>
          <w:rFonts w:asciiTheme="majorHAnsi" w:eastAsiaTheme="majorEastAsia" w:hAnsiTheme="majorHAnsi" w:cstheme="majorBidi"/>
          <w:b/>
          <w:color w:val="365F91" w:themeColor="accent1" w:themeShade="BF"/>
          <w:sz w:val="28"/>
          <w:szCs w:val="32"/>
          <w:u w:val="single"/>
        </w:rPr>
        <w:t>Rationale and Support Related to Accelerated Underwriting</w:t>
      </w:r>
    </w:p>
    <w:p w14:paraId="1C4C7C10" w14:textId="77777777" w:rsidR="007C3A26" w:rsidRDefault="007C3A26" w:rsidP="006C300A">
      <w:pPr>
        <w:pStyle w:val="Heading2"/>
        <w:spacing w:before="0" w:line="240" w:lineRule="auto"/>
      </w:pPr>
    </w:p>
    <w:p w14:paraId="5A0A1050" w14:textId="33353C06" w:rsidR="006333F2" w:rsidRPr="00604047" w:rsidRDefault="006333F2" w:rsidP="006C300A">
      <w:pPr>
        <w:pStyle w:val="Heading2"/>
        <w:spacing w:before="0" w:line="240" w:lineRule="auto"/>
      </w:pPr>
      <w:r w:rsidRPr="00604047">
        <w:t>References</w:t>
      </w:r>
    </w:p>
    <w:p w14:paraId="4F20ACF8" w14:textId="41C2B230" w:rsidR="005A723A" w:rsidRDefault="00A026E3" w:rsidP="006C300A">
      <w:pPr>
        <w:spacing w:after="0" w:line="240" w:lineRule="auto"/>
        <w:rPr>
          <w:rFonts w:asciiTheme="majorHAnsi" w:hAnsiTheme="majorHAnsi"/>
          <w:i/>
        </w:rPr>
      </w:pPr>
      <w:r>
        <w:rPr>
          <w:rFonts w:asciiTheme="majorHAnsi" w:hAnsiTheme="majorHAnsi"/>
          <w:i/>
        </w:rPr>
        <w:t>VM-20:</w:t>
      </w:r>
      <w:r w:rsidRPr="00A026E3">
        <w:rPr>
          <w:rFonts w:asciiTheme="majorHAnsi" w:hAnsiTheme="majorHAnsi"/>
          <w:i/>
        </w:rPr>
        <w:t xml:space="preserve"> </w:t>
      </w:r>
      <w:r>
        <w:rPr>
          <w:rFonts w:asciiTheme="majorHAnsi" w:hAnsiTheme="majorHAnsi"/>
          <w:i/>
        </w:rPr>
        <w:t>Requirements for Principle-Based Reserves for Life Products</w:t>
      </w:r>
      <w:r w:rsidR="007C3A26">
        <w:rPr>
          <w:rFonts w:asciiTheme="majorHAnsi" w:hAnsiTheme="majorHAnsi"/>
          <w:i/>
        </w:rPr>
        <w:t>, Section 9.C</w:t>
      </w:r>
    </w:p>
    <w:p w14:paraId="00022653" w14:textId="77777777" w:rsidR="006C300A" w:rsidRDefault="006C300A" w:rsidP="006C300A">
      <w:pPr>
        <w:spacing w:after="0" w:line="240" w:lineRule="auto"/>
        <w:rPr>
          <w:rFonts w:asciiTheme="majorHAnsi" w:hAnsiTheme="majorHAnsi"/>
          <w:i/>
        </w:rPr>
      </w:pPr>
    </w:p>
    <w:p w14:paraId="7F50A463" w14:textId="43643D85" w:rsidR="005A723A" w:rsidRPr="007E33FD" w:rsidRDefault="007C3A26" w:rsidP="006C300A">
      <w:pPr>
        <w:spacing w:after="0" w:line="240" w:lineRule="auto"/>
        <w:rPr>
          <w:rFonts w:asciiTheme="majorHAnsi" w:hAnsiTheme="majorHAnsi"/>
          <w:i/>
        </w:rPr>
      </w:pPr>
      <w:r>
        <w:rPr>
          <w:rFonts w:asciiTheme="majorHAnsi" w:hAnsiTheme="majorHAnsi"/>
          <w:i/>
        </w:rPr>
        <w:t xml:space="preserve">VM-31: PBR Actuarial Report Requirements for Business Subject to a Principle-Based Reserve Valuation, Section </w:t>
      </w:r>
      <w:r w:rsidR="009F5FBA">
        <w:rPr>
          <w:rFonts w:asciiTheme="majorHAnsi" w:hAnsiTheme="majorHAnsi"/>
          <w:i/>
        </w:rPr>
        <w:t>3.</w:t>
      </w:r>
      <w:r>
        <w:rPr>
          <w:rFonts w:asciiTheme="majorHAnsi" w:hAnsiTheme="majorHAnsi"/>
          <w:i/>
        </w:rPr>
        <w:t>D.3.</w:t>
      </w:r>
    </w:p>
    <w:p w14:paraId="6D84DE12" w14:textId="77777777" w:rsidR="006C300A" w:rsidRDefault="006C300A" w:rsidP="006C300A">
      <w:pPr>
        <w:pStyle w:val="Heading2"/>
        <w:spacing w:before="0" w:line="240" w:lineRule="auto"/>
      </w:pPr>
    </w:p>
    <w:p w14:paraId="7E8035E4" w14:textId="77777777" w:rsidR="007C3A26" w:rsidRDefault="007C3A26" w:rsidP="006C300A">
      <w:pPr>
        <w:pStyle w:val="Heading2"/>
        <w:spacing w:before="0" w:line="240" w:lineRule="auto"/>
      </w:pPr>
      <w:r>
        <w:t xml:space="preserve">Question  </w:t>
      </w:r>
    </w:p>
    <w:p w14:paraId="17A07972" w14:textId="637E994C" w:rsidR="007C3A26" w:rsidRDefault="007C3A26" w:rsidP="006C300A">
      <w:pPr>
        <w:spacing w:after="0" w:line="240"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What rationale and support are needed for a company to adjust experience data for emerging accelerated underwriting techniques</w:t>
      </w:r>
      <w:r w:rsidR="00CC31F6">
        <w:rPr>
          <w:rFonts w:ascii="Times New Roman" w:eastAsia="Times New Roman" w:hAnsi="Times New Roman" w:cs="Times New Roman"/>
          <w:sz w:val="24"/>
        </w:rPr>
        <w:t xml:space="preserve"> when setting prudent estimate mortality assumptions</w:t>
      </w:r>
      <w:r>
        <w:rPr>
          <w:rFonts w:ascii="Times New Roman" w:eastAsia="Times New Roman" w:hAnsi="Times New Roman" w:cs="Times New Roman"/>
          <w:sz w:val="24"/>
        </w:rPr>
        <w:t>?</w:t>
      </w:r>
    </w:p>
    <w:p w14:paraId="6BF0EE3B" w14:textId="7905E05F" w:rsidR="006333F2" w:rsidRPr="00604047" w:rsidRDefault="006C300A" w:rsidP="006C300A">
      <w:pPr>
        <w:pStyle w:val="Heading2"/>
        <w:spacing w:before="0" w:line="240" w:lineRule="auto"/>
      </w:pPr>
      <w:r>
        <w:lastRenderedPageBreak/>
        <w:t>Co</w:t>
      </w:r>
      <w:r w:rsidR="00EA270C">
        <w:t>mmentary</w:t>
      </w:r>
    </w:p>
    <w:p w14:paraId="2B00555C" w14:textId="7A3C6CA8" w:rsidR="00BE68E4" w:rsidRDefault="00F80CC9" w:rsidP="006C300A">
      <w:pPr>
        <w:spacing w:after="0" w:line="240"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Consider a new</w:t>
      </w:r>
      <w:r w:rsidR="00BE68E4">
        <w:rPr>
          <w:rFonts w:ascii="Times New Roman" w:eastAsia="Times New Roman" w:hAnsi="Times New Roman" w:cs="Times New Roman"/>
          <w:sz w:val="24"/>
        </w:rPr>
        <w:t xml:space="preserve"> accelerated underwriting program </w:t>
      </w:r>
      <w:r>
        <w:rPr>
          <w:rFonts w:ascii="Times New Roman" w:eastAsia="Times New Roman" w:hAnsi="Times New Roman" w:cs="Times New Roman"/>
          <w:sz w:val="24"/>
        </w:rPr>
        <w:t>that</w:t>
      </w:r>
      <w:r w:rsidR="00BE68E4">
        <w:rPr>
          <w:rFonts w:ascii="Times New Roman" w:eastAsia="Times New Roman" w:hAnsi="Times New Roman" w:cs="Times New Roman"/>
          <w:sz w:val="24"/>
        </w:rPr>
        <w:t xml:space="preserve"> has not built a critical mass of inforce policies. </w:t>
      </w:r>
      <w:r>
        <w:rPr>
          <w:rFonts w:ascii="Times New Roman" w:eastAsia="Times New Roman" w:hAnsi="Times New Roman" w:cs="Times New Roman"/>
          <w:sz w:val="24"/>
        </w:rPr>
        <w:t>T</w:t>
      </w:r>
      <w:r w:rsidR="00BE68E4">
        <w:rPr>
          <w:rFonts w:ascii="Times New Roman" w:eastAsia="Times New Roman" w:hAnsi="Times New Roman" w:cs="Times New Roman"/>
          <w:sz w:val="24"/>
        </w:rPr>
        <w:t xml:space="preserve">here </w:t>
      </w:r>
      <w:r>
        <w:rPr>
          <w:rFonts w:ascii="Times New Roman" w:eastAsia="Times New Roman" w:hAnsi="Times New Roman" w:cs="Times New Roman"/>
          <w:sz w:val="24"/>
        </w:rPr>
        <w:t xml:space="preserve">may be </w:t>
      </w:r>
      <w:r w:rsidR="00BE68E4">
        <w:rPr>
          <w:rFonts w:ascii="Times New Roman" w:eastAsia="Times New Roman" w:hAnsi="Times New Roman" w:cs="Times New Roman"/>
          <w:sz w:val="24"/>
        </w:rPr>
        <w:t>no actual company experience for the book of business within the accelerated underwriting segment, as referred to by VM-20 Section 9.C.2.b.i.</w:t>
      </w:r>
    </w:p>
    <w:p w14:paraId="525EEE04" w14:textId="77777777" w:rsidR="00BE68E4" w:rsidRDefault="00BE68E4" w:rsidP="006C300A">
      <w:pPr>
        <w:spacing w:after="0" w:line="240" w:lineRule="auto"/>
        <w:ind w:left="-5" w:hanging="10"/>
        <w:rPr>
          <w:rFonts w:ascii="Times New Roman" w:eastAsia="Times New Roman" w:hAnsi="Times New Roman" w:cs="Times New Roman"/>
          <w:sz w:val="24"/>
        </w:rPr>
      </w:pPr>
    </w:p>
    <w:p w14:paraId="63F01C47" w14:textId="3A524BA2" w:rsidR="007E33FD" w:rsidRDefault="00F80CC9" w:rsidP="006C300A">
      <w:pPr>
        <w:spacing w:after="0" w:line="240"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However, </w:t>
      </w:r>
      <w:r w:rsidR="007E33FD">
        <w:rPr>
          <w:rFonts w:ascii="Times New Roman" w:eastAsia="Times New Roman" w:hAnsi="Times New Roman" w:cs="Times New Roman"/>
          <w:sz w:val="24"/>
        </w:rPr>
        <w:t>VM-20 Section</w:t>
      </w:r>
      <w:r>
        <w:rPr>
          <w:rFonts w:ascii="Times New Roman" w:eastAsia="Times New Roman" w:hAnsi="Times New Roman" w:cs="Times New Roman"/>
          <w:sz w:val="24"/>
        </w:rPr>
        <w:t>s</w:t>
      </w:r>
      <w:r w:rsidR="007E33FD">
        <w:rPr>
          <w:rFonts w:ascii="Times New Roman" w:eastAsia="Times New Roman" w:hAnsi="Times New Roman" w:cs="Times New Roman"/>
          <w:sz w:val="24"/>
        </w:rPr>
        <w:t xml:space="preserve"> 9.C.2.b.ii</w:t>
      </w:r>
      <w:r>
        <w:rPr>
          <w:rFonts w:ascii="Times New Roman" w:eastAsia="Times New Roman" w:hAnsi="Times New Roman" w:cs="Times New Roman"/>
          <w:sz w:val="24"/>
        </w:rPr>
        <w:t xml:space="preserve"> and iii</w:t>
      </w:r>
      <w:r w:rsidR="007E33FD">
        <w:rPr>
          <w:rFonts w:ascii="Times New Roman" w:eastAsia="Times New Roman" w:hAnsi="Times New Roman" w:cs="Times New Roman"/>
          <w:sz w:val="24"/>
        </w:rPr>
        <w:t xml:space="preserve"> permit the use of e</w:t>
      </w:r>
      <w:r w:rsidR="007E33FD" w:rsidRPr="007E33FD">
        <w:rPr>
          <w:rFonts w:ascii="Times New Roman" w:eastAsia="Times New Roman" w:hAnsi="Times New Roman" w:cs="Times New Roman"/>
          <w:sz w:val="24"/>
        </w:rPr>
        <w:t>xperience from other books of business within the company with similar underwriting</w:t>
      </w:r>
      <w:r w:rsidR="00EF0D74">
        <w:rPr>
          <w:rFonts w:ascii="Times New Roman" w:eastAsia="Times New Roman" w:hAnsi="Times New Roman" w:cs="Times New Roman"/>
          <w:sz w:val="24"/>
        </w:rPr>
        <w:t xml:space="preserve"> </w:t>
      </w:r>
      <w:r w:rsidR="00BD0148">
        <w:rPr>
          <w:rFonts w:ascii="Times New Roman" w:eastAsia="Times New Roman" w:hAnsi="Times New Roman" w:cs="Times New Roman"/>
          <w:sz w:val="24"/>
        </w:rPr>
        <w:t>as well as</w:t>
      </w:r>
      <w:r w:rsidR="00EF0D74">
        <w:rPr>
          <w:rFonts w:ascii="Times New Roman" w:eastAsia="Times New Roman" w:hAnsi="Times New Roman" w:cs="Times New Roman"/>
          <w:sz w:val="24"/>
        </w:rPr>
        <w:t xml:space="preserve"> experience data from other appropriate sources</w:t>
      </w:r>
      <w:r w:rsidR="007E33FD" w:rsidRPr="007E33FD">
        <w:rPr>
          <w:rFonts w:ascii="Times New Roman" w:eastAsia="Times New Roman" w:hAnsi="Times New Roman" w:cs="Times New Roman"/>
          <w:sz w:val="24"/>
        </w:rPr>
        <w:t xml:space="preserve">. </w:t>
      </w:r>
      <w:r w:rsidR="00A336FF">
        <w:rPr>
          <w:rFonts w:ascii="Times New Roman" w:eastAsia="Times New Roman" w:hAnsi="Times New Roman" w:cs="Times New Roman"/>
          <w:sz w:val="24"/>
        </w:rPr>
        <w:t xml:space="preserve">As </w:t>
      </w:r>
      <w:r w:rsidR="00BE68E4">
        <w:rPr>
          <w:rFonts w:ascii="Times New Roman" w:eastAsia="Times New Roman" w:hAnsi="Times New Roman" w:cs="Times New Roman"/>
          <w:sz w:val="24"/>
        </w:rPr>
        <w:t>example</w:t>
      </w:r>
      <w:r w:rsidR="00A336FF">
        <w:rPr>
          <w:rFonts w:ascii="Times New Roman" w:eastAsia="Times New Roman" w:hAnsi="Times New Roman" w:cs="Times New Roman"/>
          <w:sz w:val="24"/>
        </w:rPr>
        <w:t>s</w:t>
      </w:r>
      <w:r w:rsidR="00BE68E4">
        <w:rPr>
          <w:rFonts w:ascii="Times New Roman" w:eastAsia="Times New Roman" w:hAnsi="Times New Roman" w:cs="Times New Roman"/>
          <w:sz w:val="24"/>
        </w:rPr>
        <w:t>, t</w:t>
      </w:r>
      <w:r w:rsidR="007E33FD">
        <w:rPr>
          <w:rFonts w:ascii="Times New Roman" w:eastAsia="Times New Roman" w:hAnsi="Times New Roman" w:cs="Times New Roman"/>
          <w:sz w:val="24"/>
        </w:rPr>
        <w:t>he other book of business may be the company’s inforce block of traditionally underwritten policies that were issued without medical tests</w:t>
      </w:r>
      <w:r w:rsidR="00C1795C">
        <w:rPr>
          <w:rFonts w:ascii="Times New Roman" w:eastAsia="Times New Roman" w:hAnsi="Times New Roman" w:cs="Times New Roman"/>
          <w:sz w:val="24"/>
        </w:rPr>
        <w:t>,</w:t>
      </w:r>
      <w:r w:rsidR="00A336FF">
        <w:rPr>
          <w:rFonts w:ascii="Times New Roman" w:eastAsia="Times New Roman" w:hAnsi="Times New Roman" w:cs="Times New Roman"/>
          <w:sz w:val="24"/>
        </w:rPr>
        <w:t xml:space="preserve"> or </w:t>
      </w:r>
      <w:r w:rsidR="005D7A8E">
        <w:rPr>
          <w:rFonts w:ascii="Times New Roman" w:eastAsia="Times New Roman" w:hAnsi="Times New Roman" w:cs="Times New Roman"/>
          <w:sz w:val="24"/>
        </w:rPr>
        <w:t>traditionally underwritten policies with similar underwriting and expected mortality experience characteristics</w:t>
      </w:r>
      <w:r w:rsidR="007E33FD">
        <w:rPr>
          <w:rFonts w:ascii="Times New Roman" w:eastAsia="Times New Roman" w:hAnsi="Times New Roman" w:cs="Times New Roman"/>
          <w:sz w:val="24"/>
        </w:rPr>
        <w:t xml:space="preserve">. </w:t>
      </w:r>
      <w:r w:rsidR="00BD0148">
        <w:rPr>
          <w:rFonts w:ascii="Times New Roman" w:eastAsia="Times New Roman" w:hAnsi="Times New Roman" w:cs="Times New Roman"/>
          <w:sz w:val="24"/>
        </w:rPr>
        <w:t xml:space="preserve">These </w:t>
      </w:r>
      <w:r w:rsidR="00BE68E4">
        <w:rPr>
          <w:rFonts w:ascii="Times New Roman" w:eastAsia="Times New Roman" w:hAnsi="Times New Roman" w:cs="Times New Roman"/>
          <w:sz w:val="24"/>
        </w:rPr>
        <w:t xml:space="preserve">would be the </w:t>
      </w:r>
      <w:r w:rsidR="00E307F3">
        <w:rPr>
          <w:rFonts w:ascii="Times New Roman" w:eastAsia="Times New Roman" w:hAnsi="Times New Roman" w:cs="Times New Roman"/>
          <w:sz w:val="24"/>
        </w:rPr>
        <w:t xml:space="preserve">alternative </w:t>
      </w:r>
      <w:r w:rsidR="00BE68E4">
        <w:rPr>
          <w:rFonts w:ascii="Times New Roman" w:eastAsia="Times New Roman" w:hAnsi="Times New Roman" w:cs="Times New Roman"/>
          <w:sz w:val="24"/>
        </w:rPr>
        <w:t>data source</w:t>
      </w:r>
      <w:r w:rsidR="00BD0148">
        <w:rPr>
          <w:rFonts w:ascii="Times New Roman" w:eastAsia="Times New Roman" w:hAnsi="Times New Roman" w:cs="Times New Roman"/>
          <w:sz w:val="24"/>
        </w:rPr>
        <w:t>s</w:t>
      </w:r>
      <w:r w:rsidR="00BE68E4">
        <w:rPr>
          <w:rFonts w:ascii="Times New Roman" w:eastAsia="Times New Roman" w:hAnsi="Times New Roman" w:cs="Times New Roman"/>
          <w:sz w:val="24"/>
        </w:rPr>
        <w:t xml:space="preserve"> the company </w:t>
      </w:r>
      <w:r w:rsidR="00BD0148">
        <w:rPr>
          <w:rFonts w:ascii="Times New Roman" w:eastAsia="Times New Roman" w:hAnsi="Times New Roman" w:cs="Times New Roman"/>
          <w:sz w:val="24"/>
        </w:rPr>
        <w:t xml:space="preserve">could </w:t>
      </w:r>
      <w:r w:rsidR="00BE68E4">
        <w:rPr>
          <w:rFonts w:ascii="Times New Roman" w:eastAsia="Times New Roman" w:hAnsi="Times New Roman" w:cs="Times New Roman"/>
          <w:sz w:val="24"/>
        </w:rPr>
        <w:t xml:space="preserve">use to develop company experience assumption for the accelerated underwriting mortality segment. </w:t>
      </w:r>
      <w:r w:rsidR="00C1795C">
        <w:rPr>
          <w:rFonts w:ascii="Times New Roman" w:eastAsia="Times New Roman" w:hAnsi="Times New Roman" w:cs="Times New Roman"/>
          <w:sz w:val="24"/>
        </w:rPr>
        <w:t>In this example, t</w:t>
      </w:r>
      <w:r w:rsidR="007E33FD">
        <w:rPr>
          <w:rFonts w:ascii="Times New Roman" w:eastAsia="Times New Roman" w:hAnsi="Times New Roman" w:cs="Times New Roman"/>
          <w:sz w:val="24"/>
        </w:rPr>
        <w:t>he company considers the traditionally underwritten book of business to be a mortality segment separate from the accelerated underwritten book of business</w:t>
      </w:r>
      <w:r w:rsidR="00BE68E4">
        <w:rPr>
          <w:rFonts w:ascii="Times New Roman" w:eastAsia="Times New Roman" w:hAnsi="Times New Roman" w:cs="Times New Roman"/>
          <w:sz w:val="24"/>
        </w:rPr>
        <w:t xml:space="preserve">. </w:t>
      </w:r>
    </w:p>
    <w:p w14:paraId="12F1350C" w14:textId="77777777" w:rsidR="007E33FD" w:rsidRDefault="007E33FD" w:rsidP="006C300A">
      <w:pPr>
        <w:spacing w:after="0" w:line="240" w:lineRule="auto"/>
        <w:ind w:left="-5" w:hanging="10"/>
        <w:rPr>
          <w:rFonts w:ascii="Times New Roman" w:eastAsia="Times New Roman" w:hAnsi="Times New Roman" w:cs="Times New Roman"/>
          <w:sz w:val="24"/>
        </w:rPr>
      </w:pPr>
    </w:p>
    <w:p w14:paraId="215D882B" w14:textId="78C5FB0C" w:rsidR="007E33FD" w:rsidRDefault="007E33FD" w:rsidP="006C300A">
      <w:pPr>
        <w:spacing w:after="0" w:line="240" w:lineRule="auto"/>
        <w:ind w:left="-5" w:hanging="10"/>
      </w:pPr>
      <w:r>
        <w:rPr>
          <w:rFonts w:ascii="Times New Roman" w:eastAsia="Times New Roman" w:hAnsi="Times New Roman" w:cs="Times New Roman"/>
          <w:sz w:val="24"/>
        </w:rPr>
        <w:t xml:space="preserve">The details around the specific requirements for documenting the supporting rationale for the company’s mortality assumption </w:t>
      </w:r>
      <w:r w:rsidR="00E307F3">
        <w:rPr>
          <w:rFonts w:ascii="Times New Roman" w:eastAsia="Times New Roman" w:hAnsi="Times New Roman" w:cs="Times New Roman"/>
          <w:sz w:val="24"/>
        </w:rPr>
        <w:t xml:space="preserve">when an alternative data source is used </w:t>
      </w:r>
      <w:r>
        <w:rPr>
          <w:rFonts w:ascii="Times New Roman" w:eastAsia="Times New Roman" w:hAnsi="Times New Roman" w:cs="Times New Roman"/>
          <w:sz w:val="24"/>
        </w:rPr>
        <w:t xml:space="preserve">can be found in VM-31 Section </w:t>
      </w:r>
      <w:r w:rsidR="0079063C">
        <w:rPr>
          <w:rFonts w:ascii="Times New Roman" w:eastAsia="Times New Roman" w:hAnsi="Times New Roman" w:cs="Times New Roman"/>
          <w:sz w:val="24"/>
        </w:rPr>
        <w:t>3.</w:t>
      </w:r>
      <w:r>
        <w:rPr>
          <w:rFonts w:ascii="Times New Roman" w:eastAsia="Times New Roman" w:hAnsi="Times New Roman" w:cs="Times New Roman"/>
          <w:sz w:val="24"/>
        </w:rPr>
        <w:t xml:space="preserve">D.3.d. </w:t>
      </w:r>
    </w:p>
    <w:p w14:paraId="1C3D8F33" w14:textId="77777777" w:rsidR="007E33FD" w:rsidRDefault="007E33FD" w:rsidP="006C300A">
      <w:pPr>
        <w:spacing w:after="0" w:line="240" w:lineRule="auto"/>
      </w:pPr>
      <w:r>
        <w:rPr>
          <w:rFonts w:ascii="Times New Roman" w:eastAsia="Times New Roman" w:hAnsi="Times New Roman" w:cs="Times New Roman"/>
          <w:sz w:val="24"/>
        </w:rPr>
        <w:t xml:space="preserve"> </w:t>
      </w:r>
    </w:p>
    <w:p w14:paraId="45AE5F71" w14:textId="5AF1218E" w:rsidR="007E33FD" w:rsidRDefault="007E33FD" w:rsidP="006C300A">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rPr>
        <w:t xml:space="preserve">VM-31 </w:t>
      </w:r>
      <w:r w:rsidR="00BE68E4">
        <w:rPr>
          <w:rFonts w:ascii="Times New Roman" w:eastAsia="Times New Roman" w:hAnsi="Times New Roman" w:cs="Times New Roman"/>
          <w:sz w:val="24"/>
        </w:rPr>
        <w:t xml:space="preserve">Section </w:t>
      </w:r>
      <w:r w:rsidR="0079063C">
        <w:rPr>
          <w:rFonts w:ascii="Times New Roman" w:eastAsia="Times New Roman" w:hAnsi="Times New Roman" w:cs="Times New Roman"/>
          <w:sz w:val="24"/>
        </w:rPr>
        <w:t>3.</w:t>
      </w:r>
      <w:r w:rsidR="00BE68E4">
        <w:rPr>
          <w:rFonts w:ascii="Times New Roman" w:eastAsia="Times New Roman" w:hAnsi="Times New Roman" w:cs="Times New Roman"/>
          <w:sz w:val="24"/>
        </w:rPr>
        <w:t xml:space="preserve">D.3.d </w:t>
      </w:r>
      <w:r>
        <w:rPr>
          <w:rFonts w:ascii="Times New Roman" w:eastAsia="Times New Roman" w:hAnsi="Times New Roman" w:cs="Times New Roman"/>
          <w:sz w:val="24"/>
        </w:rPr>
        <w:t xml:space="preserve">addresses documentation requirements when a company uses a </w:t>
      </w:r>
      <w:r w:rsidRPr="00E00D19">
        <w:rPr>
          <w:rFonts w:ascii="Times New Roman" w:eastAsia="Times New Roman" w:hAnsi="Times New Roman" w:cs="Times New Roman"/>
          <w:sz w:val="24"/>
        </w:rPr>
        <w:t>data source</w:t>
      </w:r>
      <w:r>
        <w:rPr>
          <w:rFonts w:ascii="Times New Roman" w:eastAsia="Times New Roman" w:hAnsi="Times New Roman" w:cs="Times New Roman"/>
          <w:sz w:val="24"/>
        </w:rPr>
        <w:t xml:space="preserve"> as the basis for the </w:t>
      </w:r>
      <w:r w:rsidRPr="000621A8">
        <w:rPr>
          <w:rFonts w:ascii="Times New Roman" w:eastAsia="Times New Roman" w:hAnsi="Times New Roman" w:cs="Times New Roman"/>
          <w:sz w:val="24"/>
          <w:szCs w:val="24"/>
        </w:rPr>
        <w:t xml:space="preserve">company’s experience mortality for the </w:t>
      </w:r>
      <w:r w:rsidR="00BE68E4">
        <w:rPr>
          <w:rFonts w:ascii="Times New Roman" w:eastAsia="Times New Roman" w:hAnsi="Times New Roman" w:cs="Times New Roman"/>
          <w:sz w:val="24"/>
          <w:szCs w:val="24"/>
        </w:rPr>
        <w:t>accelerated</w:t>
      </w:r>
      <w:r w:rsidRPr="000621A8">
        <w:rPr>
          <w:rFonts w:ascii="Times New Roman" w:eastAsia="Times New Roman" w:hAnsi="Times New Roman" w:cs="Times New Roman"/>
          <w:sz w:val="24"/>
          <w:szCs w:val="24"/>
        </w:rPr>
        <w:t xml:space="preserve"> underwriting </w:t>
      </w:r>
      <w:r w:rsidR="00BE68E4">
        <w:rPr>
          <w:rFonts w:ascii="Times New Roman" w:eastAsia="Times New Roman" w:hAnsi="Times New Roman" w:cs="Times New Roman"/>
          <w:sz w:val="24"/>
          <w:szCs w:val="24"/>
        </w:rPr>
        <w:t>mortality segment</w:t>
      </w:r>
      <w:r w:rsidR="00EA270C">
        <w:rPr>
          <w:rFonts w:ascii="Times New Roman" w:eastAsia="Times New Roman" w:hAnsi="Times New Roman" w:cs="Times New Roman"/>
          <w:sz w:val="24"/>
          <w:szCs w:val="24"/>
        </w:rPr>
        <w:t xml:space="preserve"> and is summarized below</w:t>
      </w:r>
      <w:r w:rsidRPr="000621A8">
        <w:rPr>
          <w:rFonts w:ascii="Times New Roman" w:eastAsia="Times New Roman" w:hAnsi="Times New Roman" w:cs="Times New Roman"/>
          <w:sz w:val="24"/>
          <w:szCs w:val="24"/>
        </w:rPr>
        <w:t>.</w:t>
      </w:r>
    </w:p>
    <w:p w14:paraId="4D904AC4" w14:textId="77777777" w:rsidR="007E33FD" w:rsidRPr="000621A8" w:rsidRDefault="007E33FD" w:rsidP="006C300A">
      <w:pPr>
        <w:spacing w:after="0" w:line="240" w:lineRule="auto"/>
        <w:ind w:left="10"/>
        <w:rPr>
          <w:rFonts w:ascii="Times New Roman" w:eastAsia="Times New Roman" w:hAnsi="Times New Roman" w:cs="Times New Roman"/>
          <w:sz w:val="24"/>
          <w:szCs w:val="24"/>
        </w:rPr>
      </w:pPr>
    </w:p>
    <w:p w14:paraId="339128E8" w14:textId="688E59F3" w:rsidR="007E33FD" w:rsidRPr="00D811DB" w:rsidRDefault="00BE68E4" w:rsidP="006C300A">
      <w:pPr>
        <w:pStyle w:val="ListParagraph"/>
        <w:numPr>
          <w:ilvl w:val="0"/>
          <w:numId w:val="3"/>
        </w:numPr>
        <w:spacing w:after="0" w:line="240" w:lineRule="auto"/>
        <w:ind w:left="720"/>
        <w:rPr>
          <w:rFonts w:ascii="Times New Roman" w:hAnsi="Times New Roman" w:cs="Times New Roman"/>
          <w:sz w:val="24"/>
          <w:szCs w:val="24"/>
        </w:rPr>
      </w:pPr>
      <w:r w:rsidRPr="00D811DB">
        <w:rPr>
          <w:rFonts w:ascii="Times New Roman" w:hAnsi="Times New Roman" w:cs="Times New Roman"/>
          <w:sz w:val="24"/>
          <w:szCs w:val="24"/>
        </w:rPr>
        <w:t>The company must d</w:t>
      </w:r>
      <w:r w:rsidR="007E33FD" w:rsidRPr="00D811DB">
        <w:rPr>
          <w:rFonts w:ascii="Times New Roman" w:hAnsi="Times New Roman" w:cs="Times New Roman"/>
          <w:sz w:val="24"/>
          <w:szCs w:val="24"/>
        </w:rPr>
        <w:t xml:space="preserve">escribe the data source and why </w:t>
      </w:r>
      <w:r w:rsidRPr="00D811DB">
        <w:rPr>
          <w:rFonts w:ascii="Times New Roman" w:hAnsi="Times New Roman" w:cs="Times New Roman"/>
          <w:sz w:val="24"/>
          <w:szCs w:val="24"/>
        </w:rPr>
        <w:t>this data source is deemed</w:t>
      </w:r>
      <w:r w:rsidR="007E33FD" w:rsidRPr="00D811DB">
        <w:rPr>
          <w:rFonts w:ascii="Times New Roman" w:hAnsi="Times New Roman" w:cs="Times New Roman"/>
          <w:sz w:val="24"/>
          <w:szCs w:val="24"/>
        </w:rPr>
        <w:t xml:space="preserve"> relevant and appropriate. </w:t>
      </w:r>
      <w:r w:rsidRPr="00D811DB">
        <w:rPr>
          <w:rFonts w:ascii="Times New Roman" w:hAnsi="Times New Roman" w:cs="Times New Roman"/>
          <w:sz w:val="24"/>
          <w:szCs w:val="24"/>
        </w:rPr>
        <w:t>A</w:t>
      </w:r>
      <w:r w:rsidR="007E33FD" w:rsidRPr="00D811DB">
        <w:rPr>
          <w:rFonts w:ascii="Times New Roman" w:hAnsi="Times New Roman" w:cs="Times New Roman"/>
          <w:sz w:val="24"/>
          <w:szCs w:val="24"/>
        </w:rPr>
        <w:t xml:space="preserve"> description of </w:t>
      </w:r>
      <w:r w:rsidRPr="00D811DB">
        <w:rPr>
          <w:rFonts w:ascii="Times New Roman" w:hAnsi="Times New Roman" w:cs="Times New Roman"/>
          <w:sz w:val="24"/>
          <w:szCs w:val="24"/>
        </w:rPr>
        <w:t>the development of</w:t>
      </w:r>
      <w:r w:rsidR="007E33FD" w:rsidRPr="00D811DB">
        <w:rPr>
          <w:rFonts w:ascii="Times New Roman" w:hAnsi="Times New Roman" w:cs="Times New Roman"/>
          <w:sz w:val="24"/>
          <w:szCs w:val="24"/>
        </w:rPr>
        <w:t xml:space="preserve"> the mortality rates for the data source </w:t>
      </w:r>
      <w:r w:rsidRPr="00D811DB">
        <w:rPr>
          <w:rFonts w:ascii="Times New Roman" w:hAnsi="Times New Roman" w:cs="Times New Roman"/>
          <w:sz w:val="24"/>
          <w:szCs w:val="24"/>
        </w:rPr>
        <w:t>must be included</w:t>
      </w:r>
      <w:r w:rsidR="007E33FD" w:rsidRPr="00D811DB">
        <w:rPr>
          <w:rFonts w:ascii="Times New Roman" w:hAnsi="Times New Roman" w:cs="Times New Roman"/>
          <w:sz w:val="24"/>
          <w:szCs w:val="24"/>
        </w:rPr>
        <w:t>.</w:t>
      </w:r>
    </w:p>
    <w:p w14:paraId="18962073" w14:textId="77777777" w:rsidR="00BE68E4" w:rsidRPr="00D811DB" w:rsidRDefault="00BE68E4" w:rsidP="006C300A">
      <w:pPr>
        <w:pStyle w:val="ListParagraph"/>
        <w:spacing w:after="0" w:line="240" w:lineRule="auto"/>
        <w:ind w:hanging="360"/>
        <w:rPr>
          <w:rFonts w:ascii="Times New Roman" w:hAnsi="Times New Roman" w:cs="Times New Roman"/>
          <w:sz w:val="24"/>
          <w:szCs w:val="24"/>
        </w:rPr>
      </w:pPr>
    </w:p>
    <w:p w14:paraId="62DB0EBE" w14:textId="6E65D164" w:rsidR="007E33FD" w:rsidRPr="00D811DB" w:rsidRDefault="00BE68E4" w:rsidP="006C300A">
      <w:pPr>
        <w:pStyle w:val="ListParagraph"/>
        <w:numPr>
          <w:ilvl w:val="0"/>
          <w:numId w:val="3"/>
        </w:numPr>
        <w:spacing w:after="0" w:line="240" w:lineRule="auto"/>
        <w:ind w:left="720"/>
        <w:rPr>
          <w:rFonts w:ascii="Times New Roman" w:hAnsi="Times New Roman" w:cs="Times New Roman"/>
          <w:sz w:val="24"/>
          <w:szCs w:val="24"/>
        </w:rPr>
      </w:pPr>
      <w:r w:rsidRPr="00D811DB">
        <w:rPr>
          <w:rFonts w:ascii="Times New Roman" w:hAnsi="Times New Roman" w:cs="Times New Roman"/>
          <w:sz w:val="24"/>
          <w:szCs w:val="24"/>
        </w:rPr>
        <w:t>The company must f</w:t>
      </w:r>
      <w:r w:rsidR="007E33FD" w:rsidRPr="00D811DB">
        <w:rPr>
          <w:rFonts w:ascii="Times New Roman" w:hAnsi="Times New Roman" w:cs="Times New Roman"/>
          <w:sz w:val="24"/>
          <w:szCs w:val="24"/>
        </w:rPr>
        <w:t>ully describe the similarities and differences between the data sourc</w:t>
      </w:r>
      <w:r w:rsidR="00D811DB">
        <w:rPr>
          <w:rFonts w:ascii="Times New Roman" w:hAnsi="Times New Roman" w:cs="Times New Roman"/>
          <w:sz w:val="24"/>
          <w:szCs w:val="24"/>
        </w:rPr>
        <w:t xml:space="preserve">e </w:t>
      </w:r>
      <w:r w:rsidR="007E33FD" w:rsidRPr="00D811DB">
        <w:rPr>
          <w:rFonts w:ascii="Times New Roman" w:hAnsi="Times New Roman" w:cs="Times New Roman"/>
          <w:sz w:val="24"/>
          <w:szCs w:val="24"/>
        </w:rPr>
        <w:t>and the mortality segment. For example</w:t>
      </w:r>
      <w:r w:rsidR="00A064BD" w:rsidRPr="00D811DB">
        <w:rPr>
          <w:rFonts w:ascii="Times New Roman" w:hAnsi="Times New Roman" w:cs="Times New Roman"/>
          <w:sz w:val="24"/>
          <w:szCs w:val="24"/>
        </w:rPr>
        <w:t>,</w:t>
      </w:r>
      <w:r w:rsidR="00BE322C" w:rsidRPr="00D811DB">
        <w:rPr>
          <w:rFonts w:ascii="Times New Roman" w:hAnsi="Times New Roman" w:cs="Times New Roman"/>
          <w:sz w:val="24"/>
          <w:szCs w:val="24"/>
        </w:rPr>
        <w:t xml:space="preserve"> a listing of all</w:t>
      </w:r>
      <w:r w:rsidR="007E33FD" w:rsidRPr="00D811DB">
        <w:rPr>
          <w:rFonts w:ascii="Times New Roman" w:hAnsi="Times New Roman" w:cs="Times New Roman"/>
          <w:sz w:val="24"/>
          <w:szCs w:val="24"/>
        </w:rPr>
        <w:t xml:space="preserve"> the considerations that would be used in a </w:t>
      </w:r>
      <w:r w:rsidRPr="00D811DB">
        <w:rPr>
          <w:rFonts w:ascii="Times New Roman" w:hAnsi="Times New Roman" w:cs="Times New Roman"/>
          <w:sz w:val="24"/>
          <w:szCs w:val="24"/>
        </w:rPr>
        <w:t>traditionally</w:t>
      </w:r>
      <w:r w:rsidR="007E33FD" w:rsidRPr="00D811DB">
        <w:rPr>
          <w:rFonts w:ascii="Times New Roman" w:hAnsi="Times New Roman" w:cs="Times New Roman"/>
          <w:sz w:val="24"/>
          <w:szCs w:val="24"/>
        </w:rPr>
        <w:t xml:space="preserve"> underwritten, non-medical issue versus those used in the </w:t>
      </w:r>
      <w:r w:rsidRPr="00D811DB">
        <w:rPr>
          <w:rFonts w:ascii="Times New Roman" w:hAnsi="Times New Roman" w:cs="Times New Roman"/>
          <w:sz w:val="24"/>
          <w:szCs w:val="24"/>
        </w:rPr>
        <w:t>accelerated underwriting</w:t>
      </w:r>
      <w:r w:rsidR="007E33FD" w:rsidRPr="00D811DB">
        <w:rPr>
          <w:rFonts w:ascii="Times New Roman" w:hAnsi="Times New Roman" w:cs="Times New Roman"/>
          <w:sz w:val="24"/>
          <w:szCs w:val="24"/>
        </w:rPr>
        <w:t xml:space="preserve"> approach</w:t>
      </w:r>
      <w:r w:rsidR="00443E99" w:rsidRPr="00D811DB">
        <w:rPr>
          <w:rFonts w:ascii="Times New Roman" w:hAnsi="Times New Roman" w:cs="Times New Roman"/>
          <w:sz w:val="24"/>
          <w:szCs w:val="24"/>
        </w:rPr>
        <w:t>,</w:t>
      </w:r>
      <w:r w:rsidR="007E33FD" w:rsidRPr="00D811DB">
        <w:rPr>
          <w:rFonts w:ascii="Times New Roman" w:hAnsi="Times New Roman" w:cs="Times New Roman"/>
          <w:sz w:val="24"/>
          <w:szCs w:val="24"/>
        </w:rPr>
        <w:t xml:space="preserve"> as well as similarities or differences in target markets</w:t>
      </w:r>
      <w:r w:rsidRPr="00D811DB">
        <w:rPr>
          <w:rFonts w:ascii="Times New Roman" w:hAnsi="Times New Roman" w:cs="Times New Roman"/>
          <w:sz w:val="24"/>
          <w:szCs w:val="24"/>
        </w:rPr>
        <w:t>, face amounts</w:t>
      </w:r>
      <w:r w:rsidR="007E33FD" w:rsidRPr="00D811DB">
        <w:rPr>
          <w:rFonts w:ascii="Times New Roman" w:hAnsi="Times New Roman" w:cs="Times New Roman"/>
          <w:sz w:val="24"/>
          <w:szCs w:val="24"/>
        </w:rPr>
        <w:t xml:space="preserve"> and distribution channels, for example. Charting these out side-by-side is an organized way to provide a meaningful comparison.</w:t>
      </w:r>
    </w:p>
    <w:p w14:paraId="2830DB16" w14:textId="77777777" w:rsidR="00720C0E" w:rsidRPr="00D811DB" w:rsidRDefault="00720C0E" w:rsidP="006C300A">
      <w:pPr>
        <w:spacing w:after="0" w:line="240" w:lineRule="auto"/>
        <w:ind w:left="720" w:hanging="360"/>
        <w:rPr>
          <w:rFonts w:ascii="Times New Roman" w:hAnsi="Times New Roman" w:cs="Times New Roman"/>
          <w:sz w:val="24"/>
          <w:szCs w:val="24"/>
        </w:rPr>
      </w:pPr>
    </w:p>
    <w:p w14:paraId="08D16D49" w14:textId="62762021" w:rsidR="007E33FD" w:rsidRPr="00D811DB" w:rsidRDefault="00BE68E4" w:rsidP="006C300A">
      <w:pPr>
        <w:pStyle w:val="ListParagraph"/>
        <w:numPr>
          <w:ilvl w:val="0"/>
          <w:numId w:val="3"/>
        </w:numPr>
        <w:spacing w:after="0" w:line="240" w:lineRule="auto"/>
        <w:ind w:left="720"/>
        <w:rPr>
          <w:rFonts w:ascii="Times New Roman" w:hAnsi="Times New Roman" w:cs="Times New Roman"/>
          <w:sz w:val="24"/>
          <w:szCs w:val="24"/>
        </w:rPr>
      </w:pPr>
      <w:r w:rsidRPr="00D811DB">
        <w:rPr>
          <w:rFonts w:ascii="Times New Roman" w:hAnsi="Times New Roman" w:cs="Times New Roman"/>
          <w:sz w:val="24"/>
          <w:szCs w:val="24"/>
        </w:rPr>
        <w:t>The company must d</w:t>
      </w:r>
      <w:r w:rsidR="007E33FD" w:rsidRPr="00D811DB">
        <w:rPr>
          <w:rFonts w:ascii="Times New Roman" w:hAnsi="Times New Roman" w:cs="Times New Roman"/>
          <w:sz w:val="24"/>
          <w:szCs w:val="24"/>
        </w:rPr>
        <w:t>etail any adjustments made to the experience mortality to account for the differences between the mortality segment and the data source.</w:t>
      </w:r>
      <w:r w:rsidR="008B02B3" w:rsidRPr="00D811DB">
        <w:rPr>
          <w:rFonts w:ascii="Times New Roman" w:hAnsi="Times New Roman" w:cs="Times New Roman"/>
          <w:sz w:val="24"/>
          <w:szCs w:val="24"/>
        </w:rPr>
        <w:t xml:space="preserve"> An example would be adjustments made in early policy durations to account for potential anti-selection by smoking risks if the accelerated underwriting program relies on self-reporting for smoking habit.</w:t>
      </w:r>
    </w:p>
    <w:p w14:paraId="06431725" w14:textId="77777777" w:rsidR="00BE68E4" w:rsidRPr="00D811DB" w:rsidRDefault="00BE68E4" w:rsidP="006C300A">
      <w:pPr>
        <w:pStyle w:val="ListParagraph"/>
        <w:spacing w:after="0" w:line="240" w:lineRule="auto"/>
        <w:ind w:hanging="360"/>
        <w:rPr>
          <w:rFonts w:ascii="Times New Roman" w:hAnsi="Times New Roman" w:cs="Times New Roman"/>
          <w:sz w:val="24"/>
          <w:szCs w:val="24"/>
        </w:rPr>
      </w:pPr>
    </w:p>
    <w:p w14:paraId="004D951E" w14:textId="531EDB25" w:rsidR="00E307F3" w:rsidRPr="00AD4A6E" w:rsidRDefault="008B02B3" w:rsidP="00AD4A6E">
      <w:pPr>
        <w:pStyle w:val="ListParagraph"/>
        <w:numPr>
          <w:ilvl w:val="0"/>
          <w:numId w:val="3"/>
        </w:numPr>
        <w:spacing w:after="0" w:line="240" w:lineRule="auto"/>
        <w:ind w:left="720"/>
        <w:rPr>
          <w:rFonts w:ascii="Times New Roman" w:hAnsi="Times New Roman" w:cs="Times New Roman"/>
          <w:sz w:val="24"/>
          <w:szCs w:val="24"/>
        </w:rPr>
      </w:pPr>
      <w:r w:rsidRPr="00AD4A6E">
        <w:rPr>
          <w:rFonts w:ascii="Times New Roman" w:hAnsi="Times New Roman" w:cs="Times New Roman"/>
          <w:sz w:val="24"/>
          <w:szCs w:val="24"/>
        </w:rPr>
        <w:t>For the data source, the company must p</w:t>
      </w:r>
      <w:r w:rsidR="007E33FD" w:rsidRPr="00AD4A6E">
        <w:rPr>
          <w:rFonts w:ascii="Times New Roman" w:hAnsi="Times New Roman" w:cs="Times New Roman"/>
          <w:sz w:val="24"/>
          <w:szCs w:val="24"/>
        </w:rPr>
        <w:t>rovide the number of deaths and death claim amounts by major grouping and including: age, gender, risk class, policy duration and other relevant information. For example, face amount b</w:t>
      </w:r>
      <w:r w:rsidRPr="00AD4A6E">
        <w:rPr>
          <w:rFonts w:ascii="Times New Roman" w:hAnsi="Times New Roman" w:cs="Times New Roman"/>
          <w:sz w:val="24"/>
          <w:szCs w:val="24"/>
        </w:rPr>
        <w:t>ands may be a grouping that is relevant for the data source experience to be considered comparable to the accelerated underwriting assumption.</w:t>
      </w:r>
    </w:p>
    <w:p w14:paraId="1B0241EF" w14:textId="61C9F0FB" w:rsidR="00385C2D" w:rsidRDefault="00385C2D" w:rsidP="006C300A">
      <w:pPr>
        <w:spacing w:after="0" w:line="240" w:lineRule="auto"/>
        <w:rPr>
          <w:rFonts w:asciiTheme="majorHAnsi" w:eastAsiaTheme="majorEastAsia" w:hAnsiTheme="majorHAnsi" w:cstheme="majorBidi"/>
          <w:color w:val="365F91" w:themeColor="accent1" w:themeShade="BF"/>
          <w:sz w:val="28"/>
          <w:szCs w:val="32"/>
          <w:u w:val="single"/>
        </w:rPr>
      </w:pPr>
    </w:p>
    <w:p w14:paraId="47BB3B75" w14:textId="034686F6" w:rsidR="000A2548" w:rsidRPr="00945489" w:rsidRDefault="000A2548" w:rsidP="006C300A">
      <w:pPr>
        <w:pStyle w:val="Heading1"/>
        <w:spacing w:before="0" w:line="240" w:lineRule="auto"/>
        <w:rPr>
          <w:b/>
          <w:sz w:val="28"/>
          <w:u w:val="single"/>
        </w:rPr>
      </w:pPr>
      <w:r w:rsidRPr="00945489">
        <w:rPr>
          <w:b/>
          <w:sz w:val="28"/>
          <w:u w:val="single"/>
        </w:rPr>
        <w:t>Decision Making Process for Accelerated Underwriting</w:t>
      </w:r>
    </w:p>
    <w:p w14:paraId="71D6D21C" w14:textId="77777777" w:rsidR="00B914F9" w:rsidRDefault="00B914F9" w:rsidP="006C300A">
      <w:pPr>
        <w:pStyle w:val="Heading2"/>
        <w:spacing w:before="0" w:line="240" w:lineRule="auto"/>
      </w:pPr>
    </w:p>
    <w:p w14:paraId="6E314A27" w14:textId="6FCBA070" w:rsidR="00B914F9" w:rsidRDefault="00B914F9" w:rsidP="006C300A">
      <w:pPr>
        <w:pStyle w:val="Heading2"/>
        <w:spacing w:before="0" w:line="240" w:lineRule="auto"/>
      </w:pPr>
      <w:r>
        <w:t xml:space="preserve">References </w:t>
      </w:r>
    </w:p>
    <w:p w14:paraId="7304E8D7" w14:textId="77777777" w:rsidR="00B914F9" w:rsidRDefault="00B914F9" w:rsidP="006C300A">
      <w:pPr>
        <w:spacing w:after="0" w:line="240" w:lineRule="auto"/>
        <w:rPr>
          <w:rFonts w:asciiTheme="majorHAnsi" w:hAnsiTheme="majorHAnsi"/>
          <w:i/>
        </w:rPr>
      </w:pPr>
      <w:r>
        <w:rPr>
          <w:rFonts w:asciiTheme="majorHAnsi" w:hAnsiTheme="majorHAnsi"/>
          <w:i/>
        </w:rPr>
        <w:t>VM-20:</w:t>
      </w:r>
      <w:r w:rsidRPr="00A026E3">
        <w:rPr>
          <w:rFonts w:asciiTheme="majorHAnsi" w:hAnsiTheme="majorHAnsi"/>
          <w:i/>
        </w:rPr>
        <w:t xml:space="preserve"> </w:t>
      </w:r>
      <w:r>
        <w:rPr>
          <w:rFonts w:asciiTheme="majorHAnsi" w:hAnsiTheme="majorHAnsi"/>
          <w:i/>
        </w:rPr>
        <w:t>Requirements for Principle-Based Reserves for Life Products, Section 9.C</w:t>
      </w:r>
    </w:p>
    <w:p w14:paraId="7713CE8B" w14:textId="77777777" w:rsidR="001C6D5B" w:rsidRDefault="001C6D5B" w:rsidP="006C300A">
      <w:pPr>
        <w:pStyle w:val="Heading2"/>
        <w:spacing w:before="0" w:line="240" w:lineRule="auto"/>
      </w:pPr>
    </w:p>
    <w:p w14:paraId="74E4D520" w14:textId="2A67EC5F" w:rsidR="000A2548" w:rsidRPr="000A2548" w:rsidRDefault="000A2548" w:rsidP="006C300A">
      <w:pPr>
        <w:pStyle w:val="Heading2"/>
        <w:spacing w:before="0" w:line="240" w:lineRule="auto"/>
      </w:pPr>
      <w:r>
        <w:t>Question</w:t>
      </w:r>
    </w:p>
    <w:p w14:paraId="09D11813" w14:textId="7B1D085C" w:rsidR="000A2548" w:rsidRPr="000A2548" w:rsidRDefault="000A2548" w:rsidP="006C300A">
      <w:pPr>
        <w:spacing w:after="0" w:line="240" w:lineRule="auto"/>
        <w:rPr>
          <w:rFonts w:ascii="Times New Roman" w:eastAsia="Times New Roman" w:hAnsi="Times New Roman" w:cs="Times New Roman"/>
          <w:sz w:val="24"/>
        </w:rPr>
      </w:pPr>
      <w:r w:rsidRPr="000A2548">
        <w:rPr>
          <w:rFonts w:ascii="Times New Roman" w:eastAsia="Times New Roman" w:hAnsi="Times New Roman" w:cs="Times New Roman"/>
          <w:sz w:val="24"/>
        </w:rPr>
        <w:t xml:space="preserve">Upon the introduction of a new accelerated underwriting program, how </w:t>
      </w:r>
      <w:r w:rsidR="001C6D5B">
        <w:rPr>
          <w:rFonts w:ascii="Times New Roman" w:eastAsia="Times New Roman" w:hAnsi="Times New Roman" w:cs="Times New Roman"/>
          <w:sz w:val="24"/>
        </w:rPr>
        <w:t xml:space="preserve">might </w:t>
      </w:r>
      <w:r w:rsidRPr="000A2548">
        <w:rPr>
          <w:rFonts w:ascii="Times New Roman" w:eastAsia="Times New Roman" w:hAnsi="Times New Roman" w:cs="Times New Roman"/>
          <w:sz w:val="24"/>
        </w:rPr>
        <w:t>an actuary go about making decisions for the PBR treatment of the associated mortality assumptions?</w:t>
      </w:r>
    </w:p>
    <w:p w14:paraId="4DE7A41B" w14:textId="77777777" w:rsidR="001C6D5B" w:rsidRDefault="001C6D5B" w:rsidP="006C300A">
      <w:pPr>
        <w:pStyle w:val="Heading2"/>
        <w:spacing w:before="0" w:line="240" w:lineRule="auto"/>
      </w:pPr>
    </w:p>
    <w:p w14:paraId="359556A9" w14:textId="7CEDA9F0" w:rsidR="000A2548" w:rsidRPr="000A2548" w:rsidRDefault="001C6D5B" w:rsidP="006C300A">
      <w:pPr>
        <w:pStyle w:val="Heading2"/>
        <w:spacing w:before="0" w:line="240" w:lineRule="auto"/>
      </w:pPr>
      <w:r>
        <w:t>Co</w:t>
      </w:r>
      <w:r w:rsidR="000959D4">
        <w:t>mmentary</w:t>
      </w:r>
    </w:p>
    <w:p w14:paraId="3D2A6F5B" w14:textId="6075B58F" w:rsidR="000A2548" w:rsidRDefault="000A2548" w:rsidP="006C300A">
      <w:pPr>
        <w:spacing w:after="0" w:line="240" w:lineRule="auto"/>
        <w:rPr>
          <w:rFonts w:ascii="Times New Roman" w:eastAsia="Times New Roman" w:hAnsi="Times New Roman" w:cs="Times New Roman"/>
          <w:sz w:val="24"/>
        </w:rPr>
      </w:pPr>
      <w:r w:rsidRPr="000A2548">
        <w:rPr>
          <w:rFonts w:ascii="Times New Roman" w:eastAsia="Times New Roman" w:hAnsi="Times New Roman" w:cs="Times New Roman"/>
          <w:sz w:val="24"/>
        </w:rPr>
        <w:t xml:space="preserve">For an example on how to make decisions for treating </w:t>
      </w:r>
      <w:r w:rsidR="003217D8">
        <w:rPr>
          <w:rFonts w:ascii="Times New Roman" w:eastAsia="Times New Roman" w:hAnsi="Times New Roman" w:cs="Times New Roman"/>
          <w:sz w:val="24"/>
        </w:rPr>
        <w:t>accelerated underwriting (AUW)</w:t>
      </w:r>
      <w:r w:rsidRPr="000A2548">
        <w:rPr>
          <w:rFonts w:ascii="Times New Roman" w:eastAsia="Times New Roman" w:hAnsi="Times New Roman" w:cs="Times New Roman"/>
          <w:sz w:val="24"/>
        </w:rPr>
        <w:t xml:space="preserve"> programs for PBR valuation, please see the following decision tree:</w:t>
      </w:r>
    </w:p>
    <w:p w14:paraId="4A8F7228" w14:textId="77777777" w:rsidR="001C6D5B" w:rsidRDefault="001C6D5B" w:rsidP="006C300A">
      <w:pPr>
        <w:spacing w:after="0" w:line="240" w:lineRule="auto"/>
        <w:rPr>
          <w:rFonts w:ascii="Times New Roman" w:eastAsia="Times New Roman" w:hAnsi="Times New Roman" w:cs="Times New Roman"/>
          <w:sz w:val="24"/>
        </w:rPr>
      </w:pPr>
    </w:p>
    <w:p w14:paraId="7C1B33E8" w14:textId="77777777" w:rsidR="001C6D5B" w:rsidRPr="000A2548" w:rsidRDefault="001C6D5B" w:rsidP="006C300A">
      <w:pPr>
        <w:spacing w:after="0" w:line="240" w:lineRule="auto"/>
        <w:rPr>
          <w:rFonts w:ascii="Times New Roman" w:eastAsia="Times New Roman" w:hAnsi="Times New Roman" w:cs="Times New Roman"/>
          <w:sz w:val="24"/>
        </w:rPr>
      </w:pPr>
    </w:p>
    <w:p w14:paraId="1FFEC75C" w14:textId="544D3F1F" w:rsidR="000A2548" w:rsidRDefault="000A2548" w:rsidP="006C300A">
      <w:pPr>
        <w:spacing w:after="0" w:line="240" w:lineRule="auto"/>
        <w:ind w:left="-900"/>
        <w:rPr>
          <w:rFonts w:asciiTheme="majorHAnsi" w:hAnsiTheme="majorHAnsi"/>
        </w:rPr>
      </w:pPr>
      <w:r>
        <w:rPr>
          <w:rFonts w:asciiTheme="majorHAnsi" w:hAnsiTheme="majorHAnsi"/>
          <w:noProof/>
        </w:rPr>
        <w:drawing>
          <wp:inline distT="0" distB="0" distL="0" distR="0" wp14:anchorId="260277D0" wp14:editId="78043409">
            <wp:extent cx="7296150" cy="4772025"/>
            <wp:effectExtent l="19050" t="0" r="95250"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C32CAF9" w14:textId="77777777" w:rsidR="000A2548" w:rsidRDefault="000A2548" w:rsidP="006C300A">
      <w:pPr>
        <w:spacing w:after="0" w:line="240" w:lineRule="auto"/>
        <w:rPr>
          <w:rFonts w:ascii="Cambria" w:hAnsi="Cambria"/>
        </w:rPr>
      </w:pPr>
    </w:p>
    <w:p w14:paraId="66473397" w14:textId="77777777" w:rsidR="001C6D5B" w:rsidRDefault="001C6D5B" w:rsidP="006C300A">
      <w:pPr>
        <w:spacing w:after="0" w:line="240" w:lineRule="auto"/>
        <w:rPr>
          <w:rFonts w:ascii="Times New Roman" w:eastAsia="Times New Roman" w:hAnsi="Times New Roman" w:cs="Times New Roman"/>
          <w:sz w:val="24"/>
        </w:rPr>
      </w:pPr>
    </w:p>
    <w:p w14:paraId="13A16EED" w14:textId="1EC311A2" w:rsidR="000A2548" w:rsidRPr="000A2548" w:rsidRDefault="000A2548" w:rsidP="006C300A">
      <w:pPr>
        <w:spacing w:after="0" w:line="240" w:lineRule="auto"/>
        <w:rPr>
          <w:rFonts w:ascii="Times New Roman" w:eastAsia="Times New Roman" w:hAnsi="Times New Roman" w:cs="Times New Roman"/>
          <w:sz w:val="24"/>
        </w:rPr>
      </w:pPr>
      <w:r w:rsidRPr="000A2548">
        <w:rPr>
          <w:rFonts w:ascii="Times New Roman" w:eastAsia="Times New Roman" w:hAnsi="Times New Roman" w:cs="Times New Roman"/>
          <w:sz w:val="24"/>
        </w:rPr>
        <w:t xml:space="preserve">When determining whether the </w:t>
      </w:r>
      <w:r w:rsidR="003217D8">
        <w:rPr>
          <w:rFonts w:ascii="Times New Roman" w:eastAsia="Times New Roman" w:hAnsi="Times New Roman" w:cs="Times New Roman"/>
          <w:sz w:val="24"/>
        </w:rPr>
        <w:t>a</w:t>
      </w:r>
      <w:r w:rsidR="000959D4">
        <w:rPr>
          <w:rFonts w:ascii="Times New Roman" w:eastAsia="Times New Roman" w:hAnsi="Times New Roman" w:cs="Times New Roman"/>
          <w:sz w:val="24"/>
        </w:rPr>
        <w:t xml:space="preserve">ccelerated </w:t>
      </w:r>
      <w:r w:rsidR="003217D8">
        <w:rPr>
          <w:rFonts w:ascii="Times New Roman" w:eastAsia="Times New Roman" w:hAnsi="Times New Roman" w:cs="Times New Roman"/>
          <w:sz w:val="24"/>
        </w:rPr>
        <w:t>u</w:t>
      </w:r>
      <w:r w:rsidR="000959D4">
        <w:rPr>
          <w:rFonts w:ascii="Times New Roman" w:eastAsia="Times New Roman" w:hAnsi="Times New Roman" w:cs="Times New Roman"/>
          <w:sz w:val="24"/>
        </w:rPr>
        <w:t>nderwriting</w:t>
      </w:r>
      <w:r w:rsidR="000959D4" w:rsidRPr="000A2548">
        <w:rPr>
          <w:rFonts w:ascii="Times New Roman" w:eastAsia="Times New Roman" w:hAnsi="Times New Roman" w:cs="Times New Roman"/>
          <w:sz w:val="24"/>
        </w:rPr>
        <w:t xml:space="preserve"> </w:t>
      </w:r>
      <w:r w:rsidRPr="000A2548">
        <w:rPr>
          <w:rFonts w:ascii="Times New Roman" w:eastAsia="Times New Roman" w:hAnsi="Times New Roman" w:cs="Times New Roman"/>
          <w:sz w:val="24"/>
        </w:rPr>
        <w:t>program qualifies as an expected incremental change, refer to the guidance in VM-20, Section 9.C.2.f, which specifically mentions the adoption of risk selection and underwriting practices different from those underlying the company experience data.  Also note that the valuation manual requires actuaries using such an approach to meet two criteria: (1) The adjustments are supported by published studies; and (2) The rationale and support for such an action is disclosed in the PBR Actuarial Report.</w:t>
      </w:r>
    </w:p>
    <w:p w14:paraId="6B02462B" w14:textId="77777777" w:rsidR="001C6D5B" w:rsidRDefault="001C6D5B" w:rsidP="006C300A">
      <w:pPr>
        <w:spacing w:after="0" w:line="240" w:lineRule="auto"/>
        <w:rPr>
          <w:rFonts w:ascii="Times New Roman" w:eastAsia="Times New Roman" w:hAnsi="Times New Roman" w:cs="Times New Roman"/>
          <w:sz w:val="24"/>
        </w:rPr>
      </w:pPr>
    </w:p>
    <w:p w14:paraId="332943FA" w14:textId="53CDDE91" w:rsidR="000A2548" w:rsidRPr="000A2548" w:rsidRDefault="000A2548" w:rsidP="006C300A">
      <w:pPr>
        <w:spacing w:after="0" w:line="240" w:lineRule="auto"/>
        <w:rPr>
          <w:rFonts w:ascii="Times New Roman" w:eastAsia="Times New Roman" w:hAnsi="Times New Roman" w:cs="Times New Roman"/>
          <w:sz w:val="24"/>
        </w:rPr>
      </w:pPr>
      <w:r w:rsidRPr="000A2548">
        <w:rPr>
          <w:rFonts w:ascii="Times New Roman" w:eastAsia="Times New Roman" w:hAnsi="Times New Roman" w:cs="Times New Roman"/>
          <w:sz w:val="24"/>
        </w:rPr>
        <w:t>One additional consider</w:t>
      </w:r>
      <w:r w:rsidR="0089784F">
        <w:rPr>
          <w:rFonts w:ascii="Times New Roman" w:eastAsia="Times New Roman" w:hAnsi="Times New Roman" w:cs="Times New Roman"/>
          <w:sz w:val="24"/>
        </w:rPr>
        <w:t xml:space="preserve">ation is that the guidance note </w:t>
      </w:r>
      <w:r w:rsidRPr="000A2548">
        <w:rPr>
          <w:rFonts w:ascii="Times New Roman" w:eastAsia="Times New Roman" w:hAnsi="Times New Roman" w:cs="Times New Roman"/>
          <w:sz w:val="24"/>
        </w:rPr>
        <w:t>in VM-20, Section 9.C.2.f states “It is anticipated that the adjustment described in 9.C.2.f to e</w:t>
      </w:r>
      <w:r w:rsidR="00D6212A">
        <w:rPr>
          <w:rFonts w:ascii="Times New Roman" w:eastAsia="Times New Roman" w:hAnsi="Times New Roman" w:cs="Times New Roman"/>
          <w:sz w:val="24"/>
        </w:rPr>
        <w:t xml:space="preserve">xperience will rarely be made.” </w:t>
      </w:r>
      <w:r w:rsidRPr="000A2548">
        <w:rPr>
          <w:rFonts w:ascii="Times New Roman" w:eastAsia="Times New Roman" w:hAnsi="Times New Roman" w:cs="Times New Roman"/>
          <w:sz w:val="24"/>
        </w:rPr>
        <w:t>Therefore, companies should be aware of this statement and the expectations of state regulators regarding underwriting adjustments when developing the VM-20 prudent estimate mortality assumption.</w:t>
      </w:r>
    </w:p>
    <w:p w14:paraId="7B3D6896" w14:textId="7DE24397" w:rsidR="005E4AAB" w:rsidRPr="001C6D5B" w:rsidRDefault="005E4AAB" w:rsidP="001C6D5B">
      <w:pPr>
        <w:spacing w:after="0" w:line="240" w:lineRule="auto"/>
        <w:rPr>
          <w:rFonts w:ascii="Times New Roman" w:hAnsi="Times New Roman" w:cs="Times New Roman"/>
          <w:sz w:val="24"/>
          <w:szCs w:val="24"/>
        </w:rPr>
      </w:pPr>
    </w:p>
    <w:p w14:paraId="50B6669C" w14:textId="6EC2A11D" w:rsidR="005E4AAB" w:rsidRDefault="005E4AAB" w:rsidP="006C300A">
      <w:pPr>
        <w:spacing w:after="0" w:line="240" w:lineRule="auto"/>
        <w:rPr>
          <w:rFonts w:asciiTheme="majorHAnsi" w:hAnsiTheme="majorHAnsi"/>
          <w:b/>
          <w:sz w:val="28"/>
          <w:szCs w:val="28"/>
        </w:rPr>
      </w:pPr>
    </w:p>
    <w:p w14:paraId="4A4A0977" w14:textId="0AE503DF" w:rsidR="005E4AAB" w:rsidRPr="00945489" w:rsidRDefault="005E4AAB" w:rsidP="006C300A">
      <w:pPr>
        <w:pStyle w:val="Heading1"/>
        <w:spacing w:before="0" w:line="240" w:lineRule="auto"/>
        <w:rPr>
          <w:b/>
          <w:sz w:val="28"/>
          <w:u w:val="single"/>
        </w:rPr>
      </w:pPr>
      <w:r w:rsidRPr="00945489">
        <w:rPr>
          <w:b/>
          <w:sz w:val="28"/>
          <w:u w:val="single"/>
        </w:rPr>
        <w:t xml:space="preserve">Use of RR Tool for Application of Preferred Class Discounts </w:t>
      </w:r>
      <w:r w:rsidR="00C1795C" w:rsidRPr="00945489">
        <w:rPr>
          <w:b/>
          <w:sz w:val="28"/>
          <w:u w:val="single"/>
        </w:rPr>
        <w:t>or</w:t>
      </w:r>
      <w:r w:rsidRPr="00945489">
        <w:rPr>
          <w:b/>
          <w:sz w:val="28"/>
          <w:u w:val="single"/>
        </w:rPr>
        <w:t xml:space="preserve"> Loads to Applicable Industry Mortality Tables</w:t>
      </w:r>
    </w:p>
    <w:p w14:paraId="25E9EE10" w14:textId="77777777" w:rsidR="00B6495A" w:rsidRDefault="00B6495A" w:rsidP="006C300A">
      <w:pPr>
        <w:pStyle w:val="Heading2"/>
        <w:spacing w:before="0" w:line="240" w:lineRule="auto"/>
      </w:pPr>
    </w:p>
    <w:p w14:paraId="1559EB88" w14:textId="5D6DF075" w:rsidR="005E4AAB" w:rsidRPr="00BA6DF9" w:rsidRDefault="005E4AAB" w:rsidP="006C300A">
      <w:pPr>
        <w:pStyle w:val="Heading2"/>
        <w:spacing w:before="0" w:line="240" w:lineRule="auto"/>
      </w:pPr>
      <w:r w:rsidRPr="00BA6DF9">
        <w:t>Reference</w:t>
      </w:r>
    </w:p>
    <w:p w14:paraId="35AD76F4" w14:textId="77777777" w:rsidR="005E4AAB" w:rsidRPr="00BA6DF9" w:rsidRDefault="005E4AAB" w:rsidP="006C300A">
      <w:pPr>
        <w:spacing w:after="0" w:line="240" w:lineRule="auto"/>
        <w:rPr>
          <w:rFonts w:asciiTheme="majorHAnsi" w:hAnsiTheme="majorHAnsi"/>
          <w:i/>
        </w:rPr>
      </w:pPr>
      <w:r>
        <w:rPr>
          <w:rFonts w:asciiTheme="majorHAnsi" w:hAnsiTheme="majorHAnsi"/>
          <w:i/>
        </w:rPr>
        <w:t xml:space="preserve">VM-20: Requirements for Principle-Based Reserves for Life Products </w:t>
      </w:r>
      <w:r w:rsidRPr="00BA6DF9">
        <w:rPr>
          <w:rFonts w:asciiTheme="majorHAnsi" w:hAnsiTheme="majorHAnsi"/>
          <w:i/>
        </w:rPr>
        <w:t>Sections 9.C.3</w:t>
      </w:r>
    </w:p>
    <w:p w14:paraId="1BE0454F" w14:textId="77777777" w:rsidR="00D6212A" w:rsidRDefault="00D6212A" w:rsidP="006C300A">
      <w:pPr>
        <w:spacing w:after="0" w:line="240" w:lineRule="auto"/>
        <w:rPr>
          <w:rFonts w:asciiTheme="majorHAnsi" w:eastAsiaTheme="majorEastAsia" w:hAnsiTheme="majorHAnsi" w:cstheme="majorBidi"/>
          <w:color w:val="365F91" w:themeColor="accent1" w:themeShade="BF"/>
          <w:sz w:val="26"/>
          <w:szCs w:val="26"/>
        </w:rPr>
      </w:pPr>
    </w:p>
    <w:p w14:paraId="1C239388" w14:textId="77777777" w:rsidR="00BA6DF9" w:rsidRDefault="005E4AAB" w:rsidP="006C300A">
      <w:pPr>
        <w:spacing w:after="0" w:line="240" w:lineRule="auto"/>
        <w:rPr>
          <w:rFonts w:asciiTheme="majorHAnsi" w:eastAsiaTheme="majorEastAsia" w:hAnsiTheme="majorHAnsi" w:cstheme="majorBidi"/>
          <w:color w:val="365F91" w:themeColor="accent1" w:themeShade="BF"/>
          <w:sz w:val="26"/>
          <w:szCs w:val="26"/>
        </w:rPr>
      </w:pPr>
      <w:r w:rsidRPr="00BA6DF9">
        <w:rPr>
          <w:rFonts w:asciiTheme="majorHAnsi" w:eastAsiaTheme="majorEastAsia" w:hAnsiTheme="majorHAnsi" w:cstheme="majorBidi"/>
          <w:color w:val="365F91" w:themeColor="accent1" w:themeShade="BF"/>
          <w:sz w:val="26"/>
          <w:szCs w:val="26"/>
        </w:rPr>
        <w:t xml:space="preserve">Question </w:t>
      </w:r>
    </w:p>
    <w:p w14:paraId="0797E755" w14:textId="4F9E6493" w:rsidR="005E4AAB" w:rsidRPr="00BA6DF9" w:rsidRDefault="005E4AAB" w:rsidP="006C300A">
      <w:p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Does the underwriting criteria</w:t>
      </w:r>
      <w:r w:rsidR="00720C0E">
        <w:rPr>
          <w:rFonts w:ascii="Times New Roman" w:eastAsia="Times New Roman" w:hAnsi="Times New Roman" w:cs="Times New Roman"/>
          <w:sz w:val="24"/>
        </w:rPr>
        <w:t xml:space="preserve"> </w:t>
      </w:r>
      <w:r w:rsidR="00720C0E" w:rsidRPr="00BA6DF9">
        <w:rPr>
          <w:rFonts w:ascii="Times New Roman" w:eastAsia="Times New Roman" w:hAnsi="Times New Roman" w:cs="Times New Roman"/>
          <w:sz w:val="24"/>
        </w:rPr>
        <w:t>scoring</w:t>
      </w:r>
      <w:r w:rsidRPr="00BA6DF9">
        <w:rPr>
          <w:rFonts w:ascii="Times New Roman" w:eastAsia="Times New Roman" w:hAnsi="Times New Roman" w:cs="Times New Roman"/>
          <w:sz w:val="24"/>
        </w:rPr>
        <w:t xml:space="preserve"> (UCS) procedure promoted by VM-20 accommodate </w:t>
      </w:r>
      <w:r w:rsidR="004E6210">
        <w:rPr>
          <w:rFonts w:ascii="Times New Roman" w:eastAsia="Times New Roman" w:hAnsi="Times New Roman" w:cs="Times New Roman"/>
          <w:sz w:val="24"/>
        </w:rPr>
        <w:t>a</w:t>
      </w:r>
      <w:r w:rsidR="004E6210" w:rsidRPr="00BA6DF9">
        <w:rPr>
          <w:rFonts w:ascii="Times New Roman" w:eastAsia="Times New Roman" w:hAnsi="Times New Roman" w:cs="Times New Roman"/>
          <w:sz w:val="24"/>
        </w:rPr>
        <w:t xml:space="preserve">ccelerated </w:t>
      </w:r>
      <w:r w:rsidR="004E6210">
        <w:rPr>
          <w:rFonts w:ascii="Times New Roman" w:eastAsia="Times New Roman" w:hAnsi="Times New Roman" w:cs="Times New Roman"/>
          <w:sz w:val="24"/>
        </w:rPr>
        <w:t>u</w:t>
      </w:r>
      <w:r w:rsidR="004E6210" w:rsidRPr="00BA6DF9">
        <w:rPr>
          <w:rFonts w:ascii="Times New Roman" w:eastAsia="Times New Roman" w:hAnsi="Times New Roman" w:cs="Times New Roman"/>
          <w:sz w:val="24"/>
        </w:rPr>
        <w:t xml:space="preserve">nderwriting </w:t>
      </w:r>
      <w:r w:rsidRPr="00BA6DF9">
        <w:rPr>
          <w:rFonts w:ascii="Times New Roman" w:eastAsia="Times New Roman" w:hAnsi="Times New Roman" w:cs="Times New Roman"/>
          <w:sz w:val="24"/>
        </w:rPr>
        <w:t xml:space="preserve">programs? Are there any alternatives to direct use of UCS tool to identify the appropriate RR Table form of an </w:t>
      </w:r>
      <w:r w:rsidR="00C1795C">
        <w:rPr>
          <w:rFonts w:ascii="Times New Roman" w:eastAsia="Times New Roman" w:hAnsi="Times New Roman" w:cs="Times New Roman"/>
          <w:sz w:val="24"/>
        </w:rPr>
        <w:t>accelerated</w:t>
      </w:r>
      <w:r w:rsidRPr="00BA6DF9">
        <w:rPr>
          <w:rFonts w:ascii="Times New Roman" w:eastAsia="Times New Roman" w:hAnsi="Times New Roman" w:cs="Times New Roman"/>
          <w:sz w:val="24"/>
        </w:rPr>
        <w:t xml:space="preserve"> underwriting program that offers preferred classes?</w:t>
      </w:r>
    </w:p>
    <w:p w14:paraId="05CF9902" w14:textId="77777777" w:rsidR="00D6212A" w:rsidRDefault="00D6212A" w:rsidP="006C300A">
      <w:pPr>
        <w:spacing w:after="0" w:line="240" w:lineRule="auto"/>
        <w:rPr>
          <w:rFonts w:asciiTheme="majorHAnsi" w:eastAsiaTheme="majorEastAsia" w:hAnsiTheme="majorHAnsi" w:cstheme="majorBidi"/>
          <w:color w:val="365F91" w:themeColor="accent1" w:themeShade="BF"/>
          <w:sz w:val="26"/>
          <w:szCs w:val="26"/>
        </w:rPr>
      </w:pPr>
    </w:p>
    <w:p w14:paraId="69925655" w14:textId="327B0728" w:rsidR="005E4AAB" w:rsidRPr="00BA6DF9" w:rsidRDefault="00D6212A" w:rsidP="006C300A">
      <w:pPr>
        <w:spacing w:after="0" w:line="240" w:lineRule="auto"/>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Co</w:t>
      </w:r>
      <w:r w:rsidR="000959D4">
        <w:rPr>
          <w:rFonts w:asciiTheme="majorHAnsi" w:eastAsiaTheme="majorEastAsia" w:hAnsiTheme="majorHAnsi" w:cstheme="majorBidi"/>
          <w:color w:val="365F91" w:themeColor="accent1" w:themeShade="BF"/>
          <w:sz w:val="26"/>
          <w:szCs w:val="26"/>
        </w:rPr>
        <w:t>mmentary</w:t>
      </w:r>
    </w:p>
    <w:p w14:paraId="2E06EC66" w14:textId="68859632" w:rsidR="005E4AAB" w:rsidRPr="00BA6DF9" w:rsidRDefault="005E4AAB" w:rsidP="006C300A">
      <w:p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No</w:t>
      </w:r>
      <w:r w:rsidR="0089784F">
        <w:rPr>
          <w:rFonts w:ascii="Times New Roman" w:eastAsia="Times New Roman" w:hAnsi="Times New Roman" w:cs="Times New Roman"/>
          <w:sz w:val="24"/>
        </w:rPr>
        <w:t xml:space="preserve">, the UCS procedure will not accommodate </w:t>
      </w:r>
      <w:r w:rsidR="007E6E1B">
        <w:rPr>
          <w:rFonts w:ascii="Times New Roman" w:eastAsia="Times New Roman" w:hAnsi="Times New Roman" w:cs="Times New Roman"/>
          <w:sz w:val="24"/>
        </w:rPr>
        <w:t xml:space="preserve">most </w:t>
      </w:r>
      <w:r w:rsidR="004E6210">
        <w:rPr>
          <w:rFonts w:ascii="Times New Roman" w:eastAsia="Times New Roman" w:hAnsi="Times New Roman" w:cs="Times New Roman"/>
          <w:sz w:val="24"/>
        </w:rPr>
        <w:t xml:space="preserve">accelerated underwriting </w:t>
      </w:r>
      <w:r w:rsidR="0089784F">
        <w:rPr>
          <w:rFonts w:ascii="Times New Roman" w:eastAsia="Times New Roman" w:hAnsi="Times New Roman" w:cs="Times New Roman"/>
          <w:sz w:val="24"/>
        </w:rPr>
        <w:t>programs</w:t>
      </w:r>
      <w:r w:rsidRPr="00BA6DF9">
        <w:rPr>
          <w:rFonts w:ascii="Times New Roman" w:eastAsia="Times New Roman" w:hAnsi="Times New Roman" w:cs="Times New Roman"/>
          <w:sz w:val="24"/>
        </w:rPr>
        <w:t xml:space="preserve"> (or, at least, not directly). </w:t>
      </w:r>
    </w:p>
    <w:p w14:paraId="5AA7BFA6" w14:textId="77777777" w:rsidR="005E4AAB" w:rsidRPr="00BA6DF9" w:rsidRDefault="005E4AAB" w:rsidP="006C300A">
      <w:pPr>
        <w:spacing w:after="0" w:line="240" w:lineRule="auto"/>
        <w:rPr>
          <w:rFonts w:ascii="Times New Roman" w:eastAsia="Times New Roman" w:hAnsi="Times New Roman" w:cs="Times New Roman"/>
          <w:sz w:val="24"/>
        </w:rPr>
      </w:pPr>
    </w:p>
    <w:p w14:paraId="70701ECA" w14:textId="77777777" w:rsidR="005E4AAB" w:rsidRPr="00BA6DF9" w:rsidRDefault="005E4AAB" w:rsidP="006C300A">
      <w:p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 xml:space="preserve">Per Sections 9.C.3.c and 9.C.3.d of VM-20, the underwriting criteria scoring tool may be used to score every risk class in a preferred risk class structure in order to determine the industry basic relative risk table that can serve as industry experience rates. These rates are used when company experience data is limited or not available, as well as when grading from company experience to industry experience mortality. </w:t>
      </w:r>
    </w:p>
    <w:p w14:paraId="185A2345" w14:textId="77777777" w:rsidR="005E4AAB" w:rsidRPr="00BA6DF9" w:rsidRDefault="005E4AAB" w:rsidP="006C300A">
      <w:pPr>
        <w:spacing w:after="0" w:line="240" w:lineRule="auto"/>
        <w:rPr>
          <w:rFonts w:ascii="Times New Roman" w:eastAsia="Times New Roman" w:hAnsi="Times New Roman" w:cs="Times New Roman"/>
          <w:sz w:val="24"/>
        </w:rPr>
      </w:pPr>
    </w:p>
    <w:p w14:paraId="5507D985" w14:textId="16CAA1DC" w:rsidR="005E4AAB" w:rsidRPr="00BA6DF9" w:rsidRDefault="005E4AAB" w:rsidP="006C300A">
      <w:p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As the tool relies on quantifiable (e.g.</w:t>
      </w:r>
      <w:r w:rsidR="00D6212A">
        <w:rPr>
          <w:rFonts w:ascii="Times New Roman" w:eastAsia="Times New Roman" w:hAnsi="Times New Roman" w:cs="Times New Roman"/>
          <w:sz w:val="24"/>
        </w:rPr>
        <w:t>,</w:t>
      </w:r>
      <w:r w:rsidRPr="00BA6DF9">
        <w:rPr>
          <w:rFonts w:ascii="Times New Roman" w:eastAsia="Times New Roman" w:hAnsi="Times New Roman" w:cs="Times New Roman"/>
          <w:sz w:val="24"/>
        </w:rPr>
        <w:t xml:space="preserve"> blood pressure, cholesterol) medical information collected by traditional underwriting methods, it is not directly applicable to most accelerated underwriting programs that have eliminated </w:t>
      </w:r>
      <w:r w:rsidR="00720C0E">
        <w:rPr>
          <w:rFonts w:ascii="Times New Roman" w:eastAsia="Times New Roman" w:hAnsi="Times New Roman" w:cs="Times New Roman"/>
          <w:sz w:val="24"/>
        </w:rPr>
        <w:t xml:space="preserve">some of </w:t>
      </w:r>
      <w:r w:rsidRPr="00BA6DF9">
        <w:rPr>
          <w:rFonts w:ascii="Times New Roman" w:eastAsia="Times New Roman" w:hAnsi="Times New Roman" w:cs="Times New Roman"/>
          <w:sz w:val="24"/>
        </w:rPr>
        <w:t>the mo</w:t>
      </w:r>
      <w:r w:rsidR="00720C0E">
        <w:rPr>
          <w:rFonts w:ascii="Times New Roman" w:eastAsia="Times New Roman" w:hAnsi="Times New Roman" w:cs="Times New Roman"/>
          <w:sz w:val="24"/>
        </w:rPr>
        <w:t>re</w:t>
      </w:r>
      <w:r w:rsidR="0089784F">
        <w:rPr>
          <w:rFonts w:ascii="Times New Roman" w:eastAsia="Times New Roman" w:hAnsi="Times New Roman" w:cs="Times New Roman"/>
          <w:sz w:val="24"/>
        </w:rPr>
        <w:t xml:space="preserve"> invasive, expensive, and time-</w:t>
      </w:r>
      <w:r w:rsidRPr="00BA6DF9">
        <w:rPr>
          <w:rFonts w:ascii="Times New Roman" w:eastAsia="Times New Roman" w:hAnsi="Times New Roman" w:cs="Times New Roman"/>
          <w:sz w:val="24"/>
        </w:rPr>
        <w:t>consuming aspects of traditional underwriting</w:t>
      </w:r>
      <w:r w:rsidR="00720C0E">
        <w:rPr>
          <w:rFonts w:ascii="Times New Roman" w:eastAsia="Times New Roman" w:hAnsi="Times New Roman" w:cs="Times New Roman"/>
          <w:sz w:val="24"/>
        </w:rPr>
        <w:t>.</w:t>
      </w:r>
    </w:p>
    <w:p w14:paraId="293099C9" w14:textId="77777777" w:rsidR="005E4AAB" w:rsidRPr="00BA6DF9" w:rsidRDefault="005E4AAB" w:rsidP="006C300A">
      <w:pPr>
        <w:spacing w:after="0" w:line="240" w:lineRule="auto"/>
        <w:rPr>
          <w:rFonts w:ascii="Times New Roman" w:eastAsia="Times New Roman" w:hAnsi="Times New Roman" w:cs="Times New Roman"/>
          <w:sz w:val="24"/>
        </w:rPr>
      </w:pPr>
    </w:p>
    <w:p w14:paraId="48887F06" w14:textId="77777777" w:rsidR="005E4AAB" w:rsidRPr="00BA6DF9" w:rsidRDefault="005E4AAB" w:rsidP="006C300A">
      <w:p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In cases when direct use of the UCS tool may not be suitable, VM-20 allows for use of alternative methods. No further guidance is provided other than such methods must be actuarially sound. If an alternative risk scoring methodology is used, Section 9.3.C.e of VM-20 states: “the company shall document the analysis performed to demonstrate the applicability of the chosen method and resulting choice in tables and reasons why the results using the Underwriting Criteria Scoring Tool may not be suitable.”</w:t>
      </w:r>
    </w:p>
    <w:p w14:paraId="72757441" w14:textId="653C2781" w:rsidR="005E4AAB" w:rsidRPr="00BA6DF9" w:rsidRDefault="005E4AAB" w:rsidP="006C300A">
      <w:pPr>
        <w:pStyle w:val="ListParagraph"/>
        <w:spacing w:after="0" w:line="240" w:lineRule="auto"/>
        <w:ind w:left="0"/>
        <w:rPr>
          <w:rFonts w:ascii="Times New Roman" w:eastAsia="Times New Roman" w:hAnsi="Times New Roman" w:cs="Times New Roman"/>
          <w:sz w:val="24"/>
        </w:rPr>
      </w:pPr>
      <w:r w:rsidRPr="00BA6DF9">
        <w:rPr>
          <w:rFonts w:ascii="Times New Roman" w:eastAsia="Times New Roman" w:hAnsi="Times New Roman" w:cs="Times New Roman"/>
          <w:sz w:val="24"/>
        </w:rPr>
        <w:t xml:space="preserve">To the extent a proprietary methodology relies in some way on medical information and can be translated to the UCS tool, VM-20 allows the company </w:t>
      </w:r>
      <w:r w:rsidR="005407A4">
        <w:rPr>
          <w:rFonts w:ascii="Times New Roman" w:eastAsia="Times New Roman" w:hAnsi="Times New Roman" w:cs="Times New Roman"/>
          <w:sz w:val="24"/>
        </w:rPr>
        <w:t xml:space="preserve">to </w:t>
      </w:r>
      <w:r w:rsidRPr="00BA6DF9">
        <w:rPr>
          <w:rFonts w:ascii="Times New Roman" w:eastAsia="Times New Roman" w:hAnsi="Times New Roman" w:cs="Times New Roman"/>
          <w:sz w:val="24"/>
        </w:rPr>
        <w:t>take risk factors</w:t>
      </w:r>
      <w:r w:rsidR="005407A4">
        <w:rPr>
          <w:rFonts w:ascii="Times New Roman" w:eastAsia="Times New Roman" w:hAnsi="Times New Roman" w:cs="Times New Roman"/>
          <w:sz w:val="24"/>
        </w:rPr>
        <w:t xml:space="preserve"> into account which are</w:t>
      </w:r>
      <w:r w:rsidRPr="00BA6DF9">
        <w:rPr>
          <w:rFonts w:ascii="Times New Roman" w:eastAsia="Times New Roman" w:hAnsi="Times New Roman" w:cs="Times New Roman"/>
          <w:sz w:val="24"/>
        </w:rPr>
        <w:t xml:space="preserve"> not considered by the tool by adjusting the industry tables up or down two tables from that determined by the application of the underwriting criteria scoring procedures.  </w:t>
      </w:r>
    </w:p>
    <w:p w14:paraId="1EF9D8C0" w14:textId="77777777" w:rsidR="005E4AAB" w:rsidRPr="00BA6DF9" w:rsidRDefault="005E4AAB" w:rsidP="006C300A">
      <w:pPr>
        <w:pStyle w:val="ListParagraph"/>
        <w:spacing w:after="0" w:line="240" w:lineRule="auto"/>
        <w:ind w:left="0"/>
        <w:rPr>
          <w:rFonts w:ascii="Times New Roman" w:eastAsia="Times New Roman" w:hAnsi="Times New Roman" w:cs="Times New Roman"/>
          <w:sz w:val="24"/>
        </w:rPr>
      </w:pPr>
    </w:p>
    <w:p w14:paraId="71FD1065" w14:textId="77777777" w:rsidR="005E4AAB" w:rsidRPr="00BA6DF9" w:rsidRDefault="005E4AAB" w:rsidP="006C300A">
      <w:pPr>
        <w:pStyle w:val="ListParagraph"/>
        <w:spacing w:after="0" w:line="240" w:lineRule="auto"/>
        <w:ind w:left="0"/>
        <w:rPr>
          <w:rFonts w:ascii="Times New Roman" w:eastAsia="Times New Roman" w:hAnsi="Times New Roman" w:cs="Times New Roman"/>
          <w:sz w:val="24"/>
        </w:rPr>
      </w:pPr>
      <w:r w:rsidRPr="00BA6DF9">
        <w:rPr>
          <w:rFonts w:ascii="Times New Roman" w:eastAsia="Times New Roman" w:hAnsi="Times New Roman" w:cs="Times New Roman"/>
          <w:sz w:val="24"/>
        </w:rPr>
        <w:t>Further adjustments to reflect risk characteristics not captured by the underwriting scoring criteria tool may be allowed upon approval by the commissioner.     </w:t>
      </w:r>
    </w:p>
    <w:p w14:paraId="146AD9F2" w14:textId="77777777" w:rsidR="005E4AAB" w:rsidRPr="00BA6DF9" w:rsidRDefault="005E4AAB" w:rsidP="006C300A">
      <w:pPr>
        <w:spacing w:after="0" w:line="240" w:lineRule="auto"/>
        <w:rPr>
          <w:rFonts w:ascii="Times New Roman" w:eastAsia="Times New Roman" w:hAnsi="Times New Roman" w:cs="Times New Roman"/>
          <w:sz w:val="24"/>
        </w:rPr>
      </w:pPr>
    </w:p>
    <w:p w14:paraId="6237D814" w14:textId="59A5951D" w:rsidR="005E4AAB" w:rsidRPr="00BA6DF9" w:rsidRDefault="005E4AAB" w:rsidP="006C300A">
      <w:p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Considerations</w:t>
      </w:r>
      <w:r w:rsidR="0089784F">
        <w:rPr>
          <w:rFonts w:ascii="Times New Roman" w:eastAsia="Times New Roman" w:hAnsi="Times New Roman" w:cs="Times New Roman"/>
          <w:sz w:val="24"/>
        </w:rPr>
        <w:t xml:space="preserve"> for these adjustments may include:</w:t>
      </w:r>
    </w:p>
    <w:p w14:paraId="136955D4" w14:textId="74F04EA0" w:rsidR="005E4AAB" w:rsidRDefault="005E4AAB" w:rsidP="006C300A">
      <w:pPr>
        <w:pStyle w:val="ListParagraph"/>
        <w:numPr>
          <w:ilvl w:val="0"/>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Some aspects of mortality level</w:t>
      </w:r>
      <w:r w:rsidR="0089784F">
        <w:rPr>
          <w:rFonts w:ascii="Times New Roman" w:eastAsia="Times New Roman" w:hAnsi="Times New Roman" w:cs="Times New Roman"/>
          <w:sz w:val="24"/>
        </w:rPr>
        <w:t xml:space="preserve"> expected or experienced</w:t>
      </w:r>
      <w:r w:rsidRPr="00BA6DF9">
        <w:rPr>
          <w:rFonts w:ascii="Times New Roman" w:eastAsia="Times New Roman" w:hAnsi="Times New Roman" w:cs="Times New Roman"/>
          <w:sz w:val="24"/>
        </w:rPr>
        <w:t xml:space="preserve"> may be unrelated to underwriting (e.g.</w:t>
      </w:r>
      <w:r w:rsidR="002B6C20">
        <w:rPr>
          <w:rFonts w:ascii="Times New Roman" w:eastAsia="Times New Roman" w:hAnsi="Times New Roman" w:cs="Times New Roman"/>
          <w:sz w:val="24"/>
        </w:rPr>
        <w:t>,</w:t>
      </w:r>
      <w:r w:rsidRPr="00BA6DF9">
        <w:rPr>
          <w:rFonts w:ascii="Times New Roman" w:eastAsia="Times New Roman" w:hAnsi="Times New Roman" w:cs="Times New Roman"/>
          <w:sz w:val="24"/>
        </w:rPr>
        <w:t xml:space="preserve"> Distribution Channel, Market, type of product, premium structure)</w:t>
      </w:r>
    </w:p>
    <w:p w14:paraId="5FE52604" w14:textId="77777777" w:rsidR="002B6C20" w:rsidRPr="00BA6DF9" w:rsidRDefault="002B6C20" w:rsidP="002B6C20">
      <w:pPr>
        <w:pStyle w:val="ListParagraph"/>
        <w:spacing w:after="0" w:line="240" w:lineRule="auto"/>
        <w:rPr>
          <w:rFonts w:ascii="Times New Roman" w:eastAsia="Times New Roman" w:hAnsi="Times New Roman" w:cs="Times New Roman"/>
          <w:sz w:val="24"/>
        </w:rPr>
      </w:pPr>
    </w:p>
    <w:p w14:paraId="4B0E6255" w14:textId="4B94AA6A" w:rsidR="005E4AAB" w:rsidRPr="00BA6DF9" w:rsidRDefault="005E4AAB" w:rsidP="006C300A">
      <w:pPr>
        <w:pStyle w:val="ListParagraph"/>
        <w:numPr>
          <w:ilvl w:val="0"/>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 xml:space="preserve">Accelerated </w:t>
      </w:r>
      <w:r w:rsidR="004E6210">
        <w:rPr>
          <w:rFonts w:ascii="Times New Roman" w:eastAsia="Times New Roman" w:hAnsi="Times New Roman" w:cs="Times New Roman"/>
          <w:sz w:val="24"/>
        </w:rPr>
        <w:t>u</w:t>
      </w:r>
      <w:r w:rsidR="004E6210" w:rsidRPr="00BA6DF9">
        <w:rPr>
          <w:rFonts w:ascii="Times New Roman" w:eastAsia="Times New Roman" w:hAnsi="Times New Roman" w:cs="Times New Roman"/>
          <w:sz w:val="24"/>
        </w:rPr>
        <w:t>nderwriting</w:t>
      </w:r>
      <w:r w:rsidRPr="00BA6DF9">
        <w:rPr>
          <w:rFonts w:ascii="Times New Roman" w:eastAsia="Times New Roman" w:hAnsi="Times New Roman" w:cs="Times New Roman"/>
          <w:sz w:val="24"/>
        </w:rPr>
        <w:t xml:space="preserve"> programs may rely on new data sources to determine whether an applicant is eligible for acceleration, or if the applicant is upgraded </w:t>
      </w:r>
      <w:r w:rsidR="0089784F">
        <w:rPr>
          <w:rFonts w:ascii="Times New Roman" w:eastAsia="Times New Roman" w:hAnsi="Times New Roman" w:cs="Times New Roman"/>
          <w:sz w:val="24"/>
        </w:rPr>
        <w:t>or</w:t>
      </w:r>
      <w:r w:rsidRPr="00BA6DF9">
        <w:rPr>
          <w:rFonts w:ascii="Times New Roman" w:eastAsia="Times New Roman" w:hAnsi="Times New Roman" w:cs="Times New Roman"/>
          <w:sz w:val="24"/>
        </w:rPr>
        <w:t xml:space="preserve"> downgraded to a different class. Data “cut points” may differ by product and would most certainly vary by company. Hence, a standardized method is likely unviable. </w:t>
      </w:r>
      <w:r w:rsidR="0089784F">
        <w:rPr>
          <w:rFonts w:ascii="Times New Roman" w:eastAsia="Times New Roman" w:hAnsi="Times New Roman" w:cs="Times New Roman"/>
          <w:sz w:val="24"/>
        </w:rPr>
        <w:t>Examples of n</w:t>
      </w:r>
      <w:r w:rsidRPr="00BA6DF9">
        <w:rPr>
          <w:rFonts w:ascii="Times New Roman" w:eastAsia="Times New Roman" w:hAnsi="Times New Roman" w:cs="Times New Roman"/>
          <w:sz w:val="24"/>
        </w:rPr>
        <w:t xml:space="preserve">ew data sources </w:t>
      </w:r>
      <w:r w:rsidR="0089784F">
        <w:rPr>
          <w:rFonts w:ascii="Times New Roman" w:eastAsia="Times New Roman" w:hAnsi="Times New Roman" w:cs="Times New Roman"/>
          <w:sz w:val="24"/>
        </w:rPr>
        <w:t xml:space="preserve">that may be utilized in an </w:t>
      </w:r>
      <w:r w:rsidR="004E6210">
        <w:rPr>
          <w:rFonts w:ascii="Times New Roman" w:eastAsia="Times New Roman" w:hAnsi="Times New Roman" w:cs="Times New Roman"/>
          <w:sz w:val="24"/>
        </w:rPr>
        <w:t xml:space="preserve">accelerated underwriting </w:t>
      </w:r>
      <w:r w:rsidR="0089784F">
        <w:rPr>
          <w:rFonts w:ascii="Times New Roman" w:eastAsia="Times New Roman" w:hAnsi="Times New Roman" w:cs="Times New Roman"/>
          <w:sz w:val="24"/>
        </w:rPr>
        <w:t xml:space="preserve">program </w:t>
      </w:r>
      <w:r w:rsidRPr="00BA6DF9">
        <w:rPr>
          <w:rFonts w:ascii="Times New Roman" w:eastAsia="Times New Roman" w:hAnsi="Times New Roman" w:cs="Times New Roman"/>
          <w:sz w:val="24"/>
        </w:rPr>
        <w:t xml:space="preserve">include: </w:t>
      </w:r>
    </w:p>
    <w:p w14:paraId="01DF3930" w14:textId="77777777" w:rsidR="005E4AAB" w:rsidRPr="00BA6DF9" w:rsidRDefault="005E4AAB" w:rsidP="006C300A">
      <w:pPr>
        <w:pStyle w:val="ListParagraph"/>
        <w:numPr>
          <w:ilvl w:val="1"/>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Credit Scoring</w:t>
      </w:r>
    </w:p>
    <w:p w14:paraId="6BA1A5E6" w14:textId="77777777" w:rsidR="005E4AAB" w:rsidRPr="00BA6DF9" w:rsidRDefault="005E4AAB" w:rsidP="006C300A">
      <w:pPr>
        <w:pStyle w:val="ListParagraph"/>
        <w:numPr>
          <w:ilvl w:val="1"/>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Prescription Data Scoring</w:t>
      </w:r>
    </w:p>
    <w:p w14:paraId="336662FE" w14:textId="0683F597" w:rsidR="005E4AAB" w:rsidRPr="00BA6DF9" w:rsidRDefault="0089784F" w:rsidP="006C300A">
      <w:pPr>
        <w:pStyle w:val="ListParagraph"/>
        <w:numPr>
          <w:ilvl w:val="1"/>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 xml:space="preserve">Diagnostic </w:t>
      </w:r>
      <w:r>
        <w:rPr>
          <w:rFonts w:ascii="Times New Roman" w:eastAsia="Times New Roman" w:hAnsi="Times New Roman" w:cs="Times New Roman"/>
          <w:sz w:val="24"/>
        </w:rPr>
        <w:t xml:space="preserve">or Clinical </w:t>
      </w:r>
      <w:r w:rsidR="005E4AAB" w:rsidRPr="00BA6DF9">
        <w:rPr>
          <w:rFonts w:ascii="Times New Roman" w:eastAsia="Times New Roman" w:hAnsi="Times New Roman" w:cs="Times New Roman"/>
          <w:sz w:val="24"/>
        </w:rPr>
        <w:t>Lab Scoring</w:t>
      </w:r>
    </w:p>
    <w:p w14:paraId="79F06D2E" w14:textId="77777777" w:rsidR="005E4AAB" w:rsidRPr="00BA6DF9" w:rsidRDefault="005E4AAB" w:rsidP="006C300A">
      <w:pPr>
        <w:pStyle w:val="ListParagraph"/>
        <w:numPr>
          <w:ilvl w:val="1"/>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Electronic Health Records</w:t>
      </w:r>
    </w:p>
    <w:p w14:paraId="179985C9" w14:textId="5F4F972E" w:rsidR="005E4AAB" w:rsidRDefault="005E4AAB" w:rsidP="006C300A">
      <w:pPr>
        <w:pStyle w:val="ListParagraph"/>
        <w:numPr>
          <w:ilvl w:val="1"/>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 xml:space="preserve">Inspection Scoring </w:t>
      </w:r>
      <w:r w:rsidR="0089784F">
        <w:rPr>
          <w:rFonts w:ascii="Times New Roman" w:eastAsia="Times New Roman" w:hAnsi="Times New Roman" w:cs="Times New Roman"/>
          <w:sz w:val="24"/>
        </w:rPr>
        <w:t>(criminal history, bankruptcies, etc.)</w:t>
      </w:r>
    </w:p>
    <w:p w14:paraId="420554E6" w14:textId="77777777" w:rsidR="002B6C20" w:rsidRPr="00BA6DF9" w:rsidRDefault="002B6C20" w:rsidP="002B6C20">
      <w:pPr>
        <w:pStyle w:val="ListParagraph"/>
        <w:spacing w:after="0" w:line="240" w:lineRule="auto"/>
        <w:ind w:left="1440"/>
        <w:rPr>
          <w:rFonts w:ascii="Times New Roman" w:eastAsia="Times New Roman" w:hAnsi="Times New Roman" w:cs="Times New Roman"/>
          <w:sz w:val="24"/>
        </w:rPr>
      </w:pPr>
    </w:p>
    <w:p w14:paraId="77AE1E19" w14:textId="31749FAF" w:rsidR="005E4AAB" w:rsidRPr="00BA6DF9" w:rsidRDefault="005E4AAB" w:rsidP="006C300A">
      <w:pPr>
        <w:pStyle w:val="ListParagraph"/>
        <w:numPr>
          <w:ilvl w:val="0"/>
          <w:numId w:val="5"/>
        </w:numPr>
        <w:spacing w:after="0" w:line="240" w:lineRule="auto"/>
        <w:rPr>
          <w:rFonts w:ascii="Times New Roman" w:eastAsia="Times New Roman" w:hAnsi="Times New Roman" w:cs="Times New Roman"/>
          <w:sz w:val="24"/>
        </w:rPr>
      </w:pPr>
      <w:r w:rsidRPr="00BA6DF9">
        <w:rPr>
          <w:rFonts w:ascii="Times New Roman" w:eastAsia="Times New Roman" w:hAnsi="Times New Roman" w:cs="Times New Roman"/>
          <w:sz w:val="24"/>
        </w:rPr>
        <w:t xml:space="preserve">Many companies have performed “blind” </w:t>
      </w:r>
      <w:r w:rsidR="007E6E1B" w:rsidRPr="00BA6DF9">
        <w:rPr>
          <w:rFonts w:ascii="Times New Roman" w:eastAsia="Times New Roman" w:hAnsi="Times New Roman" w:cs="Times New Roman"/>
          <w:sz w:val="24"/>
        </w:rPr>
        <w:t>retro</w:t>
      </w:r>
      <w:r w:rsidR="007E6E1B">
        <w:rPr>
          <w:rFonts w:ascii="Times New Roman" w:eastAsia="Times New Roman" w:hAnsi="Times New Roman" w:cs="Times New Roman"/>
          <w:sz w:val="24"/>
        </w:rPr>
        <w:t>spective</w:t>
      </w:r>
      <w:r w:rsidR="007E6E1B" w:rsidRPr="00BA6DF9">
        <w:rPr>
          <w:rFonts w:ascii="Times New Roman" w:eastAsia="Times New Roman" w:hAnsi="Times New Roman" w:cs="Times New Roman"/>
          <w:sz w:val="24"/>
        </w:rPr>
        <w:t xml:space="preserve"> </w:t>
      </w:r>
      <w:r w:rsidRPr="00BA6DF9">
        <w:rPr>
          <w:rFonts w:ascii="Times New Roman" w:eastAsia="Times New Roman" w:hAnsi="Times New Roman" w:cs="Times New Roman"/>
          <w:sz w:val="24"/>
        </w:rPr>
        <w:t xml:space="preserve">studies to understand the mortality impact of </w:t>
      </w:r>
      <w:r w:rsidR="004E6210">
        <w:rPr>
          <w:rFonts w:ascii="Times New Roman" w:eastAsia="Times New Roman" w:hAnsi="Times New Roman" w:cs="Times New Roman"/>
          <w:sz w:val="24"/>
        </w:rPr>
        <w:t>a</w:t>
      </w:r>
      <w:r w:rsidR="004E6210" w:rsidRPr="00BA6DF9">
        <w:rPr>
          <w:rFonts w:ascii="Times New Roman" w:eastAsia="Times New Roman" w:hAnsi="Times New Roman" w:cs="Times New Roman"/>
          <w:sz w:val="24"/>
        </w:rPr>
        <w:t xml:space="preserve">ccelerated </w:t>
      </w:r>
      <w:r w:rsidR="004E6210">
        <w:rPr>
          <w:rFonts w:ascii="Times New Roman" w:eastAsia="Times New Roman" w:hAnsi="Times New Roman" w:cs="Times New Roman"/>
          <w:sz w:val="24"/>
        </w:rPr>
        <w:t>u</w:t>
      </w:r>
      <w:r w:rsidR="004E6210" w:rsidRPr="00BA6DF9">
        <w:rPr>
          <w:rFonts w:ascii="Times New Roman" w:eastAsia="Times New Roman" w:hAnsi="Times New Roman" w:cs="Times New Roman"/>
          <w:sz w:val="24"/>
        </w:rPr>
        <w:t xml:space="preserve">nderwriting </w:t>
      </w:r>
      <w:r w:rsidRPr="00BA6DF9">
        <w:rPr>
          <w:rFonts w:ascii="Times New Roman" w:eastAsia="Times New Roman" w:hAnsi="Times New Roman" w:cs="Times New Roman"/>
          <w:sz w:val="24"/>
        </w:rPr>
        <w:t>programs. Acquiring this type of data may help to address the value of the new data sources.  </w:t>
      </w:r>
    </w:p>
    <w:p w14:paraId="6C47F6DB" w14:textId="77777777" w:rsidR="005E4AAB" w:rsidRPr="00BA6DF9" w:rsidRDefault="005E4AAB" w:rsidP="006C300A">
      <w:pPr>
        <w:pStyle w:val="ListParagraph"/>
        <w:spacing w:after="0" w:line="240" w:lineRule="auto"/>
        <w:ind w:left="360"/>
        <w:rPr>
          <w:rFonts w:ascii="Times New Roman" w:eastAsia="Times New Roman" w:hAnsi="Times New Roman" w:cs="Times New Roman"/>
          <w:sz w:val="24"/>
        </w:rPr>
      </w:pPr>
    </w:p>
    <w:sectPr w:rsidR="005E4AAB" w:rsidRPr="00BA6DF9" w:rsidSect="00F125F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030A3" w14:textId="77777777" w:rsidR="007A22E8" w:rsidRDefault="007A22E8" w:rsidP="00945489">
      <w:pPr>
        <w:spacing w:after="0" w:line="240" w:lineRule="auto"/>
      </w:pPr>
      <w:r>
        <w:separator/>
      </w:r>
    </w:p>
  </w:endnote>
  <w:endnote w:type="continuationSeparator" w:id="0">
    <w:p w14:paraId="7BF064B8" w14:textId="77777777" w:rsidR="007A22E8" w:rsidRDefault="007A22E8" w:rsidP="0094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3BBA6" w14:textId="77777777" w:rsidR="00F125FA" w:rsidRDefault="00F12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3659"/>
      <w:docPartObj>
        <w:docPartGallery w:val="Page Numbers (Bottom of Page)"/>
        <w:docPartUnique/>
      </w:docPartObj>
    </w:sdtPr>
    <w:sdtEndPr>
      <w:rPr>
        <w:noProof/>
      </w:rPr>
    </w:sdtEndPr>
    <w:sdtContent>
      <w:p w14:paraId="7090E66C" w14:textId="4C6EDFCE" w:rsidR="005407A4" w:rsidRDefault="005407A4">
        <w:pPr>
          <w:pStyle w:val="Footer"/>
          <w:jc w:val="center"/>
        </w:pPr>
        <w:r>
          <w:fldChar w:fldCharType="begin"/>
        </w:r>
        <w:r>
          <w:instrText xml:space="preserve"> PAGE   \* MERGEFORMAT </w:instrText>
        </w:r>
        <w:r>
          <w:fldChar w:fldCharType="separate"/>
        </w:r>
        <w:r w:rsidR="00F125FA">
          <w:rPr>
            <w:noProof/>
          </w:rPr>
          <w:t>2</w:t>
        </w:r>
        <w:r>
          <w:rPr>
            <w:noProof/>
          </w:rPr>
          <w:fldChar w:fldCharType="end"/>
        </w:r>
      </w:p>
    </w:sdtContent>
  </w:sdt>
  <w:p w14:paraId="799C7885" w14:textId="77777777" w:rsidR="005407A4" w:rsidRDefault="00540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E82E4" w14:textId="77777777" w:rsidR="00F125FA" w:rsidRDefault="00F12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4EF0A" w14:textId="77777777" w:rsidR="007A22E8" w:rsidRDefault="007A22E8" w:rsidP="00945489">
      <w:pPr>
        <w:spacing w:after="0" w:line="240" w:lineRule="auto"/>
      </w:pPr>
      <w:r>
        <w:separator/>
      </w:r>
    </w:p>
  </w:footnote>
  <w:footnote w:type="continuationSeparator" w:id="0">
    <w:p w14:paraId="15E93D74" w14:textId="77777777" w:rsidR="007A22E8" w:rsidRDefault="007A22E8" w:rsidP="00945489">
      <w:pPr>
        <w:spacing w:after="0" w:line="240" w:lineRule="auto"/>
      </w:pPr>
      <w:r>
        <w:continuationSeparator/>
      </w:r>
    </w:p>
  </w:footnote>
  <w:footnote w:id="1">
    <w:p w14:paraId="2AB9F4E6" w14:textId="77777777" w:rsidR="00726052" w:rsidRPr="009F5FBA" w:rsidRDefault="00726052" w:rsidP="00726052">
      <w:pPr>
        <w:pStyle w:val="FootnoteText"/>
        <w:rPr>
          <w:rFonts w:ascii="Times New Roman" w:hAnsi="Times New Roman" w:cs="Times New Roman"/>
        </w:rPr>
      </w:pPr>
      <w:r w:rsidRPr="009F5FBA">
        <w:rPr>
          <w:rStyle w:val="FootnoteReference"/>
          <w:rFonts w:ascii="Times New Roman" w:hAnsi="Times New Roman" w:cs="Times New Roman"/>
        </w:rPr>
        <w:footnoteRef/>
      </w:r>
      <w:r w:rsidRPr="009F5FBA">
        <w:rPr>
          <w:rFonts w:ascii="Times New Roman" w:hAnsi="Times New Roman" w:cs="Times New Roman"/>
        </w:rPr>
        <w:t xml:space="preserve"> </w:t>
      </w:r>
      <w:r>
        <w:rPr>
          <w:rFonts w:ascii="Times New Roman" w:hAnsi="Times New Roman" w:cs="Times New Roman"/>
        </w:rPr>
        <w:t xml:space="preserve">VM </w:t>
      </w:r>
      <w:r w:rsidRPr="009F5FBA">
        <w:rPr>
          <w:rFonts w:ascii="Times New Roman" w:hAnsi="Times New Roman" w:cs="Times New Roman"/>
        </w:rPr>
        <w:t>References are to the 2017 Valuation Manual, NAIC Adoptions Through August 29,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6666" w14:textId="77777777" w:rsidR="00F125FA" w:rsidRDefault="00F125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F966" w14:textId="77777777" w:rsidR="00F125FA" w:rsidRDefault="00F125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F0E9D" w14:textId="0834901C" w:rsidR="00A357BC" w:rsidRDefault="00F125FA">
    <w:pPr>
      <w:pStyle w:val="Header"/>
    </w:pPr>
    <w:r w:rsidRPr="00F125FA">
      <w:rPr>
        <w:b/>
      </w:rPr>
      <w:t>Note:</w:t>
    </w:r>
    <w:r>
      <w:t xml:space="preserve"> The Life Actuarial (A) Task Force is exposing the Academy VM-20 Accelerated Underwriting (AUW) Question &amp; Commentary document. During the exposure period, LATF is seeking comments from regulators and industry to assist in its review. LATF exposure of the document does not constitute a position by LATF</w:t>
    </w:r>
    <w:r>
      <w:t>.</w:t>
    </w:r>
    <w:bookmarkStart w:id="0" w:name="_GoBack"/>
    <w:bookmarkEnd w:id="0"/>
  </w:p>
  <w:p w14:paraId="0A5A9238" w14:textId="77777777" w:rsidR="00F125FA" w:rsidRDefault="00F125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183F"/>
    <w:multiLevelType w:val="hybridMultilevel"/>
    <w:tmpl w:val="B456D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C307DD"/>
    <w:multiLevelType w:val="hybridMultilevel"/>
    <w:tmpl w:val="C324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5D2D71"/>
    <w:multiLevelType w:val="hybridMultilevel"/>
    <w:tmpl w:val="9A1C923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642475"/>
    <w:multiLevelType w:val="hybridMultilevel"/>
    <w:tmpl w:val="7A98BB4A"/>
    <w:lvl w:ilvl="0" w:tplc="82268DA0">
      <w:start w:val="1"/>
      <w:numFmt w:val="lowerRoman"/>
      <w:lvlText w:val="%1."/>
      <w:lvlJc w:val="right"/>
      <w:pPr>
        <w:ind w:left="540" w:hanging="360"/>
      </w:pPr>
      <w:rPr>
        <w:rFonts w:hint="default"/>
        <w:i w:val="0"/>
        <w:sz w:val="24"/>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
    <w:nsid w:val="5C23748D"/>
    <w:multiLevelType w:val="hybridMultilevel"/>
    <w:tmpl w:val="2038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232EF"/>
    <w:multiLevelType w:val="hybridMultilevel"/>
    <w:tmpl w:val="80BC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4595A"/>
    <w:multiLevelType w:val="hybridMultilevel"/>
    <w:tmpl w:val="4F0A9580"/>
    <w:lvl w:ilvl="0" w:tplc="4DEE14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23"/>
    <w:rsid w:val="00005139"/>
    <w:rsid w:val="0001561A"/>
    <w:rsid w:val="00024369"/>
    <w:rsid w:val="000500CE"/>
    <w:rsid w:val="00064404"/>
    <w:rsid w:val="000928C8"/>
    <w:rsid w:val="000959D4"/>
    <w:rsid w:val="000A2548"/>
    <w:rsid w:val="000C4F8C"/>
    <w:rsid w:val="000D7535"/>
    <w:rsid w:val="000D7AC0"/>
    <w:rsid w:val="000F3B45"/>
    <w:rsid w:val="001035AD"/>
    <w:rsid w:val="00103AB4"/>
    <w:rsid w:val="00154458"/>
    <w:rsid w:val="00162C24"/>
    <w:rsid w:val="00162DB4"/>
    <w:rsid w:val="00170130"/>
    <w:rsid w:val="001812BA"/>
    <w:rsid w:val="001C6D5B"/>
    <w:rsid w:val="001D3AE8"/>
    <w:rsid w:val="001F4093"/>
    <w:rsid w:val="00211CE7"/>
    <w:rsid w:val="00213F33"/>
    <w:rsid w:val="002244FF"/>
    <w:rsid w:val="002528CF"/>
    <w:rsid w:val="00285ADB"/>
    <w:rsid w:val="002B6C20"/>
    <w:rsid w:val="003217D8"/>
    <w:rsid w:val="00356D47"/>
    <w:rsid w:val="00385C2D"/>
    <w:rsid w:val="00395EBA"/>
    <w:rsid w:val="003C61C5"/>
    <w:rsid w:val="003C6D4F"/>
    <w:rsid w:val="003F61EF"/>
    <w:rsid w:val="00412A23"/>
    <w:rsid w:val="00417B11"/>
    <w:rsid w:val="00443E99"/>
    <w:rsid w:val="004D0909"/>
    <w:rsid w:val="004E6210"/>
    <w:rsid w:val="004E7929"/>
    <w:rsid w:val="0051198F"/>
    <w:rsid w:val="0052264E"/>
    <w:rsid w:val="00522EE6"/>
    <w:rsid w:val="005407A4"/>
    <w:rsid w:val="005A5FF2"/>
    <w:rsid w:val="005A723A"/>
    <w:rsid w:val="005B7BDA"/>
    <w:rsid w:val="005D7A8E"/>
    <w:rsid w:val="005E4AAB"/>
    <w:rsid w:val="00604047"/>
    <w:rsid w:val="0060577E"/>
    <w:rsid w:val="006333F2"/>
    <w:rsid w:val="00654FA9"/>
    <w:rsid w:val="006C300A"/>
    <w:rsid w:val="006D758E"/>
    <w:rsid w:val="006F1C30"/>
    <w:rsid w:val="00706E89"/>
    <w:rsid w:val="00720C0E"/>
    <w:rsid w:val="00726052"/>
    <w:rsid w:val="00761481"/>
    <w:rsid w:val="00763E57"/>
    <w:rsid w:val="0079063C"/>
    <w:rsid w:val="007A22E8"/>
    <w:rsid w:val="007B77D3"/>
    <w:rsid w:val="007C3A26"/>
    <w:rsid w:val="007D70CA"/>
    <w:rsid w:val="007E33FD"/>
    <w:rsid w:val="007E52DA"/>
    <w:rsid w:val="007E6E1B"/>
    <w:rsid w:val="0081246C"/>
    <w:rsid w:val="00831AB1"/>
    <w:rsid w:val="00844271"/>
    <w:rsid w:val="0089784F"/>
    <w:rsid w:val="008B02B3"/>
    <w:rsid w:val="008E3BD4"/>
    <w:rsid w:val="008E6B19"/>
    <w:rsid w:val="008F7E60"/>
    <w:rsid w:val="00900DD4"/>
    <w:rsid w:val="00945489"/>
    <w:rsid w:val="009738F0"/>
    <w:rsid w:val="009C14D5"/>
    <w:rsid w:val="009F5FBA"/>
    <w:rsid w:val="00A026E3"/>
    <w:rsid w:val="00A064BD"/>
    <w:rsid w:val="00A336FF"/>
    <w:rsid w:val="00A357BC"/>
    <w:rsid w:val="00A76DD2"/>
    <w:rsid w:val="00A80F96"/>
    <w:rsid w:val="00A90F60"/>
    <w:rsid w:val="00AD4A6E"/>
    <w:rsid w:val="00AF551E"/>
    <w:rsid w:val="00B42D49"/>
    <w:rsid w:val="00B440CA"/>
    <w:rsid w:val="00B6495A"/>
    <w:rsid w:val="00B8587A"/>
    <w:rsid w:val="00B90B9D"/>
    <w:rsid w:val="00B914F9"/>
    <w:rsid w:val="00BA6DF9"/>
    <w:rsid w:val="00BD0148"/>
    <w:rsid w:val="00BE322C"/>
    <w:rsid w:val="00BE68E4"/>
    <w:rsid w:val="00C00807"/>
    <w:rsid w:val="00C17171"/>
    <w:rsid w:val="00C1795C"/>
    <w:rsid w:val="00C901D8"/>
    <w:rsid w:val="00CB5543"/>
    <w:rsid w:val="00CC31F6"/>
    <w:rsid w:val="00D47064"/>
    <w:rsid w:val="00D6212A"/>
    <w:rsid w:val="00D666AB"/>
    <w:rsid w:val="00D76D1D"/>
    <w:rsid w:val="00D811DB"/>
    <w:rsid w:val="00D84ACC"/>
    <w:rsid w:val="00D95BA2"/>
    <w:rsid w:val="00DA2C47"/>
    <w:rsid w:val="00DF5F9B"/>
    <w:rsid w:val="00DF78FD"/>
    <w:rsid w:val="00E14ADF"/>
    <w:rsid w:val="00E17586"/>
    <w:rsid w:val="00E307F3"/>
    <w:rsid w:val="00E74196"/>
    <w:rsid w:val="00EA270C"/>
    <w:rsid w:val="00ED4346"/>
    <w:rsid w:val="00EE2F00"/>
    <w:rsid w:val="00EF0D74"/>
    <w:rsid w:val="00EF6DBD"/>
    <w:rsid w:val="00F125FA"/>
    <w:rsid w:val="00F40569"/>
    <w:rsid w:val="00F52D6A"/>
    <w:rsid w:val="00F64DCA"/>
    <w:rsid w:val="00F80CC9"/>
    <w:rsid w:val="00F9503E"/>
    <w:rsid w:val="00FC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C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3A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70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61A"/>
    <w:pPr>
      <w:ind w:left="720"/>
      <w:contextualSpacing/>
    </w:pPr>
  </w:style>
  <w:style w:type="character" w:customStyle="1" w:styleId="Heading2Char">
    <w:name w:val="Heading 2 Char"/>
    <w:basedOn w:val="DefaultParagraphFont"/>
    <w:link w:val="Heading2"/>
    <w:uiPriority w:val="9"/>
    <w:rsid w:val="007D70C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52D6A"/>
    <w:rPr>
      <w:sz w:val="16"/>
      <w:szCs w:val="16"/>
    </w:rPr>
  </w:style>
  <w:style w:type="paragraph" w:styleId="CommentText">
    <w:name w:val="annotation text"/>
    <w:basedOn w:val="Normal"/>
    <w:link w:val="CommentTextChar"/>
    <w:uiPriority w:val="99"/>
    <w:semiHidden/>
    <w:unhideWhenUsed/>
    <w:rsid w:val="00F52D6A"/>
    <w:pPr>
      <w:spacing w:line="240" w:lineRule="auto"/>
    </w:pPr>
    <w:rPr>
      <w:sz w:val="20"/>
      <w:szCs w:val="20"/>
    </w:rPr>
  </w:style>
  <w:style w:type="character" w:customStyle="1" w:styleId="CommentTextChar">
    <w:name w:val="Comment Text Char"/>
    <w:basedOn w:val="DefaultParagraphFont"/>
    <w:link w:val="CommentText"/>
    <w:uiPriority w:val="99"/>
    <w:semiHidden/>
    <w:rsid w:val="00F52D6A"/>
    <w:rPr>
      <w:sz w:val="20"/>
      <w:szCs w:val="20"/>
    </w:rPr>
  </w:style>
  <w:style w:type="paragraph" w:styleId="CommentSubject">
    <w:name w:val="annotation subject"/>
    <w:basedOn w:val="CommentText"/>
    <w:next w:val="CommentText"/>
    <w:link w:val="CommentSubjectChar"/>
    <w:uiPriority w:val="99"/>
    <w:semiHidden/>
    <w:unhideWhenUsed/>
    <w:rsid w:val="00F52D6A"/>
    <w:rPr>
      <w:b/>
      <w:bCs/>
    </w:rPr>
  </w:style>
  <w:style w:type="character" w:customStyle="1" w:styleId="CommentSubjectChar">
    <w:name w:val="Comment Subject Char"/>
    <w:basedOn w:val="CommentTextChar"/>
    <w:link w:val="CommentSubject"/>
    <w:uiPriority w:val="99"/>
    <w:semiHidden/>
    <w:rsid w:val="00F52D6A"/>
    <w:rPr>
      <w:b/>
      <w:bCs/>
      <w:sz w:val="20"/>
      <w:szCs w:val="20"/>
    </w:rPr>
  </w:style>
  <w:style w:type="paragraph" w:styleId="BalloonText">
    <w:name w:val="Balloon Text"/>
    <w:basedOn w:val="Normal"/>
    <w:link w:val="BalloonTextChar"/>
    <w:uiPriority w:val="99"/>
    <w:semiHidden/>
    <w:unhideWhenUsed/>
    <w:rsid w:val="00F52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6A"/>
    <w:rPr>
      <w:rFonts w:ascii="Segoe UI" w:hAnsi="Segoe UI" w:cs="Segoe UI"/>
      <w:sz w:val="18"/>
      <w:szCs w:val="18"/>
    </w:rPr>
  </w:style>
  <w:style w:type="character" w:customStyle="1" w:styleId="Heading1Char">
    <w:name w:val="Heading 1 Char"/>
    <w:basedOn w:val="DefaultParagraphFont"/>
    <w:link w:val="Heading1"/>
    <w:uiPriority w:val="9"/>
    <w:rsid w:val="007C3A26"/>
    <w:rPr>
      <w:rFonts w:asciiTheme="majorHAnsi" w:eastAsiaTheme="majorEastAsia" w:hAnsiTheme="majorHAnsi" w:cstheme="majorBidi"/>
      <w:color w:val="365F91" w:themeColor="accent1" w:themeShade="BF"/>
      <w:sz w:val="32"/>
      <w:szCs w:val="32"/>
    </w:rPr>
  </w:style>
  <w:style w:type="paragraph" w:customStyle="1" w:styleId="Default">
    <w:name w:val="Default"/>
    <w:rsid w:val="00C17171"/>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94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489"/>
  </w:style>
  <w:style w:type="paragraph" w:styleId="Footer">
    <w:name w:val="footer"/>
    <w:basedOn w:val="Normal"/>
    <w:link w:val="FooterChar"/>
    <w:uiPriority w:val="99"/>
    <w:unhideWhenUsed/>
    <w:rsid w:val="0094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489"/>
  </w:style>
  <w:style w:type="paragraph" w:styleId="FootnoteText">
    <w:name w:val="footnote text"/>
    <w:basedOn w:val="Normal"/>
    <w:link w:val="FootnoteTextChar"/>
    <w:uiPriority w:val="99"/>
    <w:semiHidden/>
    <w:unhideWhenUsed/>
    <w:rsid w:val="009F5F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FBA"/>
    <w:rPr>
      <w:sz w:val="20"/>
      <w:szCs w:val="20"/>
    </w:rPr>
  </w:style>
  <w:style w:type="character" w:styleId="FootnoteReference">
    <w:name w:val="footnote reference"/>
    <w:basedOn w:val="DefaultParagraphFont"/>
    <w:uiPriority w:val="99"/>
    <w:semiHidden/>
    <w:unhideWhenUsed/>
    <w:rsid w:val="009F5FBA"/>
    <w:rPr>
      <w:vertAlign w:val="superscript"/>
    </w:rPr>
  </w:style>
  <w:style w:type="paragraph" w:styleId="NormalWeb">
    <w:name w:val="Normal (Web)"/>
    <w:basedOn w:val="Normal"/>
    <w:uiPriority w:val="99"/>
    <w:semiHidden/>
    <w:unhideWhenUsed/>
    <w:rsid w:val="000F3B45"/>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F4093"/>
    <w:pPr>
      <w:spacing w:before="480"/>
      <w:outlineLvl w:val="9"/>
    </w:pPr>
    <w:rPr>
      <w:b/>
      <w:bCs/>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3A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70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61A"/>
    <w:pPr>
      <w:ind w:left="720"/>
      <w:contextualSpacing/>
    </w:pPr>
  </w:style>
  <w:style w:type="character" w:customStyle="1" w:styleId="Heading2Char">
    <w:name w:val="Heading 2 Char"/>
    <w:basedOn w:val="DefaultParagraphFont"/>
    <w:link w:val="Heading2"/>
    <w:uiPriority w:val="9"/>
    <w:rsid w:val="007D70C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52D6A"/>
    <w:rPr>
      <w:sz w:val="16"/>
      <w:szCs w:val="16"/>
    </w:rPr>
  </w:style>
  <w:style w:type="paragraph" w:styleId="CommentText">
    <w:name w:val="annotation text"/>
    <w:basedOn w:val="Normal"/>
    <w:link w:val="CommentTextChar"/>
    <w:uiPriority w:val="99"/>
    <w:semiHidden/>
    <w:unhideWhenUsed/>
    <w:rsid w:val="00F52D6A"/>
    <w:pPr>
      <w:spacing w:line="240" w:lineRule="auto"/>
    </w:pPr>
    <w:rPr>
      <w:sz w:val="20"/>
      <w:szCs w:val="20"/>
    </w:rPr>
  </w:style>
  <w:style w:type="character" w:customStyle="1" w:styleId="CommentTextChar">
    <w:name w:val="Comment Text Char"/>
    <w:basedOn w:val="DefaultParagraphFont"/>
    <w:link w:val="CommentText"/>
    <w:uiPriority w:val="99"/>
    <w:semiHidden/>
    <w:rsid w:val="00F52D6A"/>
    <w:rPr>
      <w:sz w:val="20"/>
      <w:szCs w:val="20"/>
    </w:rPr>
  </w:style>
  <w:style w:type="paragraph" w:styleId="CommentSubject">
    <w:name w:val="annotation subject"/>
    <w:basedOn w:val="CommentText"/>
    <w:next w:val="CommentText"/>
    <w:link w:val="CommentSubjectChar"/>
    <w:uiPriority w:val="99"/>
    <w:semiHidden/>
    <w:unhideWhenUsed/>
    <w:rsid w:val="00F52D6A"/>
    <w:rPr>
      <w:b/>
      <w:bCs/>
    </w:rPr>
  </w:style>
  <w:style w:type="character" w:customStyle="1" w:styleId="CommentSubjectChar">
    <w:name w:val="Comment Subject Char"/>
    <w:basedOn w:val="CommentTextChar"/>
    <w:link w:val="CommentSubject"/>
    <w:uiPriority w:val="99"/>
    <w:semiHidden/>
    <w:rsid w:val="00F52D6A"/>
    <w:rPr>
      <w:b/>
      <w:bCs/>
      <w:sz w:val="20"/>
      <w:szCs w:val="20"/>
    </w:rPr>
  </w:style>
  <w:style w:type="paragraph" w:styleId="BalloonText">
    <w:name w:val="Balloon Text"/>
    <w:basedOn w:val="Normal"/>
    <w:link w:val="BalloonTextChar"/>
    <w:uiPriority w:val="99"/>
    <w:semiHidden/>
    <w:unhideWhenUsed/>
    <w:rsid w:val="00F52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D6A"/>
    <w:rPr>
      <w:rFonts w:ascii="Segoe UI" w:hAnsi="Segoe UI" w:cs="Segoe UI"/>
      <w:sz w:val="18"/>
      <w:szCs w:val="18"/>
    </w:rPr>
  </w:style>
  <w:style w:type="character" w:customStyle="1" w:styleId="Heading1Char">
    <w:name w:val="Heading 1 Char"/>
    <w:basedOn w:val="DefaultParagraphFont"/>
    <w:link w:val="Heading1"/>
    <w:uiPriority w:val="9"/>
    <w:rsid w:val="007C3A26"/>
    <w:rPr>
      <w:rFonts w:asciiTheme="majorHAnsi" w:eastAsiaTheme="majorEastAsia" w:hAnsiTheme="majorHAnsi" w:cstheme="majorBidi"/>
      <w:color w:val="365F91" w:themeColor="accent1" w:themeShade="BF"/>
      <w:sz w:val="32"/>
      <w:szCs w:val="32"/>
    </w:rPr>
  </w:style>
  <w:style w:type="paragraph" w:customStyle="1" w:styleId="Default">
    <w:name w:val="Default"/>
    <w:rsid w:val="00C17171"/>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94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489"/>
  </w:style>
  <w:style w:type="paragraph" w:styleId="Footer">
    <w:name w:val="footer"/>
    <w:basedOn w:val="Normal"/>
    <w:link w:val="FooterChar"/>
    <w:uiPriority w:val="99"/>
    <w:unhideWhenUsed/>
    <w:rsid w:val="0094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489"/>
  </w:style>
  <w:style w:type="paragraph" w:styleId="FootnoteText">
    <w:name w:val="footnote text"/>
    <w:basedOn w:val="Normal"/>
    <w:link w:val="FootnoteTextChar"/>
    <w:uiPriority w:val="99"/>
    <w:semiHidden/>
    <w:unhideWhenUsed/>
    <w:rsid w:val="009F5F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FBA"/>
    <w:rPr>
      <w:sz w:val="20"/>
      <w:szCs w:val="20"/>
    </w:rPr>
  </w:style>
  <w:style w:type="character" w:styleId="FootnoteReference">
    <w:name w:val="footnote reference"/>
    <w:basedOn w:val="DefaultParagraphFont"/>
    <w:uiPriority w:val="99"/>
    <w:semiHidden/>
    <w:unhideWhenUsed/>
    <w:rsid w:val="009F5FBA"/>
    <w:rPr>
      <w:vertAlign w:val="superscript"/>
    </w:rPr>
  </w:style>
  <w:style w:type="paragraph" w:styleId="NormalWeb">
    <w:name w:val="Normal (Web)"/>
    <w:basedOn w:val="Normal"/>
    <w:uiPriority w:val="99"/>
    <w:semiHidden/>
    <w:unhideWhenUsed/>
    <w:rsid w:val="000F3B45"/>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F4093"/>
    <w:pPr>
      <w:spacing w:before="480"/>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28928">
      <w:bodyDiv w:val="1"/>
      <w:marLeft w:val="0"/>
      <w:marRight w:val="0"/>
      <w:marTop w:val="0"/>
      <w:marBottom w:val="0"/>
      <w:divBdr>
        <w:top w:val="none" w:sz="0" w:space="0" w:color="auto"/>
        <w:left w:val="none" w:sz="0" w:space="0" w:color="auto"/>
        <w:bottom w:val="none" w:sz="0" w:space="0" w:color="auto"/>
        <w:right w:val="none" w:sz="0" w:space="0" w:color="auto"/>
      </w:divBdr>
    </w:div>
    <w:div w:id="944776246">
      <w:bodyDiv w:val="1"/>
      <w:marLeft w:val="0"/>
      <w:marRight w:val="0"/>
      <w:marTop w:val="0"/>
      <w:marBottom w:val="0"/>
      <w:divBdr>
        <w:top w:val="none" w:sz="0" w:space="0" w:color="auto"/>
        <w:left w:val="none" w:sz="0" w:space="0" w:color="auto"/>
        <w:bottom w:val="none" w:sz="0" w:space="0" w:color="auto"/>
        <w:right w:val="none" w:sz="0" w:space="0" w:color="auto"/>
      </w:divBdr>
    </w:div>
    <w:div w:id="15508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79A989-E7DD-476E-A8D2-6CDD8C808D7B}" type="doc">
      <dgm:prSet loTypeId="urn:microsoft.com/office/officeart/2005/8/layout/hierarchy6" loCatId="hierarchy" qsTypeId="urn:microsoft.com/office/officeart/2005/8/quickstyle/simple1" qsCatId="simple" csTypeId="urn:microsoft.com/office/officeart/2005/8/colors/colorful4" csCatId="colorful" phldr="1"/>
      <dgm:spPr/>
      <dgm:t>
        <a:bodyPr/>
        <a:lstStyle/>
        <a:p>
          <a:endParaRPr lang="en-US"/>
        </a:p>
      </dgm:t>
    </dgm:pt>
    <dgm:pt modelId="{A6C147CA-CE66-4F67-81E1-F41C58ACD7AF}">
      <dgm:prSet phldrT="[Text]" custT="1"/>
      <dgm:spPr/>
      <dgm:t>
        <a:bodyPr/>
        <a:lstStyle/>
        <a:p>
          <a:pPr>
            <a:spcBef>
              <a:spcPts val="600"/>
            </a:spcBef>
            <a:spcAft>
              <a:spcPts val="0"/>
            </a:spcAft>
          </a:pPr>
          <a:r>
            <a:rPr lang="en-US" sz="2000" b="1" dirty="0"/>
            <a:t>New AUW</a:t>
          </a:r>
        </a:p>
        <a:p>
          <a:pPr>
            <a:spcBef>
              <a:spcPct val="0"/>
            </a:spcBef>
            <a:spcAft>
              <a:spcPts val="0"/>
            </a:spcAft>
          </a:pPr>
          <a:r>
            <a:rPr lang="en-US" sz="2000" b="1" dirty="0"/>
            <a:t>Program</a:t>
          </a:r>
        </a:p>
      </dgm:t>
    </dgm:pt>
    <dgm:pt modelId="{759B13C6-1DBD-4F4F-A1E5-32BD5EC65385}" type="parTrans" cxnId="{34B0395C-39FE-4804-AC75-6CDFABCB7BCE}">
      <dgm:prSet/>
      <dgm:spPr/>
      <dgm:t>
        <a:bodyPr/>
        <a:lstStyle/>
        <a:p>
          <a:endParaRPr lang="en-US"/>
        </a:p>
      </dgm:t>
    </dgm:pt>
    <dgm:pt modelId="{80B074D9-8B22-4F91-850D-366EA0EFE483}" type="sibTrans" cxnId="{34B0395C-39FE-4804-AC75-6CDFABCB7BCE}">
      <dgm:prSet/>
      <dgm:spPr/>
      <dgm:t>
        <a:bodyPr/>
        <a:lstStyle/>
        <a:p>
          <a:endParaRPr lang="en-US"/>
        </a:p>
      </dgm:t>
    </dgm:pt>
    <dgm:pt modelId="{D58A4D58-2DFC-440B-99A0-DA4DACE9FC06}">
      <dgm:prSet phldrT="[Text]" custT="1"/>
      <dgm:spPr/>
      <dgm:t>
        <a:bodyPr/>
        <a:lstStyle/>
        <a:p>
          <a:pPr>
            <a:spcAft>
              <a:spcPts val="0"/>
            </a:spcAft>
          </a:pPr>
          <a:r>
            <a:rPr lang="en-US" sz="1400" b="1" dirty="0"/>
            <a:t>Does the AUW program qualify as an “expected incremental change”</a:t>
          </a:r>
        </a:p>
        <a:p>
          <a:pPr>
            <a:spcAft>
              <a:spcPts val="0"/>
            </a:spcAft>
          </a:pPr>
          <a:r>
            <a:rPr lang="en-US" sz="1400" b="1" dirty="0"/>
            <a:t>per VM-20 9.C.2.f?</a:t>
          </a:r>
        </a:p>
      </dgm:t>
    </dgm:pt>
    <dgm:pt modelId="{F98E89EA-5357-4425-B838-1ECF709377ED}" type="parTrans" cxnId="{5576961D-5F0A-4CA0-BC8F-C96EAB054E8E}">
      <dgm:prSet/>
      <dgm:spPr/>
      <dgm:t>
        <a:bodyPr/>
        <a:lstStyle/>
        <a:p>
          <a:endParaRPr lang="en-US"/>
        </a:p>
      </dgm:t>
    </dgm:pt>
    <dgm:pt modelId="{C6496C45-838B-41E1-A19F-8ED2656BFDD8}" type="sibTrans" cxnId="{5576961D-5F0A-4CA0-BC8F-C96EAB054E8E}">
      <dgm:prSet/>
      <dgm:spPr/>
      <dgm:t>
        <a:bodyPr/>
        <a:lstStyle/>
        <a:p>
          <a:endParaRPr lang="en-US"/>
        </a:p>
      </dgm:t>
    </dgm:pt>
    <dgm:pt modelId="{3E4F19AA-F091-4CFA-B958-F85CAF356E89}">
      <dgm:prSet phldrT="[Text]" custT="1"/>
      <dgm:spPr/>
      <dgm:t>
        <a:bodyPr/>
        <a:lstStyle/>
        <a:p>
          <a:pPr>
            <a:spcAft>
              <a:spcPts val="0"/>
            </a:spcAft>
          </a:pPr>
          <a:r>
            <a:rPr lang="en-US" sz="1000" dirty="0"/>
            <a:t>May group with traditional UW  inforce if complying  </a:t>
          </a:r>
        </a:p>
        <a:p>
          <a:pPr>
            <a:spcAft>
              <a:spcPts val="0"/>
            </a:spcAft>
          </a:pPr>
          <a:r>
            <a:rPr lang="en-US" sz="1000" dirty="0"/>
            <a:t>with VM-20 9.C.2.d</a:t>
          </a:r>
        </a:p>
        <a:p>
          <a:pPr>
            <a:spcAft>
              <a:spcPts val="0"/>
            </a:spcAft>
          </a:pPr>
          <a:r>
            <a:rPr lang="en-US" sz="1000" dirty="0"/>
            <a:t>and VM-20 9.C.4.b</a:t>
          </a:r>
        </a:p>
      </dgm:t>
    </dgm:pt>
    <dgm:pt modelId="{81820BE8-A28A-4ED3-9264-F14AE4B4B21B}" type="parTrans" cxnId="{EE647FFE-673E-48D3-9862-97B523E62F4F}">
      <dgm:prSet/>
      <dgm:spPr/>
      <dgm:t>
        <a:bodyPr/>
        <a:lstStyle/>
        <a:p>
          <a:endParaRPr lang="en-US"/>
        </a:p>
      </dgm:t>
    </dgm:pt>
    <dgm:pt modelId="{79DB656B-3E59-4795-B035-0117A2DB625F}" type="sibTrans" cxnId="{EE647FFE-673E-48D3-9862-97B523E62F4F}">
      <dgm:prSet/>
      <dgm:spPr/>
      <dgm:t>
        <a:bodyPr/>
        <a:lstStyle/>
        <a:p>
          <a:endParaRPr lang="en-US"/>
        </a:p>
      </dgm:t>
    </dgm:pt>
    <dgm:pt modelId="{5E1DD0E6-237D-4847-B28E-A6FF8F7A58A3}">
      <dgm:prSet phldrT="[Text]" custT="1"/>
      <dgm:spPr/>
      <dgm:t>
        <a:bodyPr/>
        <a:lstStyle/>
        <a:p>
          <a:r>
            <a:rPr lang="en-US" sz="1000"/>
            <a:t>Consider the adjustment noted in VM-20 9.C.2.f for grouping AUW with traditional UW</a:t>
          </a:r>
          <a:endParaRPr lang="en-US" sz="1000" dirty="0"/>
        </a:p>
      </dgm:t>
    </dgm:pt>
    <dgm:pt modelId="{E0B91A73-6437-44A8-8F7E-1BA70287790C}" type="parTrans" cxnId="{9F884A71-CFCF-426D-9EEB-80D9F4CCBBA3}">
      <dgm:prSet/>
      <dgm:spPr/>
      <dgm:t>
        <a:bodyPr/>
        <a:lstStyle/>
        <a:p>
          <a:endParaRPr lang="en-US"/>
        </a:p>
      </dgm:t>
    </dgm:pt>
    <dgm:pt modelId="{59A4B285-0CE2-499E-8323-D266F039F97F}" type="sibTrans" cxnId="{9F884A71-CFCF-426D-9EEB-80D9F4CCBBA3}">
      <dgm:prSet/>
      <dgm:spPr/>
      <dgm:t>
        <a:bodyPr/>
        <a:lstStyle/>
        <a:p>
          <a:endParaRPr lang="en-US"/>
        </a:p>
      </dgm:t>
    </dgm:pt>
    <dgm:pt modelId="{C82DAE8D-4BF3-4284-A715-4EB196E28026}">
      <dgm:prSet phldrT="[Text]" custT="1"/>
      <dgm:spPr/>
      <dgm:t>
        <a:bodyPr/>
        <a:lstStyle/>
        <a:p>
          <a:pPr>
            <a:spcAft>
              <a:spcPts val="0"/>
            </a:spcAft>
          </a:pPr>
          <a:r>
            <a:rPr lang="en-US" sz="1000" dirty="0"/>
            <a:t>For margins, consider VM-20 9.C.5.d given the grouping of AUW with traditional UW</a:t>
          </a:r>
        </a:p>
      </dgm:t>
    </dgm:pt>
    <dgm:pt modelId="{AE7AAADE-F494-4DC7-9002-703D0C9BCEE4}" type="parTrans" cxnId="{33879049-A4C4-44DC-B305-4C309B4F2E2C}">
      <dgm:prSet/>
      <dgm:spPr/>
      <dgm:t>
        <a:bodyPr/>
        <a:lstStyle/>
        <a:p>
          <a:endParaRPr lang="en-US"/>
        </a:p>
      </dgm:t>
    </dgm:pt>
    <dgm:pt modelId="{DD78130E-2E84-43D9-9F78-381BE89C27D2}" type="sibTrans" cxnId="{33879049-A4C4-44DC-B305-4C309B4F2E2C}">
      <dgm:prSet/>
      <dgm:spPr/>
      <dgm:t>
        <a:bodyPr/>
        <a:lstStyle/>
        <a:p>
          <a:endParaRPr lang="en-US"/>
        </a:p>
      </dgm:t>
    </dgm:pt>
    <dgm:pt modelId="{4F717CFE-B271-4B3A-A3CC-BFD9C935772A}">
      <dgm:prSet phldrT="[Text]" custT="1"/>
      <dgm:spPr/>
      <dgm:t>
        <a:bodyPr/>
        <a:lstStyle/>
        <a:p>
          <a:r>
            <a:rPr lang="en-US" sz="1200" b="1" dirty="0"/>
            <a:t>Yes, does qualify</a:t>
          </a:r>
        </a:p>
      </dgm:t>
    </dgm:pt>
    <dgm:pt modelId="{CBA967D5-DB34-419D-A35A-A1DDEA625D33}" type="parTrans" cxnId="{7774A975-ACF1-4AEE-B99E-4AB221688850}">
      <dgm:prSet/>
      <dgm:spPr/>
      <dgm:t>
        <a:bodyPr/>
        <a:lstStyle/>
        <a:p>
          <a:endParaRPr lang="en-US"/>
        </a:p>
      </dgm:t>
    </dgm:pt>
    <dgm:pt modelId="{338A376F-CC5F-4EC1-94FE-57E59246866F}" type="sibTrans" cxnId="{7774A975-ACF1-4AEE-B99E-4AB221688850}">
      <dgm:prSet/>
      <dgm:spPr/>
      <dgm:t>
        <a:bodyPr/>
        <a:lstStyle/>
        <a:p>
          <a:endParaRPr lang="en-US"/>
        </a:p>
      </dgm:t>
    </dgm:pt>
    <dgm:pt modelId="{A009FB0C-BD20-4B72-8871-8EDE044F7BB8}">
      <dgm:prSet phldrT="[Text]" custT="1"/>
      <dgm:spPr/>
      <dgm:t>
        <a:bodyPr/>
        <a:lstStyle/>
        <a:p>
          <a:r>
            <a:rPr lang="en-US" sz="1200" b="1" dirty="0"/>
            <a:t>No, does not qualify</a:t>
          </a:r>
        </a:p>
      </dgm:t>
    </dgm:pt>
    <dgm:pt modelId="{EAA6EC59-3C9F-4D20-8166-A54E21663B53}" type="parTrans" cxnId="{7A03E411-017B-43A4-B7A1-40D2416294D4}">
      <dgm:prSet/>
      <dgm:spPr/>
      <dgm:t>
        <a:bodyPr/>
        <a:lstStyle/>
        <a:p>
          <a:endParaRPr lang="en-US"/>
        </a:p>
      </dgm:t>
    </dgm:pt>
    <dgm:pt modelId="{4BE99A3E-1589-44DB-BF8D-3731B0193D28}" type="sibTrans" cxnId="{7A03E411-017B-43A4-B7A1-40D2416294D4}">
      <dgm:prSet/>
      <dgm:spPr/>
      <dgm:t>
        <a:bodyPr/>
        <a:lstStyle/>
        <a:p>
          <a:endParaRPr lang="en-US"/>
        </a:p>
      </dgm:t>
    </dgm:pt>
    <dgm:pt modelId="{AFCB727B-131A-4F9E-AB16-C821408EC843}">
      <dgm:prSet phldrT="[Text]" custT="1"/>
      <dgm:spPr/>
      <dgm:t>
        <a:bodyPr/>
        <a:lstStyle/>
        <a:p>
          <a:r>
            <a:rPr lang="en-US" sz="1000" dirty="0"/>
            <a:t>Develop VM-20 Mortality Prudent Estimate beginning with VM-20 9.C.1.a for AUW policies</a:t>
          </a:r>
        </a:p>
      </dgm:t>
    </dgm:pt>
    <dgm:pt modelId="{A94047F6-2385-4FD3-9D97-E32A278CC148}" type="parTrans" cxnId="{A29E9AE2-B950-4BA0-9AF0-8C7D9DCF8A01}">
      <dgm:prSet/>
      <dgm:spPr/>
      <dgm:t>
        <a:bodyPr/>
        <a:lstStyle/>
        <a:p>
          <a:endParaRPr lang="en-US"/>
        </a:p>
      </dgm:t>
    </dgm:pt>
    <dgm:pt modelId="{AA7A1075-8736-4E24-B275-568243D9E6E1}" type="sibTrans" cxnId="{A29E9AE2-B950-4BA0-9AF0-8C7D9DCF8A01}">
      <dgm:prSet/>
      <dgm:spPr/>
      <dgm:t>
        <a:bodyPr/>
        <a:lstStyle/>
        <a:p>
          <a:endParaRPr lang="en-US"/>
        </a:p>
      </dgm:t>
    </dgm:pt>
    <dgm:pt modelId="{3D69D11E-C8F2-42F3-A38A-3794B332BC31}">
      <dgm:prSet phldrT="[Text]" custT="1"/>
      <dgm:spPr/>
      <dgm:t>
        <a:bodyPr/>
        <a:lstStyle/>
        <a:p>
          <a:r>
            <a:rPr lang="en-US" sz="1000" dirty="0"/>
            <a:t>Do not group AUW policy experience  with traditional UW  inforce experience</a:t>
          </a:r>
        </a:p>
      </dgm:t>
    </dgm:pt>
    <dgm:pt modelId="{9356D727-B813-4DE2-821A-CDB602E7AC9E}" type="parTrans" cxnId="{330DF4E2-42D2-4327-9F18-0D47B4AA8923}">
      <dgm:prSet/>
      <dgm:spPr/>
      <dgm:t>
        <a:bodyPr/>
        <a:lstStyle/>
        <a:p>
          <a:endParaRPr lang="en-US"/>
        </a:p>
      </dgm:t>
    </dgm:pt>
    <dgm:pt modelId="{D73A6D03-CD4D-4759-9AB3-4E170C72F6BF}" type="sibTrans" cxnId="{330DF4E2-42D2-4327-9F18-0D47B4AA8923}">
      <dgm:prSet/>
      <dgm:spPr/>
      <dgm:t>
        <a:bodyPr/>
        <a:lstStyle/>
        <a:p>
          <a:endParaRPr lang="en-US"/>
        </a:p>
      </dgm:t>
    </dgm:pt>
    <dgm:pt modelId="{9891E697-44B2-4237-BD55-00BDAAF8A1BD}" type="pres">
      <dgm:prSet presAssocID="{4679A989-E7DD-476E-A8D2-6CDD8C808D7B}" presName="mainComposite" presStyleCnt="0">
        <dgm:presLayoutVars>
          <dgm:chPref val="1"/>
          <dgm:dir/>
          <dgm:animOne val="branch"/>
          <dgm:animLvl val="lvl"/>
          <dgm:resizeHandles val="exact"/>
        </dgm:presLayoutVars>
      </dgm:prSet>
      <dgm:spPr/>
      <dgm:t>
        <a:bodyPr/>
        <a:lstStyle/>
        <a:p>
          <a:endParaRPr lang="en-US"/>
        </a:p>
      </dgm:t>
    </dgm:pt>
    <dgm:pt modelId="{6A11C9FD-0FE9-4E07-ACFF-86A11529532C}" type="pres">
      <dgm:prSet presAssocID="{4679A989-E7DD-476E-A8D2-6CDD8C808D7B}" presName="hierFlow" presStyleCnt="0"/>
      <dgm:spPr/>
    </dgm:pt>
    <dgm:pt modelId="{9806A25B-04F8-4EC1-94A1-528F859DAA8D}" type="pres">
      <dgm:prSet presAssocID="{4679A989-E7DD-476E-A8D2-6CDD8C808D7B}" presName="hierChild1" presStyleCnt="0">
        <dgm:presLayoutVars>
          <dgm:chPref val="1"/>
          <dgm:animOne val="branch"/>
          <dgm:animLvl val="lvl"/>
        </dgm:presLayoutVars>
      </dgm:prSet>
      <dgm:spPr/>
    </dgm:pt>
    <dgm:pt modelId="{5962334A-8FC9-4413-9C0A-693F9DAFA796}" type="pres">
      <dgm:prSet presAssocID="{A6C147CA-CE66-4F67-81E1-F41C58ACD7AF}" presName="Name14" presStyleCnt="0"/>
      <dgm:spPr/>
    </dgm:pt>
    <dgm:pt modelId="{908A07A5-322E-4211-B8C1-B2A15DA1402C}" type="pres">
      <dgm:prSet presAssocID="{A6C147CA-CE66-4F67-81E1-F41C58ACD7AF}" presName="level1Shape" presStyleLbl="node0" presStyleIdx="0" presStyleCnt="1" custScaleX="133265" custScaleY="135571">
        <dgm:presLayoutVars>
          <dgm:chPref val="3"/>
        </dgm:presLayoutVars>
      </dgm:prSet>
      <dgm:spPr/>
      <dgm:t>
        <a:bodyPr/>
        <a:lstStyle/>
        <a:p>
          <a:endParaRPr lang="en-US"/>
        </a:p>
      </dgm:t>
    </dgm:pt>
    <dgm:pt modelId="{9DE9682F-19ED-4EB4-9A7D-C2559C74BF52}" type="pres">
      <dgm:prSet presAssocID="{A6C147CA-CE66-4F67-81E1-F41C58ACD7AF}" presName="hierChild2" presStyleCnt="0"/>
      <dgm:spPr/>
    </dgm:pt>
    <dgm:pt modelId="{2B574F13-BFC3-4035-8557-DE51953DA372}" type="pres">
      <dgm:prSet presAssocID="{F98E89EA-5357-4425-B838-1ECF709377ED}" presName="Name19" presStyleLbl="parChTrans1D2" presStyleIdx="0" presStyleCnt="1"/>
      <dgm:spPr/>
      <dgm:t>
        <a:bodyPr/>
        <a:lstStyle/>
        <a:p>
          <a:endParaRPr lang="en-US"/>
        </a:p>
      </dgm:t>
    </dgm:pt>
    <dgm:pt modelId="{0B971526-1641-4D6F-B4DA-0A5F4A855A29}" type="pres">
      <dgm:prSet presAssocID="{D58A4D58-2DFC-440B-99A0-DA4DACE9FC06}" presName="Name21" presStyleCnt="0"/>
      <dgm:spPr/>
    </dgm:pt>
    <dgm:pt modelId="{E64D44FD-9C02-4C03-8565-54BC98863A3A}" type="pres">
      <dgm:prSet presAssocID="{D58A4D58-2DFC-440B-99A0-DA4DACE9FC06}" presName="level2Shape" presStyleLbl="node2" presStyleIdx="0" presStyleCnt="1" custScaleX="200989" custScaleY="151580"/>
      <dgm:spPr/>
      <dgm:t>
        <a:bodyPr/>
        <a:lstStyle/>
        <a:p>
          <a:endParaRPr lang="en-US"/>
        </a:p>
      </dgm:t>
    </dgm:pt>
    <dgm:pt modelId="{381C4B0B-67D0-4BA0-8C9A-7086EF80A3C3}" type="pres">
      <dgm:prSet presAssocID="{D58A4D58-2DFC-440B-99A0-DA4DACE9FC06}" presName="hierChild3" presStyleCnt="0"/>
      <dgm:spPr/>
    </dgm:pt>
    <dgm:pt modelId="{AF814ED7-0A01-4247-A275-8D27D57AC65E}" type="pres">
      <dgm:prSet presAssocID="{CBA967D5-DB34-419D-A35A-A1DDEA625D33}" presName="Name19" presStyleLbl="parChTrans1D3" presStyleIdx="0" presStyleCnt="2"/>
      <dgm:spPr/>
      <dgm:t>
        <a:bodyPr/>
        <a:lstStyle/>
        <a:p>
          <a:endParaRPr lang="en-US"/>
        </a:p>
      </dgm:t>
    </dgm:pt>
    <dgm:pt modelId="{9873CC43-C579-421B-868E-5CD042609B8A}" type="pres">
      <dgm:prSet presAssocID="{4F717CFE-B271-4B3A-A3CC-BFD9C935772A}" presName="Name21" presStyleCnt="0"/>
      <dgm:spPr/>
    </dgm:pt>
    <dgm:pt modelId="{63015DEF-1472-40F0-B0BD-C02E793C96D0}" type="pres">
      <dgm:prSet presAssocID="{4F717CFE-B271-4B3A-A3CC-BFD9C935772A}" presName="level2Shape" presStyleLbl="node3" presStyleIdx="0" presStyleCnt="2"/>
      <dgm:spPr/>
      <dgm:t>
        <a:bodyPr/>
        <a:lstStyle/>
        <a:p>
          <a:endParaRPr lang="en-US"/>
        </a:p>
      </dgm:t>
    </dgm:pt>
    <dgm:pt modelId="{050D3865-C99E-4B1C-89DF-549B750AFD35}" type="pres">
      <dgm:prSet presAssocID="{4F717CFE-B271-4B3A-A3CC-BFD9C935772A}" presName="hierChild3" presStyleCnt="0"/>
      <dgm:spPr/>
    </dgm:pt>
    <dgm:pt modelId="{1CB9E3AE-1650-4CCF-A6D4-CAE419C30E81}" type="pres">
      <dgm:prSet presAssocID="{81820BE8-A28A-4ED3-9264-F14AE4B4B21B}" presName="Name19" presStyleLbl="parChTrans1D4" presStyleIdx="0" presStyleCnt="5"/>
      <dgm:spPr/>
      <dgm:t>
        <a:bodyPr/>
        <a:lstStyle/>
        <a:p>
          <a:endParaRPr lang="en-US"/>
        </a:p>
      </dgm:t>
    </dgm:pt>
    <dgm:pt modelId="{937DA4B4-4785-48C3-9791-CB5C8B50350C}" type="pres">
      <dgm:prSet presAssocID="{3E4F19AA-F091-4CFA-B958-F85CAF356E89}" presName="Name21" presStyleCnt="0"/>
      <dgm:spPr/>
    </dgm:pt>
    <dgm:pt modelId="{539ABFAA-FA7B-419D-902B-3514F8657A01}" type="pres">
      <dgm:prSet presAssocID="{3E4F19AA-F091-4CFA-B958-F85CAF356E89}" presName="level2Shape" presStyleLbl="node4" presStyleIdx="0" presStyleCnt="5"/>
      <dgm:spPr/>
      <dgm:t>
        <a:bodyPr/>
        <a:lstStyle/>
        <a:p>
          <a:endParaRPr lang="en-US"/>
        </a:p>
      </dgm:t>
    </dgm:pt>
    <dgm:pt modelId="{2B0F9850-AEFF-4BEF-AC4C-E5732BD0A301}" type="pres">
      <dgm:prSet presAssocID="{3E4F19AA-F091-4CFA-B958-F85CAF356E89}" presName="hierChild3" presStyleCnt="0"/>
      <dgm:spPr/>
    </dgm:pt>
    <dgm:pt modelId="{0D556B0D-7497-4057-AA53-EC8883A115ED}" type="pres">
      <dgm:prSet presAssocID="{E0B91A73-6437-44A8-8F7E-1BA70287790C}" presName="Name19" presStyleLbl="parChTrans1D4" presStyleIdx="1" presStyleCnt="5"/>
      <dgm:spPr/>
      <dgm:t>
        <a:bodyPr/>
        <a:lstStyle/>
        <a:p>
          <a:endParaRPr lang="en-US"/>
        </a:p>
      </dgm:t>
    </dgm:pt>
    <dgm:pt modelId="{2E629C5A-2C8D-4CB8-937B-1ACC6A548327}" type="pres">
      <dgm:prSet presAssocID="{5E1DD0E6-237D-4847-B28E-A6FF8F7A58A3}" presName="Name21" presStyleCnt="0"/>
      <dgm:spPr/>
    </dgm:pt>
    <dgm:pt modelId="{B26512C6-01E0-45F9-8BC8-B5E56112E1AF}" type="pres">
      <dgm:prSet presAssocID="{5E1DD0E6-237D-4847-B28E-A6FF8F7A58A3}" presName="level2Shape" presStyleLbl="node4" presStyleIdx="1" presStyleCnt="5"/>
      <dgm:spPr/>
      <dgm:t>
        <a:bodyPr/>
        <a:lstStyle/>
        <a:p>
          <a:endParaRPr lang="en-US"/>
        </a:p>
      </dgm:t>
    </dgm:pt>
    <dgm:pt modelId="{E2854730-9786-4BCE-ABC3-B1F09A4EEEFF}" type="pres">
      <dgm:prSet presAssocID="{5E1DD0E6-237D-4847-B28E-A6FF8F7A58A3}" presName="hierChild3" presStyleCnt="0"/>
      <dgm:spPr/>
    </dgm:pt>
    <dgm:pt modelId="{9E273164-988B-43BC-BDB0-58269D0C5B4A}" type="pres">
      <dgm:prSet presAssocID="{AE7AAADE-F494-4DC7-9002-703D0C9BCEE4}" presName="Name19" presStyleLbl="parChTrans1D4" presStyleIdx="2" presStyleCnt="5"/>
      <dgm:spPr/>
      <dgm:t>
        <a:bodyPr/>
        <a:lstStyle/>
        <a:p>
          <a:endParaRPr lang="en-US"/>
        </a:p>
      </dgm:t>
    </dgm:pt>
    <dgm:pt modelId="{A557B711-C1EA-45B4-A533-4979D43A1EAF}" type="pres">
      <dgm:prSet presAssocID="{C82DAE8D-4BF3-4284-A715-4EB196E28026}" presName="Name21" presStyleCnt="0"/>
      <dgm:spPr/>
    </dgm:pt>
    <dgm:pt modelId="{6F0BD8E4-47C5-4BF6-9F92-ADB554D82E12}" type="pres">
      <dgm:prSet presAssocID="{C82DAE8D-4BF3-4284-A715-4EB196E28026}" presName="level2Shape" presStyleLbl="node4" presStyleIdx="2" presStyleCnt="5"/>
      <dgm:spPr/>
      <dgm:t>
        <a:bodyPr/>
        <a:lstStyle/>
        <a:p>
          <a:endParaRPr lang="en-US"/>
        </a:p>
      </dgm:t>
    </dgm:pt>
    <dgm:pt modelId="{B0E6C45B-EE22-43E2-AC48-BCCCB9E1C807}" type="pres">
      <dgm:prSet presAssocID="{C82DAE8D-4BF3-4284-A715-4EB196E28026}" presName="hierChild3" presStyleCnt="0"/>
      <dgm:spPr/>
    </dgm:pt>
    <dgm:pt modelId="{55E73A97-78E7-429F-B43D-31873F046732}" type="pres">
      <dgm:prSet presAssocID="{EAA6EC59-3C9F-4D20-8166-A54E21663B53}" presName="Name19" presStyleLbl="parChTrans1D3" presStyleIdx="1" presStyleCnt="2"/>
      <dgm:spPr/>
      <dgm:t>
        <a:bodyPr/>
        <a:lstStyle/>
        <a:p>
          <a:endParaRPr lang="en-US"/>
        </a:p>
      </dgm:t>
    </dgm:pt>
    <dgm:pt modelId="{D04AB6C4-25A3-47CF-B25E-12D6147C73E3}" type="pres">
      <dgm:prSet presAssocID="{A009FB0C-BD20-4B72-8871-8EDE044F7BB8}" presName="Name21" presStyleCnt="0"/>
      <dgm:spPr/>
    </dgm:pt>
    <dgm:pt modelId="{2DF95B85-252D-4F98-813B-BC2B944230A9}" type="pres">
      <dgm:prSet presAssocID="{A009FB0C-BD20-4B72-8871-8EDE044F7BB8}" presName="level2Shape" presStyleLbl="node3" presStyleIdx="1" presStyleCnt="2"/>
      <dgm:spPr/>
      <dgm:t>
        <a:bodyPr/>
        <a:lstStyle/>
        <a:p>
          <a:endParaRPr lang="en-US"/>
        </a:p>
      </dgm:t>
    </dgm:pt>
    <dgm:pt modelId="{888027FF-CC1D-42AD-8F53-A4B7B535155D}" type="pres">
      <dgm:prSet presAssocID="{A009FB0C-BD20-4B72-8871-8EDE044F7BB8}" presName="hierChild3" presStyleCnt="0"/>
      <dgm:spPr/>
    </dgm:pt>
    <dgm:pt modelId="{A1021168-B652-41AC-A6D6-A5D5B4474150}" type="pres">
      <dgm:prSet presAssocID="{A94047F6-2385-4FD3-9D97-E32A278CC148}" presName="Name19" presStyleLbl="parChTrans1D4" presStyleIdx="3" presStyleCnt="5"/>
      <dgm:spPr/>
      <dgm:t>
        <a:bodyPr/>
        <a:lstStyle/>
        <a:p>
          <a:endParaRPr lang="en-US"/>
        </a:p>
      </dgm:t>
    </dgm:pt>
    <dgm:pt modelId="{A78DF014-A141-4208-BFEB-E72FB7B23830}" type="pres">
      <dgm:prSet presAssocID="{AFCB727B-131A-4F9E-AB16-C821408EC843}" presName="Name21" presStyleCnt="0"/>
      <dgm:spPr/>
    </dgm:pt>
    <dgm:pt modelId="{A1262F0E-232F-41C8-A3F2-735493C6CCD9}" type="pres">
      <dgm:prSet presAssocID="{AFCB727B-131A-4F9E-AB16-C821408EC843}" presName="level2Shape" presStyleLbl="node4" presStyleIdx="3" presStyleCnt="5"/>
      <dgm:spPr/>
      <dgm:t>
        <a:bodyPr/>
        <a:lstStyle/>
        <a:p>
          <a:endParaRPr lang="en-US"/>
        </a:p>
      </dgm:t>
    </dgm:pt>
    <dgm:pt modelId="{0C6BE708-1334-4A3B-8C82-FE4A958B484F}" type="pres">
      <dgm:prSet presAssocID="{AFCB727B-131A-4F9E-AB16-C821408EC843}" presName="hierChild3" presStyleCnt="0"/>
      <dgm:spPr/>
    </dgm:pt>
    <dgm:pt modelId="{0A9C2DC0-C05E-462B-AA17-05BED449D591}" type="pres">
      <dgm:prSet presAssocID="{9356D727-B813-4DE2-821A-CDB602E7AC9E}" presName="Name19" presStyleLbl="parChTrans1D4" presStyleIdx="4" presStyleCnt="5"/>
      <dgm:spPr/>
      <dgm:t>
        <a:bodyPr/>
        <a:lstStyle/>
        <a:p>
          <a:endParaRPr lang="en-US"/>
        </a:p>
      </dgm:t>
    </dgm:pt>
    <dgm:pt modelId="{490DDAAF-BFFA-4A1B-9646-9F8474E3C813}" type="pres">
      <dgm:prSet presAssocID="{3D69D11E-C8F2-42F3-A38A-3794B332BC31}" presName="Name21" presStyleCnt="0"/>
      <dgm:spPr/>
    </dgm:pt>
    <dgm:pt modelId="{024969A2-CE25-4680-B906-3AB2F85FF18D}" type="pres">
      <dgm:prSet presAssocID="{3D69D11E-C8F2-42F3-A38A-3794B332BC31}" presName="level2Shape" presStyleLbl="node4" presStyleIdx="4" presStyleCnt="5"/>
      <dgm:spPr/>
      <dgm:t>
        <a:bodyPr/>
        <a:lstStyle/>
        <a:p>
          <a:endParaRPr lang="en-US"/>
        </a:p>
      </dgm:t>
    </dgm:pt>
    <dgm:pt modelId="{CB4C0639-CE43-4726-A233-D119A8FC3FA3}" type="pres">
      <dgm:prSet presAssocID="{3D69D11E-C8F2-42F3-A38A-3794B332BC31}" presName="hierChild3" presStyleCnt="0"/>
      <dgm:spPr/>
    </dgm:pt>
    <dgm:pt modelId="{6C38C22F-D6D4-4BE3-A77D-FDF713DA338B}" type="pres">
      <dgm:prSet presAssocID="{4679A989-E7DD-476E-A8D2-6CDD8C808D7B}" presName="bgShapesFlow" presStyleCnt="0"/>
      <dgm:spPr/>
    </dgm:pt>
  </dgm:ptLst>
  <dgm:cxnLst>
    <dgm:cxn modelId="{0A573D9F-70C3-4902-842A-1F74622CC358}" type="presOf" srcId="{E0B91A73-6437-44A8-8F7E-1BA70287790C}" destId="{0D556B0D-7497-4057-AA53-EC8883A115ED}" srcOrd="0" destOrd="0" presId="urn:microsoft.com/office/officeart/2005/8/layout/hierarchy6"/>
    <dgm:cxn modelId="{9F884A71-CFCF-426D-9EEB-80D9F4CCBBA3}" srcId="{4F717CFE-B271-4B3A-A3CC-BFD9C935772A}" destId="{5E1DD0E6-237D-4847-B28E-A6FF8F7A58A3}" srcOrd="1" destOrd="0" parTransId="{E0B91A73-6437-44A8-8F7E-1BA70287790C}" sibTransId="{59A4B285-0CE2-499E-8323-D266F039F97F}"/>
    <dgm:cxn modelId="{9EF1536F-8F1F-40D5-94CD-FDF16F3F76E7}" type="presOf" srcId="{D58A4D58-2DFC-440B-99A0-DA4DACE9FC06}" destId="{E64D44FD-9C02-4C03-8565-54BC98863A3A}" srcOrd="0" destOrd="0" presId="urn:microsoft.com/office/officeart/2005/8/layout/hierarchy6"/>
    <dgm:cxn modelId="{7A03E411-017B-43A4-B7A1-40D2416294D4}" srcId="{D58A4D58-2DFC-440B-99A0-DA4DACE9FC06}" destId="{A009FB0C-BD20-4B72-8871-8EDE044F7BB8}" srcOrd="1" destOrd="0" parTransId="{EAA6EC59-3C9F-4D20-8166-A54E21663B53}" sibTransId="{4BE99A3E-1589-44DB-BF8D-3731B0193D28}"/>
    <dgm:cxn modelId="{7774A975-ACF1-4AEE-B99E-4AB221688850}" srcId="{D58A4D58-2DFC-440B-99A0-DA4DACE9FC06}" destId="{4F717CFE-B271-4B3A-A3CC-BFD9C935772A}" srcOrd="0" destOrd="0" parTransId="{CBA967D5-DB34-419D-A35A-A1DDEA625D33}" sibTransId="{338A376F-CC5F-4EC1-94FE-57E59246866F}"/>
    <dgm:cxn modelId="{EE647FFE-673E-48D3-9862-97B523E62F4F}" srcId="{4F717CFE-B271-4B3A-A3CC-BFD9C935772A}" destId="{3E4F19AA-F091-4CFA-B958-F85CAF356E89}" srcOrd="0" destOrd="0" parTransId="{81820BE8-A28A-4ED3-9264-F14AE4B4B21B}" sibTransId="{79DB656B-3E59-4795-B035-0117A2DB625F}"/>
    <dgm:cxn modelId="{330DF4E2-42D2-4327-9F18-0D47B4AA8923}" srcId="{A009FB0C-BD20-4B72-8871-8EDE044F7BB8}" destId="{3D69D11E-C8F2-42F3-A38A-3794B332BC31}" srcOrd="1" destOrd="0" parTransId="{9356D727-B813-4DE2-821A-CDB602E7AC9E}" sibTransId="{D73A6D03-CD4D-4759-9AB3-4E170C72F6BF}"/>
    <dgm:cxn modelId="{06D94139-6D8C-4BC1-8311-34D746659758}" type="presOf" srcId="{3E4F19AA-F091-4CFA-B958-F85CAF356E89}" destId="{539ABFAA-FA7B-419D-902B-3514F8657A01}" srcOrd="0" destOrd="0" presId="urn:microsoft.com/office/officeart/2005/8/layout/hierarchy6"/>
    <dgm:cxn modelId="{5E7166D0-BDC0-4452-A380-78839D5C0191}" type="presOf" srcId="{AFCB727B-131A-4F9E-AB16-C821408EC843}" destId="{A1262F0E-232F-41C8-A3F2-735493C6CCD9}" srcOrd="0" destOrd="0" presId="urn:microsoft.com/office/officeart/2005/8/layout/hierarchy6"/>
    <dgm:cxn modelId="{F933C25A-9482-45D6-81DD-7F8862754464}" type="presOf" srcId="{EAA6EC59-3C9F-4D20-8166-A54E21663B53}" destId="{55E73A97-78E7-429F-B43D-31873F046732}" srcOrd="0" destOrd="0" presId="urn:microsoft.com/office/officeart/2005/8/layout/hierarchy6"/>
    <dgm:cxn modelId="{80F4E537-6562-4BD2-A9C0-ACC60494FD80}" type="presOf" srcId="{C82DAE8D-4BF3-4284-A715-4EB196E28026}" destId="{6F0BD8E4-47C5-4BF6-9F92-ADB554D82E12}" srcOrd="0" destOrd="0" presId="urn:microsoft.com/office/officeart/2005/8/layout/hierarchy6"/>
    <dgm:cxn modelId="{2EC3A7B0-4661-4A91-BD18-59CB0D5657CE}" type="presOf" srcId="{F98E89EA-5357-4425-B838-1ECF709377ED}" destId="{2B574F13-BFC3-4035-8557-DE51953DA372}" srcOrd="0" destOrd="0" presId="urn:microsoft.com/office/officeart/2005/8/layout/hierarchy6"/>
    <dgm:cxn modelId="{A29E9AE2-B950-4BA0-9AF0-8C7D9DCF8A01}" srcId="{A009FB0C-BD20-4B72-8871-8EDE044F7BB8}" destId="{AFCB727B-131A-4F9E-AB16-C821408EC843}" srcOrd="0" destOrd="0" parTransId="{A94047F6-2385-4FD3-9D97-E32A278CC148}" sibTransId="{AA7A1075-8736-4E24-B275-568243D9E6E1}"/>
    <dgm:cxn modelId="{AB06CA9E-5A2A-4C38-9611-0C15002A4F8F}" type="presOf" srcId="{A94047F6-2385-4FD3-9D97-E32A278CC148}" destId="{A1021168-B652-41AC-A6D6-A5D5B4474150}" srcOrd="0" destOrd="0" presId="urn:microsoft.com/office/officeart/2005/8/layout/hierarchy6"/>
    <dgm:cxn modelId="{DAE56AFE-56BC-45F6-8F88-BCF66D0A1C67}" type="presOf" srcId="{CBA967D5-DB34-419D-A35A-A1DDEA625D33}" destId="{AF814ED7-0A01-4247-A275-8D27D57AC65E}" srcOrd="0" destOrd="0" presId="urn:microsoft.com/office/officeart/2005/8/layout/hierarchy6"/>
    <dgm:cxn modelId="{F4EE61AC-22F6-473D-88E8-F60093B7ECC0}" type="presOf" srcId="{5E1DD0E6-237D-4847-B28E-A6FF8F7A58A3}" destId="{B26512C6-01E0-45F9-8BC8-B5E56112E1AF}" srcOrd="0" destOrd="0" presId="urn:microsoft.com/office/officeart/2005/8/layout/hierarchy6"/>
    <dgm:cxn modelId="{33879049-A4C4-44DC-B305-4C309B4F2E2C}" srcId="{4F717CFE-B271-4B3A-A3CC-BFD9C935772A}" destId="{C82DAE8D-4BF3-4284-A715-4EB196E28026}" srcOrd="2" destOrd="0" parTransId="{AE7AAADE-F494-4DC7-9002-703D0C9BCEE4}" sibTransId="{DD78130E-2E84-43D9-9F78-381BE89C27D2}"/>
    <dgm:cxn modelId="{D213E9E0-ABF8-4590-A777-4FB0791F9281}" type="presOf" srcId="{3D69D11E-C8F2-42F3-A38A-3794B332BC31}" destId="{024969A2-CE25-4680-B906-3AB2F85FF18D}" srcOrd="0" destOrd="0" presId="urn:microsoft.com/office/officeart/2005/8/layout/hierarchy6"/>
    <dgm:cxn modelId="{D5794B94-1C57-42E7-9C09-5F93CF281A28}" type="presOf" srcId="{AE7AAADE-F494-4DC7-9002-703D0C9BCEE4}" destId="{9E273164-988B-43BC-BDB0-58269D0C5B4A}" srcOrd="0" destOrd="0" presId="urn:microsoft.com/office/officeart/2005/8/layout/hierarchy6"/>
    <dgm:cxn modelId="{5576961D-5F0A-4CA0-BC8F-C96EAB054E8E}" srcId="{A6C147CA-CE66-4F67-81E1-F41C58ACD7AF}" destId="{D58A4D58-2DFC-440B-99A0-DA4DACE9FC06}" srcOrd="0" destOrd="0" parTransId="{F98E89EA-5357-4425-B838-1ECF709377ED}" sibTransId="{C6496C45-838B-41E1-A19F-8ED2656BFDD8}"/>
    <dgm:cxn modelId="{A5824ABA-0E77-4E41-8665-CD7E8325318A}" type="presOf" srcId="{4679A989-E7DD-476E-A8D2-6CDD8C808D7B}" destId="{9891E697-44B2-4237-BD55-00BDAAF8A1BD}" srcOrd="0" destOrd="0" presId="urn:microsoft.com/office/officeart/2005/8/layout/hierarchy6"/>
    <dgm:cxn modelId="{34B0395C-39FE-4804-AC75-6CDFABCB7BCE}" srcId="{4679A989-E7DD-476E-A8D2-6CDD8C808D7B}" destId="{A6C147CA-CE66-4F67-81E1-F41C58ACD7AF}" srcOrd="0" destOrd="0" parTransId="{759B13C6-1DBD-4F4F-A1E5-32BD5EC65385}" sibTransId="{80B074D9-8B22-4F91-850D-366EA0EFE483}"/>
    <dgm:cxn modelId="{CA1BB660-2099-4F78-A0AD-2A9ED6D4B9D2}" type="presOf" srcId="{81820BE8-A28A-4ED3-9264-F14AE4B4B21B}" destId="{1CB9E3AE-1650-4CCF-A6D4-CAE419C30E81}" srcOrd="0" destOrd="0" presId="urn:microsoft.com/office/officeart/2005/8/layout/hierarchy6"/>
    <dgm:cxn modelId="{E82373E7-135A-4375-845B-98F6435986F7}" type="presOf" srcId="{9356D727-B813-4DE2-821A-CDB602E7AC9E}" destId="{0A9C2DC0-C05E-462B-AA17-05BED449D591}" srcOrd="0" destOrd="0" presId="urn:microsoft.com/office/officeart/2005/8/layout/hierarchy6"/>
    <dgm:cxn modelId="{A8AFEB8B-9E67-483E-8AE6-1965051E043A}" type="presOf" srcId="{A009FB0C-BD20-4B72-8871-8EDE044F7BB8}" destId="{2DF95B85-252D-4F98-813B-BC2B944230A9}" srcOrd="0" destOrd="0" presId="urn:microsoft.com/office/officeart/2005/8/layout/hierarchy6"/>
    <dgm:cxn modelId="{6FD9245C-998A-49D9-83FD-A484A3D7ADE9}" type="presOf" srcId="{4F717CFE-B271-4B3A-A3CC-BFD9C935772A}" destId="{63015DEF-1472-40F0-B0BD-C02E793C96D0}" srcOrd="0" destOrd="0" presId="urn:microsoft.com/office/officeart/2005/8/layout/hierarchy6"/>
    <dgm:cxn modelId="{D08F10A6-902E-4C49-8D39-7BBF7E23543C}" type="presOf" srcId="{A6C147CA-CE66-4F67-81E1-F41C58ACD7AF}" destId="{908A07A5-322E-4211-B8C1-B2A15DA1402C}" srcOrd="0" destOrd="0" presId="urn:microsoft.com/office/officeart/2005/8/layout/hierarchy6"/>
    <dgm:cxn modelId="{9BD69EE3-545B-4AD7-81D1-03D8FE6C435B}" type="presParOf" srcId="{9891E697-44B2-4237-BD55-00BDAAF8A1BD}" destId="{6A11C9FD-0FE9-4E07-ACFF-86A11529532C}" srcOrd="0" destOrd="0" presId="urn:microsoft.com/office/officeart/2005/8/layout/hierarchy6"/>
    <dgm:cxn modelId="{5FEF325B-E3D3-4096-8C75-281D935C9EDB}" type="presParOf" srcId="{6A11C9FD-0FE9-4E07-ACFF-86A11529532C}" destId="{9806A25B-04F8-4EC1-94A1-528F859DAA8D}" srcOrd="0" destOrd="0" presId="urn:microsoft.com/office/officeart/2005/8/layout/hierarchy6"/>
    <dgm:cxn modelId="{2E0EBA02-1EC8-41CF-939F-14CE0AC5A40C}" type="presParOf" srcId="{9806A25B-04F8-4EC1-94A1-528F859DAA8D}" destId="{5962334A-8FC9-4413-9C0A-693F9DAFA796}" srcOrd="0" destOrd="0" presId="urn:microsoft.com/office/officeart/2005/8/layout/hierarchy6"/>
    <dgm:cxn modelId="{C97ADB2A-59E1-4B6F-9933-D94C60E525C7}" type="presParOf" srcId="{5962334A-8FC9-4413-9C0A-693F9DAFA796}" destId="{908A07A5-322E-4211-B8C1-B2A15DA1402C}" srcOrd="0" destOrd="0" presId="urn:microsoft.com/office/officeart/2005/8/layout/hierarchy6"/>
    <dgm:cxn modelId="{DE858724-47EB-4E53-9FCA-8EDAF28521BB}" type="presParOf" srcId="{5962334A-8FC9-4413-9C0A-693F9DAFA796}" destId="{9DE9682F-19ED-4EB4-9A7D-C2559C74BF52}" srcOrd="1" destOrd="0" presId="urn:microsoft.com/office/officeart/2005/8/layout/hierarchy6"/>
    <dgm:cxn modelId="{3E8DDC66-FB4D-44CA-8730-EC7EB7C68CC7}" type="presParOf" srcId="{9DE9682F-19ED-4EB4-9A7D-C2559C74BF52}" destId="{2B574F13-BFC3-4035-8557-DE51953DA372}" srcOrd="0" destOrd="0" presId="urn:microsoft.com/office/officeart/2005/8/layout/hierarchy6"/>
    <dgm:cxn modelId="{607CF516-5714-4887-8C67-10520428D0AD}" type="presParOf" srcId="{9DE9682F-19ED-4EB4-9A7D-C2559C74BF52}" destId="{0B971526-1641-4D6F-B4DA-0A5F4A855A29}" srcOrd="1" destOrd="0" presId="urn:microsoft.com/office/officeart/2005/8/layout/hierarchy6"/>
    <dgm:cxn modelId="{7A3AAC04-16CA-4020-A6A1-BF2D3C05247E}" type="presParOf" srcId="{0B971526-1641-4D6F-B4DA-0A5F4A855A29}" destId="{E64D44FD-9C02-4C03-8565-54BC98863A3A}" srcOrd="0" destOrd="0" presId="urn:microsoft.com/office/officeart/2005/8/layout/hierarchy6"/>
    <dgm:cxn modelId="{09B3CCDE-EED7-4E68-9F62-B33D7617C4C7}" type="presParOf" srcId="{0B971526-1641-4D6F-B4DA-0A5F4A855A29}" destId="{381C4B0B-67D0-4BA0-8C9A-7086EF80A3C3}" srcOrd="1" destOrd="0" presId="urn:microsoft.com/office/officeart/2005/8/layout/hierarchy6"/>
    <dgm:cxn modelId="{882A82E5-AD57-4607-934D-4E26B4AFA6BE}" type="presParOf" srcId="{381C4B0B-67D0-4BA0-8C9A-7086EF80A3C3}" destId="{AF814ED7-0A01-4247-A275-8D27D57AC65E}" srcOrd="0" destOrd="0" presId="urn:microsoft.com/office/officeart/2005/8/layout/hierarchy6"/>
    <dgm:cxn modelId="{ED3440D1-FA18-4A9B-8CB0-B99C6321AC82}" type="presParOf" srcId="{381C4B0B-67D0-4BA0-8C9A-7086EF80A3C3}" destId="{9873CC43-C579-421B-868E-5CD042609B8A}" srcOrd="1" destOrd="0" presId="urn:microsoft.com/office/officeart/2005/8/layout/hierarchy6"/>
    <dgm:cxn modelId="{9861AE7D-B846-4BCD-B674-DC250DF41BD4}" type="presParOf" srcId="{9873CC43-C579-421B-868E-5CD042609B8A}" destId="{63015DEF-1472-40F0-B0BD-C02E793C96D0}" srcOrd="0" destOrd="0" presId="urn:microsoft.com/office/officeart/2005/8/layout/hierarchy6"/>
    <dgm:cxn modelId="{61EDECCD-BB59-431F-A5E9-A649AB9CBE2F}" type="presParOf" srcId="{9873CC43-C579-421B-868E-5CD042609B8A}" destId="{050D3865-C99E-4B1C-89DF-549B750AFD35}" srcOrd="1" destOrd="0" presId="urn:microsoft.com/office/officeart/2005/8/layout/hierarchy6"/>
    <dgm:cxn modelId="{0D4F04BB-7B7A-498A-B4FD-8EC6FE3606FC}" type="presParOf" srcId="{050D3865-C99E-4B1C-89DF-549B750AFD35}" destId="{1CB9E3AE-1650-4CCF-A6D4-CAE419C30E81}" srcOrd="0" destOrd="0" presId="urn:microsoft.com/office/officeart/2005/8/layout/hierarchy6"/>
    <dgm:cxn modelId="{839ACAD7-7031-4AD0-831C-AF241CBAED02}" type="presParOf" srcId="{050D3865-C99E-4B1C-89DF-549B750AFD35}" destId="{937DA4B4-4785-48C3-9791-CB5C8B50350C}" srcOrd="1" destOrd="0" presId="urn:microsoft.com/office/officeart/2005/8/layout/hierarchy6"/>
    <dgm:cxn modelId="{E16EB090-BC92-4629-A8C2-E7C07E1EE75C}" type="presParOf" srcId="{937DA4B4-4785-48C3-9791-CB5C8B50350C}" destId="{539ABFAA-FA7B-419D-902B-3514F8657A01}" srcOrd="0" destOrd="0" presId="urn:microsoft.com/office/officeart/2005/8/layout/hierarchy6"/>
    <dgm:cxn modelId="{612C1B18-6A11-475F-9158-740ED684F693}" type="presParOf" srcId="{937DA4B4-4785-48C3-9791-CB5C8B50350C}" destId="{2B0F9850-AEFF-4BEF-AC4C-E5732BD0A301}" srcOrd="1" destOrd="0" presId="urn:microsoft.com/office/officeart/2005/8/layout/hierarchy6"/>
    <dgm:cxn modelId="{296B2E66-D9B9-4BF3-AA64-AA2FC79AB8BF}" type="presParOf" srcId="{050D3865-C99E-4B1C-89DF-549B750AFD35}" destId="{0D556B0D-7497-4057-AA53-EC8883A115ED}" srcOrd="2" destOrd="0" presId="urn:microsoft.com/office/officeart/2005/8/layout/hierarchy6"/>
    <dgm:cxn modelId="{B3E06E28-31BC-429E-B655-D938EB5F8D9A}" type="presParOf" srcId="{050D3865-C99E-4B1C-89DF-549B750AFD35}" destId="{2E629C5A-2C8D-4CB8-937B-1ACC6A548327}" srcOrd="3" destOrd="0" presId="urn:microsoft.com/office/officeart/2005/8/layout/hierarchy6"/>
    <dgm:cxn modelId="{177F12E0-3C67-456B-88F8-16FF3AB45E89}" type="presParOf" srcId="{2E629C5A-2C8D-4CB8-937B-1ACC6A548327}" destId="{B26512C6-01E0-45F9-8BC8-B5E56112E1AF}" srcOrd="0" destOrd="0" presId="urn:microsoft.com/office/officeart/2005/8/layout/hierarchy6"/>
    <dgm:cxn modelId="{51121883-ED35-410B-9302-31F3AB38D28C}" type="presParOf" srcId="{2E629C5A-2C8D-4CB8-937B-1ACC6A548327}" destId="{E2854730-9786-4BCE-ABC3-B1F09A4EEEFF}" srcOrd="1" destOrd="0" presId="urn:microsoft.com/office/officeart/2005/8/layout/hierarchy6"/>
    <dgm:cxn modelId="{D22AF497-10A0-454D-BE7C-405F431EECC0}" type="presParOf" srcId="{050D3865-C99E-4B1C-89DF-549B750AFD35}" destId="{9E273164-988B-43BC-BDB0-58269D0C5B4A}" srcOrd="4" destOrd="0" presId="urn:microsoft.com/office/officeart/2005/8/layout/hierarchy6"/>
    <dgm:cxn modelId="{E83E4D1C-506E-44A0-9C53-389AF7093522}" type="presParOf" srcId="{050D3865-C99E-4B1C-89DF-549B750AFD35}" destId="{A557B711-C1EA-45B4-A533-4979D43A1EAF}" srcOrd="5" destOrd="0" presId="urn:microsoft.com/office/officeart/2005/8/layout/hierarchy6"/>
    <dgm:cxn modelId="{D879DE60-838B-44DD-A4F7-2827CB277649}" type="presParOf" srcId="{A557B711-C1EA-45B4-A533-4979D43A1EAF}" destId="{6F0BD8E4-47C5-4BF6-9F92-ADB554D82E12}" srcOrd="0" destOrd="0" presId="urn:microsoft.com/office/officeart/2005/8/layout/hierarchy6"/>
    <dgm:cxn modelId="{AE4CC95F-EA18-444C-8232-33ABFB68923D}" type="presParOf" srcId="{A557B711-C1EA-45B4-A533-4979D43A1EAF}" destId="{B0E6C45B-EE22-43E2-AC48-BCCCB9E1C807}" srcOrd="1" destOrd="0" presId="urn:microsoft.com/office/officeart/2005/8/layout/hierarchy6"/>
    <dgm:cxn modelId="{E97FD368-5C80-4571-AC4A-ACF0ADEB8970}" type="presParOf" srcId="{381C4B0B-67D0-4BA0-8C9A-7086EF80A3C3}" destId="{55E73A97-78E7-429F-B43D-31873F046732}" srcOrd="2" destOrd="0" presId="urn:microsoft.com/office/officeart/2005/8/layout/hierarchy6"/>
    <dgm:cxn modelId="{8E70CBDB-626F-4FE4-AF5C-ADC98B2D30FA}" type="presParOf" srcId="{381C4B0B-67D0-4BA0-8C9A-7086EF80A3C3}" destId="{D04AB6C4-25A3-47CF-B25E-12D6147C73E3}" srcOrd="3" destOrd="0" presId="urn:microsoft.com/office/officeart/2005/8/layout/hierarchy6"/>
    <dgm:cxn modelId="{37076F9E-8A5F-4DDC-B1B1-B832B2057E50}" type="presParOf" srcId="{D04AB6C4-25A3-47CF-B25E-12D6147C73E3}" destId="{2DF95B85-252D-4F98-813B-BC2B944230A9}" srcOrd="0" destOrd="0" presId="urn:microsoft.com/office/officeart/2005/8/layout/hierarchy6"/>
    <dgm:cxn modelId="{2E436FB5-B40F-4F07-B715-6C96D4B84F3F}" type="presParOf" srcId="{D04AB6C4-25A3-47CF-B25E-12D6147C73E3}" destId="{888027FF-CC1D-42AD-8F53-A4B7B535155D}" srcOrd="1" destOrd="0" presId="urn:microsoft.com/office/officeart/2005/8/layout/hierarchy6"/>
    <dgm:cxn modelId="{2FB6D27B-74F5-4EC6-87BC-591633B2F090}" type="presParOf" srcId="{888027FF-CC1D-42AD-8F53-A4B7B535155D}" destId="{A1021168-B652-41AC-A6D6-A5D5B4474150}" srcOrd="0" destOrd="0" presId="urn:microsoft.com/office/officeart/2005/8/layout/hierarchy6"/>
    <dgm:cxn modelId="{023967B4-438A-478F-84CB-A785B57B0539}" type="presParOf" srcId="{888027FF-CC1D-42AD-8F53-A4B7B535155D}" destId="{A78DF014-A141-4208-BFEB-E72FB7B23830}" srcOrd="1" destOrd="0" presId="urn:microsoft.com/office/officeart/2005/8/layout/hierarchy6"/>
    <dgm:cxn modelId="{6F7B2967-FAD0-47AB-83AB-A609FC1659D6}" type="presParOf" srcId="{A78DF014-A141-4208-BFEB-E72FB7B23830}" destId="{A1262F0E-232F-41C8-A3F2-735493C6CCD9}" srcOrd="0" destOrd="0" presId="urn:microsoft.com/office/officeart/2005/8/layout/hierarchy6"/>
    <dgm:cxn modelId="{83E1384F-ECA7-4051-9A0A-7C38A9CB5DEF}" type="presParOf" srcId="{A78DF014-A141-4208-BFEB-E72FB7B23830}" destId="{0C6BE708-1334-4A3B-8C82-FE4A958B484F}" srcOrd="1" destOrd="0" presId="urn:microsoft.com/office/officeart/2005/8/layout/hierarchy6"/>
    <dgm:cxn modelId="{B56EE126-0669-43D2-B7A5-3CCF9B21F8A1}" type="presParOf" srcId="{888027FF-CC1D-42AD-8F53-A4B7B535155D}" destId="{0A9C2DC0-C05E-462B-AA17-05BED449D591}" srcOrd="2" destOrd="0" presId="urn:microsoft.com/office/officeart/2005/8/layout/hierarchy6"/>
    <dgm:cxn modelId="{E6B513FA-AF00-451D-B724-20F194E43425}" type="presParOf" srcId="{888027FF-CC1D-42AD-8F53-A4B7B535155D}" destId="{490DDAAF-BFFA-4A1B-9646-9F8474E3C813}" srcOrd="3" destOrd="0" presId="urn:microsoft.com/office/officeart/2005/8/layout/hierarchy6"/>
    <dgm:cxn modelId="{CD9B3C33-3DBA-4125-8C48-0365C429809D}" type="presParOf" srcId="{490DDAAF-BFFA-4A1B-9646-9F8474E3C813}" destId="{024969A2-CE25-4680-B906-3AB2F85FF18D}" srcOrd="0" destOrd="0" presId="urn:microsoft.com/office/officeart/2005/8/layout/hierarchy6"/>
    <dgm:cxn modelId="{ACBC62BB-CDB7-4895-A912-24C79A457E69}" type="presParOf" srcId="{490DDAAF-BFFA-4A1B-9646-9F8474E3C813}" destId="{CB4C0639-CE43-4726-A233-D119A8FC3FA3}" srcOrd="1" destOrd="0" presId="urn:microsoft.com/office/officeart/2005/8/layout/hierarchy6"/>
    <dgm:cxn modelId="{2FC4B717-EF17-4BFC-992D-91261B21C31C}" type="presParOf" srcId="{9891E697-44B2-4237-BD55-00BDAAF8A1BD}" destId="{6C38C22F-D6D4-4BE3-A77D-FDF713DA338B}"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A07A5-322E-4211-B8C1-B2A15DA1402C}">
      <dsp:nvSpPr>
        <dsp:cNvPr id="0" name=""/>
        <dsp:cNvSpPr/>
      </dsp:nvSpPr>
      <dsp:spPr>
        <a:xfrm>
          <a:off x="3246796" y="6690"/>
          <a:ext cx="1566728" cy="106255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ts val="0"/>
            </a:spcAft>
          </a:pPr>
          <a:r>
            <a:rPr lang="en-US" sz="2000" b="1" kern="1200" dirty="0"/>
            <a:t>New AUW</a:t>
          </a:r>
        </a:p>
        <a:p>
          <a:pPr lvl="0" algn="ctr" defTabSz="889000">
            <a:lnSpc>
              <a:spcPct val="90000"/>
            </a:lnSpc>
            <a:spcBef>
              <a:spcPct val="0"/>
            </a:spcBef>
            <a:spcAft>
              <a:spcPts val="0"/>
            </a:spcAft>
          </a:pPr>
          <a:r>
            <a:rPr lang="en-US" sz="2000" b="1" kern="1200" dirty="0"/>
            <a:t>Program</a:t>
          </a:r>
        </a:p>
      </dsp:txBody>
      <dsp:txXfrm>
        <a:off x="3277917" y="37811"/>
        <a:ext cx="1504486" cy="1000317"/>
      </dsp:txXfrm>
    </dsp:sp>
    <dsp:sp modelId="{2B574F13-BFC3-4035-8557-DE51953DA372}">
      <dsp:nvSpPr>
        <dsp:cNvPr id="0" name=""/>
        <dsp:cNvSpPr/>
      </dsp:nvSpPr>
      <dsp:spPr>
        <a:xfrm>
          <a:off x="3984440" y="1069250"/>
          <a:ext cx="91440" cy="313506"/>
        </a:xfrm>
        <a:custGeom>
          <a:avLst/>
          <a:gdLst/>
          <a:ahLst/>
          <a:cxnLst/>
          <a:rect l="0" t="0" r="0" b="0"/>
          <a:pathLst>
            <a:path>
              <a:moveTo>
                <a:pt x="45720" y="0"/>
              </a:moveTo>
              <a:lnTo>
                <a:pt x="45720" y="31350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D44FD-9C02-4C03-8565-54BC98863A3A}">
      <dsp:nvSpPr>
        <dsp:cNvPr id="0" name=""/>
        <dsp:cNvSpPr/>
      </dsp:nvSpPr>
      <dsp:spPr>
        <a:xfrm>
          <a:off x="2848698" y="1382756"/>
          <a:ext cx="2362925" cy="118803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en-US" sz="1400" b="1" kern="1200" dirty="0"/>
            <a:t>Does the AUW program qualify as an “expected incremental change”</a:t>
          </a:r>
        </a:p>
        <a:p>
          <a:pPr lvl="0" algn="ctr" defTabSz="622300">
            <a:lnSpc>
              <a:spcPct val="90000"/>
            </a:lnSpc>
            <a:spcBef>
              <a:spcPct val="0"/>
            </a:spcBef>
            <a:spcAft>
              <a:spcPts val="0"/>
            </a:spcAft>
          </a:pPr>
          <a:r>
            <a:rPr lang="en-US" sz="1400" b="1" kern="1200" dirty="0"/>
            <a:t>per VM-20 9.C.2.f?</a:t>
          </a:r>
        </a:p>
      </dsp:txBody>
      <dsp:txXfrm>
        <a:off x="2883494" y="1417552"/>
        <a:ext cx="2293333" cy="1118440"/>
      </dsp:txXfrm>
    </dsp:sp>
    <dsp:sp modelId="{AF814ED7-0A01-4247-A275-8D27D57AC65E}">
      <dsp:nvSpPr>
        <dsp:cNvPr id="0" name=""/>
        <dsp:cNvSpPr/>
      </dsp:nvSpPr>
      <dsp:spPr>
        <a:xfrm>
          <a:off x="2119731" y="2570789"/>
          <a:ext cx="1910429" cy="313506"/>
        </a:xfrm>
        <a:custGeom>
          <a:avLst/>
          <a:gdLst/>
          <a:ahLst/>
          <a:cxnLst/>
          <a:rect l="0" t="0" r="0" b="0"/>
          <a:pathLst>
            <a:path>
              <a:moveTo>
                <a:pt x="1910429" y="0"/>
              </a:moveTo>
              <a:lnTo>
                <a:pt x="1910429" y="156753"/>
              </a:lnTo>
              <a:lnTo>
                <a:pt x="0" y="156753"/>
              </a:lnTo>
              <a:lnTo>
                <a:pt x="0" y="3135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15DEF-1472-40F0-B0BD-C02E793C96D0}">
      <dsp:nvSpPr>
        <dsp:cNvPr id="0" name=""/>
        <dsp:cNvSpPr/>
      </dsp:nvSpPr>
      <dsp:spPr>
        <a:xfrm>
          <a:off x="1531906" y="2884295"/>
          <a:ext cx="1175649" cy="78376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a:t>Yes, does qualify</a:t>
          </a:r>
        </a:p>
      </dsp:txBody>
      <dsp:txXfrm>
        <a:off x="1554862" y="2907251"/>
        <a:ext cx="1129737" cy="737854"/>
      </dsp:txXfrm>
    </dsp:sp>
    <dsp:sp modelId="{1CB9E3AE-1650-4CCF-A6D4-CAE419C30E81}">
      <dsp:nvSpPr>
        <dsp:cNvPr id="0" name=""/>
        <dsp:cNvSpPr/>
      </dsp:nvSpPr>
      <dsp:spPr>
        <a:xfrm>
          <a:off x="591387" y="3668061"/>
          <a:ext cx="1528343" cy="313506"/>
        </a:xfrm>
        <a:custGeom>
          <a:avLst/>
          <a:gdLst/>
          <a:ahLst/>
          <a:cxnLst/>
          <a:rect l="0" t="0" r="0" b="0"/>
          <a:pathLst>
            <a:path>
              <a:moveTo>
                <a:pt x="1528343" y="0"/>
              </a:moveTo>
              <a:lnTo>
                <a:pt x="1528343" y="156753"/>
              </a:lnTo>
              <a:lnTo>
                <a:pt x="0" y="156753"/>
              </a:lnTo>
              <a:lnTo>
                <a:pt x="0" y="3135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9ABFAA-FA7B-419D-902B-3514F8657A01}">
      <dsp:nvSpPr>
        <dsp:cNvPr id="0" name=""/>
        <dsp:cNvSpPr/>
      </dsp:nvSpPr>
      <dsp:spPr>
        <a:xfrm>
          <a:off x="3562" y="3981568"/>
          <a:ext cx="1175649" cy="7837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0"/>
            </a:spcAft>
          </a:pPr>
          <a:r>
            <a:rPr lang="en-US" sz="1000" kern="1200" dirty="0"/>
            <a:t>May group with traditional UW  inforce if complying  </a:t>
          </a:r>
        </a:p>
        <a:p>
          <a:pPr lvl="0" algn="ctr" defTabSz="444500">
            <a:lnSpc>
              <a:spcPct val="90000"/>
            </a:lnSpc>
            <a:spcBef>
              <a:spcPct val="0"/>
            </a:spcBef>
            <a:spcAft>
              <a:spcPts val="0"/>
            </a:spcAft>
          </a:pPr>
          <a:r>
            <a:rPr lang="en-US" sz="1000" kern="1200" dirty="0"/>
            <a:t>with VM-20 9.C.2.d</a:t>
          </a:r>
        </a:p>
        <a:p>
          <a:pPr lvl="0" algn="ctr" defTabSz="444500">
            <a:lnSpc>
              <a:spcPct val="90000"/>
            </a:lnSpc>
            <a:spcBef>
              <a:spcPct val="0"/>
            </a:spcBef>
            <a:spcAft>
              <a:spcPts val="0"/>
            </a:spcAft>
          </a:pPr>
          <a:r>
            <a:rPr lang="en-US" sz="1000" kern="1200" dirty="0"/>
            <a:t>and VM-20 9.C.4.b</a:t>
          </a:r>
        </a:p>
      </dsp:txBody>
      <dsp:txXfrm>
        <a:off x="26518" y="4004524"/>
        <a:ext cx="1129737" cy="737854"/>
      </dsp:txXfrm>
    </dsp:sp>
    <dsp:sp modelId="{0D556B0D-7497-4057-AA53-EC8883A115ED}">
      <dsp:nvSpPr>
        <dsp:cNvPr id="0" name=""/>
        <dsp:cNvSpPr/>
      </dsp:nvSpPr>
      <dsp:spPr>
        <a:xfrm>
          <a:off x="2074011" y="3668061"/>
          <a:ext cx="91440" cy="313506"/>
        </a:xfrm>
        <a:custGeom>
          <a:avLst/>
          <a:gdLst/>
          <a:ahLst/>
          <a:cxnLst/>
          <a:rect l="0" t="0" r="0" b="0"/>
          <a:pathLst>
            <a:path>
              <a:moveTo>
                <a:pt x="45720" y="0"/>
              </a:moveTo>
              <a:lnTo>
                <a:pt x="45720" y="3135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6512C6-01E0-45F9-8BC8-B5E56112E1AF}">
      <dsp:nvSpPr>
        <dsp:cNvPr id="0" name=""/>
        <dsp:cNvSpPr/>
      </dsp:nvSpPr>
      <dsp:spPr>
        <a:xfrm>
          <a:off x="1531906" y="3981568"/>
          <a:ext cx="1175649" cy="7837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Consider the adjustment noted in VM-20 9.C.2.f for grouping AUW with traditional UW</a:t>
          </a:r>
          <a:endParaRPr lang="en-US" sz="1000" kern="1200" dirty="0"/>
        </a:p>
      </dsp:txBody>
      <dsp:txXfrm>
        <a:off x="1554862" y="4004524"/>
        <a:ext cx="1129737" cy="737854"/>
      </dsp:txXfrm>
    </dsp:sp>
    <dsp:sp modelId="{9E273164-988B-43BC-BDB0-58269D0C5B4A}">
      <dsp:nvSpPr>
        <dsp:cNvPr id="0" name=""/>
        <dsp:cNvSpPr/>
      </dsp:nvSpPr>
      <dsp:spPr>
        <a:xfrm>
          <a:off x="2119731" y="3668061"/>
          <a:ext cx="1528343" cy="313506"/>
        </a:xfrm>
        <a:custGeom>
          <a:avLst/>
          <a:gdLst/>
          <a:ahLst/>
          <a:cxnLst/>
          <a:rect l="0" t="0" r="0" b="0"/>
          <a:pathLst>
            <a:path>
              <a:moveTo>
                <a:pt x="0" y="0"/>
              </a:moveTo>
              <a:lnTo>
                <a:pt x="0" y="156753"/>
              </a:lnTo>
              <a:lnTo>
                <a:pt x="1528343" y="156753"/>
              </a:lnTo>
              <a:lnTo>
                <a:pt x="1528343" y="3135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0BD8E4-47C5-4BF6-9F92-ADB554D82E12}">
      <dsp:nvSpPr>
        <dsp:cNvPr id="0" name=""/>
        <dsp:cNvSpPr/>
      </dsp:nvSpPr>
      <dsp:spPr>
        <a:xfrm>
          <a:off x="3060250" y="3981568"/>
          <a:ext cx="1175649" cy="7837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ts val="0"/>
            </a:spcAft>
          </a:pPr>
          <a:r>
            <a:rPr lang="en-US" sz="1000" kern="1200" dirty="0"/>
            <a:t>For margins, consider VM-20 9.C.5.d given the grouping of AUW with traditional UW</a:t>
          </a:r>
        </a:p>
      </dsp:txBody>
      <dsp:txXfrm>
        <a:off x="3083206" y="4004524"/>
        <a:ext cx="1129737" cy="737854"/>
      </dsp:txXfrm>
    </dsp:sp>
    <dsp:sp modelId="{55E73A97-78E7-429F-B43D-31873F046732}">
      <dsp:nvSpPr>
        <dsp:cNvPr id="0" name=""/>
        <dsp:cNvSpPr/>
      </dsp:nvSpPr>
      <dsp:spPr>
        <a:xfrm>
          <a:off x="4030160" y="2570789"/>
          <a:ext cx="1910429" cy="313506"/>
        </a:xfrm>
        <a:custGeom>
          <a:avLst/>
          <a:gdLst/>
          <a:ahLst/>
          <a:cxnLst/>
          <a:rect l="0" t="0" r="0" b="0"/>
          <a:pathLst>
            <a:path>
              <a:moveTo>
                <a:pt x="0" y="0"/>
              </a:moveTo>
              <a:lnTo>
                <a:pt x="0" y="156753"/>
              </a:lnTo>
              <a:lnTo>
                <a:pt x="1910429" y="156753"/>
              </a:lnTo>
              <a:lnTo>
                <a:pt x="1910429" y="31350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F95B85-252D-4F98-813B-BC2B944230A9}">
      <dsp:nvSpPr>
        <dsp:cNvPr id="0" name=""/>
        <dsp:cNvSpPr/>
      </dsp:nvSpPr>
      <dsp:spPr>
        <a:xfrm>
          <a:off x="5352766" y="2884295"/>
          <a:ext cx="1175649" cy="78376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a:t>No, does not qualify</a:t>
          </a:r>
        </a:p>
      </dsp:txBody>
      <dsp:txXfrm>
        <a:off x="5375722" y="2907251"/>
        <a:ext cx="1129737" cy="737854"/>
      </dsp:txXfrm>
    </dsp:sp>
    <dsp:sp modelId="{A1021168-B652-41AC-A6D6-A5D5B4474150}">
      <dsp:nvSpPr>
        <dsp:cNvPr id="0" name=""/>
        <dsp:cNvSpPr/>
      </dsp:nvSpPr>
      <dsp:spPr>
        <a:xfrm>
          <a:off x="5176418" y="3668061"/>
          <a:ext cx="764171" cy="313506"/>
        </a:xfrm>
        <a:custGeom>
          <a:avLst/>
          <a:gdLst/>
          <a:ahLst/>
          <a:cxnLst/>
          <a:rect l="0" t="0" r="0" b="0"/>
          <a:pathLst>
            <a:path>
              <a:moveTo>
                <a:pt x="764171" y="0"/>
              </a:moveTo>
              <a:lnTo>
                <a:pt x="764171" y="156753"/>
              </a:lnTo>
              <a:lnTo>
                <a:pt x="0" y="156753"/>
              </a:lnTo>
              <a:lnTo>
                <a:pt x="0" y="3135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262F0E-232F-41C8-A3F2-735493C6CCD9}">
      <dsp:nvSpPr>
        <dsp:cNvPr id="0" name=""/>
        <dsp:cNvSpPr/>
      </dsp:nvSpPr>
      <dsp:spPr>
        <a:xfrm>
          <a:off x="4588594" y="3981568"/>
          <a:ext cx="1175649" cy="7837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a:t>Develop VM-20 Mortality Prudent Estimate beginning with VM-20 9.C.1.a for AUW policies</a:t>
          </a:r>
        </a:p>
      </dsp:txBody>
      <dsp:txXfrm>
        <a:off x="4611550" y="4004524"/>
        <a:ext cx="1129737" cy="737854"/>
      </dsp:txXfrm>
    </dsp:sp>
    <dsp:sp modelId="{0A9C2DC0-C05E-462B-AA17-05BED449D591}">
      <dsp:nvSpPr>
        <dsp:cNvPr id="0" name=""/>
        <dsp:cNvSpPr/>
      </dsp:nvSpPr>
      <dsp:spPr>
        <a:xfrm>
          <a:off x="5940590" y="3668061"/>
          <a:ext cx="764171" cy="313506"/>
        </a:xfrm>
        <a:custGeom>
          <a:avLst/>
          <a:gdLst/>
          <a:ahLst/>
          <a:cxnLst/>
          <a:rect l="0" t="0" r="0" b="0"/>
          <a:pathLst>
            <a:path>
              <a:moveTo>
                <a:pt x="0" y="0"/>
              </a:moveTo>
              <a:lnTo>
                <a:pt x="0" y="156753"/>
              </a:lnTo>
              <a:lnTo>
                <a:pt x="764171" y="156753"/>
              </a:lnTo>
              <a:lnTo>
                <a:pt x="764171" y="31350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4969A2-CE25-4680-B906-3AB2F85FF18D}">
      <dsp:nvSpPr>
        <dsp:cNvPr id="0" name=""/>
        <dsp:cNvSpPr/>
      </dsp:nvSpPr>
      <dsp:spPr>
        <a:xfrm>
          <a:off x="6116938" y="3981568"/>
          <a:ext cx="1175649" cy="7837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a:t>Do not group AUW policy experience  with traditional UW  inforce experience</a:t>
          </a:r>
        </a:p>
      </dsp:txBody>
      <dsp:txXfrm>
        <a:off x="6139894" y="4004524"/>
        <a:ext cx="1129737" cy="73785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7F"/>
    <w:rsid w:val="0013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91FB2B3FC4A92BB51D2AF044678C4">
    <w:name w:val="DCC91FB2B3FC4A92BB51D2AF044678C4"/>
    <w:rsid w:val="00131C7F"/>
  </w:style>
  <w:style w:type="paragraph" w:customStyle="1" w:styleId="C70D934F095A417FB405C64949D7B02F">
    <w:name w:val="C70D934F095A417FB405C64949D7B02F"/>
    <w:rsid w:val="00131C7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91FB2B3FC4A92BB51D2AF044678C4">
    <w:name w:val="DCC91FB2B3FC4A92BB51D2AF044678C4"/>
    <w:rsid w:val="00131C7F"/>
  </w:style>
  <w:style w:type="paragraph" w:customStyle="1" w:styleId="C70D934F095A417FB405C64949D7B02F">
    <w:name w:val="C70D934F095A417FB405C64949D7B02F"/>
    <w:rsid w:val="00131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DA33F-8BC2-42ED-A449-A5701218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16985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Lauren</dc:creator>
  <cp:lastModifiedBy>Mazyck, Reggie</cp:lastModifiedBy>
  <cp:revision>2</cp:revision>
  <dcterms:created xsi:type="dcterms:W3CDTF">2017-12-14T20:45:00Z</dcterms:created>
  <dcterms:modified xsi:type="dcterms:W3CDTF">2017-12-14T20:45:00Z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7513de8d-369b-498d-829e-109bcd493583</vt:lpwstr>
  </property>
</Properties>
</file>