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3363" w14:textId="04F40D9B" w:rsidR="00ED7FCD" w:rsidRPr="0043697C" w:rsidRDefault="00ED7FCD" w:rsidP="0043697C">
      <w:pPr>
        <w:rPr>
          <w:rFonts w:ascii="Times New Roman Bold" w:eastAsia="Times New Roman" w:hAnsi="Times New Roman Bold"/>
          <w:b/>
          <w:bCs/>
          <w:position w:val="-1"/>
        </w:rPr>
      </w:pPr>
      <w:bookmarkStart w:id="0" w:name="_Toc461784858"/>
    </w:p>
    <w:p w14:paraId="4F7D0F58" w14:textId="61713175" w:rsidR="00ED7FCD" w:rsidRPr="00C27491" w:rsidRDefault="00ED7FCD" w:rsidP="00703A32">
      <w:pPr>
        <w:pStyle w:val="Heading2"/>
        <w:spacing w:after="280"/>
        <w:jc w:val="center"/>
      </w:pPr>
      <w:r w:rsidRPr="00C27491">
        <w:t>VM-21: Requirements for Principle-Based Reserves for Variable Annuities</w:t>
      </w:r>
      <w:bookmarkEnd w:id="0"/>
    </w:p>
    <w:p w14:paraId="0BC2788A" w14:textId="77777777" w:rsidR="00ED7FCD" w:rsidRPr="00992D62" w:rsidRDefault="00ED7FCD" w:rsidP="00ED7FCD">
      <w:pPr>
        <w:pStyle w:val="Heading3"/>
        <w:spacing w:after="220"/>
        <w:rPr>
          <w:sz w:val="22"/>
          <w:szCs w:val="22"/>
        </w:rPr>
      </w:pPr>
      <w:r w:rsidRPr="00992D62">
        <w:rPr>
          <w:sz w:val="22"/>
          <w:szCs w:val="22"/>
        </w:rPr>
        <w:t>Table of Contents</w:t>
      </w:r>
    </w:p>
    <w:p w14:paraId="6008D818" w14:textId="691504AA" w:rsidR="00151243" w:rsidRPr="009533AE" w:rsidRDefault="00960FE5" w:rsidP="00151243">
      <w:pPr>
        <w:pStyle w:val="TOC3"/>
        <w:rPr>
          <w:color w:val="auto"/>
        </w:rPr>
      </w:pPr>
      <w:hyperlink w:anchor="_Section_1._Background" w:history="1">
        <w:r w:rsidR="00151243" w:rsidRPr="009533AE">
          <w:rPr>
            <w:rStyle w:val="Hyperlink"/>
            <w:color w:val="auto"/>
          </w:rPr>
          <w:t>Section 1:</w:t>
        </w:r>
        <w:r w:rsidR="00151243" w:rsidRPr="009533AE">
          <w:rPr>
            <w:color w:val="auto"/>
          </w:rPr>
          <w:tab/>
        </w:r>
        <w:r w:rsidR="00151243" w:rsidRPr="009533AE">
          <w:rPr>
            <w:rStyle w:val="Hyperlink"/>
            <w:color w:val="auto"/>
          </w:rPr>
          <w:t>Background</w:t>
        </w:r>
        <w:r w:rsidR="00151243" w:rsidRPr="009533AE">
          <w:rPr>
            <w:webHidden/>
            <w:color w:val="auto"/>
          </w:rPr>
          <w:tab/>
        </w:r>
      </w:hyperlink>
      <w:r w:rsidR="00151243" w:rsidRPr="009533AE">
        <w:rPr>
          <w:color w:val="auto"/>
        </w:rPr>
        <w:t>21-</w:t>
      </w:r>
      <w:r w:rsidR="00151243" w:rsidRPr="00992D62">
        <w:rPr>
          <w:color w:val="auto"/>
        </w:rPr>
        <w:t>x</w:t>
      </w:r>
    </w:p>
    <w:p w14:paraId="4E56F679" w14:textId="77777777" w:rsidR="00151243" w:rsidRPr="00992D62" w:rsidRDefault="00151243" w:rsidP="00151243">
      <w:pPr>
        <w:pStyle w:val="TOC3"/>
        <w:rPr>
          <w:rStyle w:val="Hyperlink"/>
          <w:color w:val="auto"/>
        </w:rPr>
      </w:pPr>
      <w:r w:rsidRPr="00992D62">
        <w:rPr>
          <w:rStyle w:val="Hyperlink"/>
          <w:color w:val="auto"/>
        </w:rPr>
        <w:t>Section 2:</w:t>
      </w:r>
      <w:r w:rsidRPr="00992D62">
        <w:rPr>
          <w:rStyle w:val="Hyperlink"/>
          <w:color w:val="auto"/>
        </w:rPr>
        <w:tab/>
        <w:t>Scope and Effective Date</w:t>
      </w:r>
      <w:r w:rsidRPr="00992D62">
        <w:rPr>
          <w:rStyle w:val="Hyperlink"/>
          <w:color w:val="auto"/>
        </w:rPr>
        <w:tab/>
        <w:t>21-x</w:t>
      </w:r>
    </w:p>
    <w:p w14:paraId="793A4D0E" w14:textId="4BB25DFC" w:rsidR="00151243" w:rsidRPr="009533AE" w:rsidRDefault="00960FE5" w:rsidP="00151243">
      <w:pPr>
        <w:pStyle w:val="TOC3"/>
        <w:rPr>
          <w:color w:val="auto"/>
        </w:rPr>
      </w:pPr>
      <w:hyperlink w:anchor="_Section_2._Reserve_1" w:history="1">
        <w:r w:rsidR="00151243" w:rsidRPr="009533AE">
          <w:rPr>
            <w:rStyle w:val="Hyperlink"/>
            <w:color w:val="auto"/>
          </w:rPr>
          <w:t xml:space="preserve">Section </w:t>
        </w:r>
        <w:r w:rsidR="00151243" w:rsidRPr="00992D62">
          <w:rPr>
            <w:rStyle w:val="Hyperlink"/>
            <w:color w:val="auto"/>
          </w:rPr>
          <w:t>3</w:t>
        </w:r>
        <w:r w:rsidR="00151243" w:rsidRPr="009533AE">
          <w:rPr>
            <w:rStyle w:val="Hyperlink"/>
            <w:color w:val="auto"/>
          </w:rPr>
          <w:t>:</w:t>
        </w:r>
        <w:r w:rsidR="00151243" w:rsidRPr="009533AE">
          <w:rPr>
            <w:color w:val="auto"/>
          </w:rPr>
          <w:tab/>
        </w:r>
        <w:r w:rsidR="00151243" w:rsidRPr="009533AE">
          <w:rPr>
            <w:rStyle w:val="Hyperlink"/>
            <w:color w:val="auto"/>
          </w:rPr>
          <w:t>Reserve Methodology</w:t>
        </w:r>
        <w:r w:rsidR="00151243" w:rsidRPr="009533AE">
          <w:rPr>
            <w:webHidden/>
            <w:color w:val="auto"/>
          </w:rPr>
          <w:tab/>
          <w:t>21-</w:t>
        </w:r>
        <w:r w:rsidR="00151243" w:rsidRPr="00992D62">
          <w:rPr>
            <w:webHidden/>
            <w:color w:val="auto"/>
          </w:rPr>
          <w:t>x</w:t>
        </w:r>
      </w:hyperlink>
    </w:p>
    <w:p w14:paraId="4CAB0EC4" w14:textId="77777777" w:rsidR="00151243" w:rsidRPr="00992D62" w:rsidRDefault="00151243" w:rsidP="00151243">
      <w:pPr>
        <w:pStyle w:val="TOC3"/>
        <w:rPr>
          <w:color w:val="auto"/>
        </w:rPr>
      </w:pPr>
      <w:r w:rsidRPr="00992D62">
        <w:rPr>
          <w:rStyle w:val="Hyperlink"/>
          <w:color w:val="auto"/>
        </w:rPr>
        <w:t>Section 4:</w:t>
      </w:r>
      <w:r w:rsidRPr="00992D62">
        <w:rPr>
          <w:rFonts w:eastAsiaTheme="minorEastAsia"/>
          <w:color w:val="auto"/>
        </w:rPr>
        <w:tab/>
      </w:r>
      <w:r w:rsidRPr="00992D62">
        <w:rPr>
          <w:rStyle w:val="Hyperlink"/>
          <w:color w:val="auto"/>
        </w:rPr>
        <w:t>Determination of the</w:t>
      </w:r>
      <w:r w:rsidRPr="00992D62">
        <w:rPr>
          <w:color w:val="auto"/>
        </w:rPr>
        <w:t xml:space="preserve"> Stochastic Reserve</w:t>
      </w:r>
      <w:r w:rsidRPr="00992D62">
        <w:rPr>
          <w:color w:val="auto"/>
        </w:rPr>
        <w:tab/>
        <w:t>21-x</w:t>
      </w:r>
    </w:p>
    <w:p w14:paraId="596258A2" w14:textId="77777777" w:rsidR="00151243" w:rsidRPr="00992D62" w:rsidRDefault="00960FE5" w:rsidP="00151243">
      <w:pPr>
        <w:pStyle w:val="TOC3"/>
        <w:rPr>
          <w:color w:val="auto"/>
        </w:rPr>
      </w:pPr>
      <w:hyperlink w:anchor="_Section_4._Reinsurance" w:history="1">
        <w:r w:rsidR="00151243" w:rsidRPr="00992D62">
          <w:rPr>
            <w:rStyle w:val="Hyperlink"/>
            <w:color w:val="auto"/>
          </w:rPr>
          <w:t>Section 5:</w:t>
        </w:r>
        <w:r w:rsidR="00151243" w:rsidRPr="00992D62">
          <w:rPr>
            <w:rFonts w:eastAsiaTheme="minorEastAsia"/>
            <w:color w:val="auto"/>
          </w:rPr>
          <w:tab/>
        </w:r>
        <w:r w:rsidR="00151243" w:rsidRPr="00992D62">
          <w:rPr>
            <w:rStyle w:val="Hyperlink"/>
            <w:color w:val="auto"/>
          </w:rPr>
          <w:t>Reinsurance Ceded</w:t>
        </w:r>
        <w:r w:rsidR="00151243" w:rsidRPr="00992D62">
          <w:rPr>
            <w:webHidden/>
            <w:color w:val="auto"/>
          </w:rPr>
          <w:tab/>
          <w:t>21-x</w:t>
        </w:r>
      </w:hyperlink>
    </w:p>
    <w:p w14:paraId="2CEF1A1E" w14:textId="770DC029" w:rsidR="00151243" w:rsidRPr="009533AE" w:rsidRDefault="00960FE5" w:rsidP="00151243">
      <w:pPr>
        <w:pStyle w:val="TOC3"/>
        <w:rPr>
          <w:color w:val="auto"/>
        </w:rPr>
      </w:pPr>
      <w:hyperlink w:anchor="_Section_4._Reinsurance" w:history="1">
        <w:r w:rsidR="00151243" w:rsidRPr="009533AE">
          <w:rPr>
            <w:rStyle w:val="Hyperlink"/>
            <w:color w:val="auto"/>
          </w:rPr>
          <w:t xml:space="preserve">Section </w:t>
        </w:r>
        <w:r w:rsidR="00151243" w:rsidRPr="00992D62">
          <w:rPr>
            <w:rStyle w:val="Hyperlink"/>
            <w:color w:val="auto"/>
          </w:rPr>
          <w:t>6:</w:t>
        </w:r>
        <w:r w:rsidR="00151243" w:rsidRPr="00992D62">
          <w:rPr>
            <w:rFonts w:eastAsiaTheme="minorEastAsia"/>
            <w:color w:val="auto"/>
          </w:rPr>
          <w:tab/>
          <w:t xml:space="preserve">Additional Standard Projection </w:t>
        </w:r>
        <w:r w:rsidR="00151243" w:rsidRPr="00992D62">
          <w:rPr>
            <w:rStyle w:val="Hyperlink"/>
            <w:color w:val="auto"/>
          </w:rPr>
          <w:t>Requirements</w:t>
        </w:r>
        <w:r w:rsidR="00151243" w:rsidRPr="009533AE">
          <w:rPr>
            <w:webHidden/>
            <w:color w:val="auto"/>
          </w:rPr>
          <w:tab/>
          <w:t>21-</w:t>
        </w:r>
        <w:r w:rsidR="00151243" w:rsidRPr="00992D62">
          <w:rPr>
            <w:webHidden/>
            <w:color w:val="auto"/>
          </w:rPr>
          <w:t>x</w:t>
        </w:r>
      </w:hyperlink>
    </w:p>
    <w:p w14:paraId="6BC9AD83" w14:textId="77777777" w:rsidR="00151243" w:rsidRPr="00992D62" w:rsidRDefault="00960FE5" w:rsidP="00151243">
      <w:pPr>
        <w:pStyle w:val="TOC3"/>
        <w:rPr>
          <w:color w:val="auto"/>
        </w:rPr>
      </w:pPr>
      <w:hyperlink w:anchor="_Section_4._Reinsurance" w:history="1">
        <w:r w:rsidR="00151243" w:rsidRPr="00992D62">
          <w:rPr>
            <w:rStyle w:val="Hyperlink"/>
            <w:color w:val="auto"/>
          </w:rPr>
          <w:t>Section 7:</w:t>
        </w:r>
        <w:r w:rsidR="00151243" w:rsidRPr="00992D62">
          <w:rPr>
            <w:rFonts w:eastAsiaTheme="minorEastAsia"/>
            <w:color w:val="auto"/>
          </w:rPr>
          <w:tab/>
          <w:t>Alternative Methodolgy</w:t>
        </w:r>
        <w:r w:rsidR="00151243" w:rsidRPr="00992D62">
          <w:rPr>
            <w:webHidden/>
            <w:color w:val="auto"/>
          </w:rPr>
          <w:tab/>
          <w:t>21-x</w:t>
        </w:r>
      </w:hyperlink>
    </w:p>
    <w:p w14:paraId="331278C5" w14:textId="77777777" w:rsidR="00151243" w:rsidRPr="00992D62" w:rsidRDefault="00960FE5" w:rsidP="00151243">
      <w:pPr>
        <w:pStyle w:val="TOC3"/>
        <w:rPr>
          <w:color w:val="auto"/>
        </w:rPr>
      </w:pPr>
      <w:hyperlink w:anchor="_Section_4._Reinsurance" w:history="1">
        <w:r w:rsidR="00151243" w:rsidRPr="00992D62">
          <w:rPr>
            <w:rStyle w:val="Hyperlink"/>
            <w:color w:val="auto"/>
          </w:rPr>
          <w:t>Section 8:</w:t>
        </w:r>
        <w:r w:rsidR="00151243" w:rsidRPr="00992D62">
          <w:rPr>
            <w:rFonts w:eastAsiaTheme="minorEastAsia"/>
            <w:color w:val="auto"/>
          </w:rPr>
          <w:tab/>
          <w:t>Scenario Generation</w:t>
        </w:r>
        <w:r w:rsidR="00151243" w:rsidRPr="00992D62">
          <w:rPr>
            <w:webHidden/>
            <w:color w:val="auto"/>
          </w:rPr>
          <w:tab/>
          <w:t>21-x</w:t>
        </w:r>
      </w:hyperlink>
    </w:p>
    <w:p w14:paraId="66AFF2E8" w14:textId="77777777" w:rsidR="00151243" w:rsidRPr="00992D62" w:rsidRDefault="00960FE5" w:rsidP="00151243">
      <w:pPr>
        <w:pStyle w:val="TOC3"/>
        <w:rPr>
          <w:color w:val="auto"/>
        </w:rPr>
      </w:pPr>
      <w:hyperlink w:anchor="_Section_4._Reinsurance" w:history="1">
        <w:r w:rsidR="00151243" w:rsidRPr="00992D62">
          <w:rPr>
            <w:rStyle w:val="Hyperlink"/>
            <w:color w:val="auto"/>
          </w:rPr>
          <w:t>Section 9:</w:t>
        </w:r>
        <w:r w:rsidR="00151243" w:rsidRPr="00992D62">
          <w:rPr>
            <w:rFonts w:eastAsiaTheme="minorEastAsia"/>
            <w:color w:val="auto"/>
          </w:rPr>
          <w:tab/>
          <w:t>Modeling of Hedges Under a CDHS</w:t>
        </w:r>
        <w:r w:rsidR="00151243" w:rsidRPr="00992D62">
          <w:rPr>
            <w:webHidden/>
            <w:color w:val="auto"/>
          </w:rPr>
          <w:tab/>
          <w:t>21-x</w:t>
        </w:r>
      </w:hyperlink>
    </w:p>
    <w:p w14:paraId="25BCC418" w14:textId="4EE9D723" w:rsidR="00151243" w:rsidRPr="00992D62" w:rsidRDefault="00960FE5" w:rsidP="00151243">
      <w:pPr>
        <w:pStyle w:val="TOC3"/>
        <w:rPr>
          <w:color w:val="auto"/>
        </w:rPr>
      </w:pPr>
      <w:hyperlink w:anchor="_Section_4._Reinsurance" w:history="1">
        <w:r w:rsidR="00151243" w:rsidRPr="00992D62">
          <w:rPr>
            <w:rStyle w:val="Hyperlink"/>
            <w:color w:val="auto"/>
          </w:rPr>
          <w:t>Section 1</w:t>
        </w:r>
        <w:r w:rsidR="00991FA6" w:rsidRPr="00992D62">
          <w:rPr>
            <w:rStyle w:val="Hyperlink"/>
            <w:color w:val="auto"/>
          </w:rPr>
          <w:t>0</w:t>
        </w:r>
        <w:r w:rsidR="00151243" w:rsidRPr="00992D62">
          <w:rPr>
            <w:rStyle w:val="Hyperlink"/>
            <w:color w:val="auto"/>
          </w:rPr>
          <w:t>:</w:t>
        </w:r>
        <w:r w:rsidR="00151243" w:rsidRPr="00992D62">
          <w:rPr>
            <w:rFonts w:eastAsiaTheme="minorEastAsia"/>
            <w:color w:val="auto"/>
          </w:rPr>
          <w:tab/>
          <w:t>Contract</w:t>
        </w:r>
        <w:r>
          <w:rPr>
            <w:rFonts w:eastAsiaTheme="minorEastAsia"/>
            <w:color w:val="auto"/>
          </w:rPr>
          <w:t xml:space="preserve"> </w:t>
        </w:r>
        <w:r w:rsidR="00151243" w:rsidRPr="00992D62">
          <w:rPr>
            <w:rFonts w:eastAsiaTheme="minorEastAsia"/>
            <w:color w:val="auto"/>
          </w:rPr>
          <w:t>Holder Behavior Assumptions</w:t>
        </w:r>
        <w:r w:rsidR="00151243" w:rsidRPr="00992D62">
          <w:rPr>
            <w:webHidden/>
            <w:color w:val="auto"/>
          </w:rPr>
          <w:tab/>
          <w:t>21-x</w:t>
        </w:r>
      </w:hyperlink>
    </w:p>
    <w:p w14:paraId="55BB8477" w14:textId="423FCA30" w:rsidR="00151243" w:rsidRPr="00992D62" w:rsidRDefault="00960FE5" w:rsidP="00151243">
      <w:pPr>
        <w:pStyle w:val="TOC3"/>
        <w:rPr>
          <w:color w:val="auto"/>
        </w:rPr>
      </w:pPr>
      <w:hyperlink w:anchor="_Section_4._Reinsurance" w:history="1">
        <w:r w:rsidR="00991FA6" w:rsidRPr="00992D62">
          <w:rPr>
            <w:rStyle w:val="Hyperlink"/>
            <w:color w:val="auto"/>
          </w:rPr>
          <w:t>Section 11</w:t>
        </w:r>
        <w:r w:rsidR="00151243" w:rsidRPr="00992D62">
          <w:rPr>
            <w:rStyle w:val="Hyperlink"/>
            <w:color w:val="auto"/>
          </w:rPr>
          <w:t>:</w:t>
        </w:r>
        <w:r w:rsidR="00151243" w:rsidRPr="00992D62">
          <w:rPr>
            <w:rFonts w:eastAsiaTheme="minorEastAsia"/>
            <w:color w:val="auto"/>
          </w:rPr>
          <w:tab/>
        </w:r>
        <w:r w:rsidR="00151243" w:rsidRPr="00992D62">
          <w:rPr>
            <w:color w:val="auto"/>
          </w:rPr>
          <w:t>Guidance and Requirements for Setting Prudent Estimate Mortality Assumptions</w:t>
        </w:r>
        <w:r w:rsidR="00151243" w:rsidRPr="00992D62">
          <w:rPr>
            <w:webHidden/>
            <w:color w:val="auto"/>
          </w:rPr>
          <w:tab/>
          <w:t>21-x</w:t>
        </w:r>
      </w:hyperlink>
    </w:p>
    <w:p w14:paraId="22FA5AF2" w14:textId="6A20BCD2" w:rsidR="00991FA6" w:rsidRPr="00992D62" w:rsidRDefault="00960FE5" w:rsidP="00991FA6">
      <w:pPr>
        <w:pStyle w:val="TOC3"/>
        <w:rPr>
          <w:color w:val="auto"/>
        </w:rPr>
      </w:pPr>
      <w:hyperlink w:anchor="_Section_4._Reinsurance" w:history="1">
        <w:r w:rsidR="00991FA6" w:rsidRPr="00992D62">
          <w:rPr>
            <w:rStyle w:val="Hyperlink"/>
            <w:color w:val="auto"/>
          </w:rPr>
          <w:t>Section 12:</w:t>
        </w:r>
        <w:r w:rsidR="00991FA6" w:rsidRPr="00992D62">
          <w:rPr>
            <w:rFonts w:eastAsiaTheme="minorEastAsia"/>
            <w:color w:val="auto"/>
          </w:rPr>
          <w:tab/>
        </w:r>
        <w:r w:rsidR="00991FA6" w:rsidRPr="00992D62">
          <w:rPr>
            <w:rStyle w:val="Hyperlink"/>
            <w:color w:val="auto"/>
          </w:rPr>
          <w:t>Allocation of the Aggr</w:t>
        </w:r>
        <w:r w:rsidR="00DD29B3">
          <w:rPr>
            <w:rStyle w:val="Hyperlink"/>
            <w:color w:val="auto"/>
          </w:rPr>
          <w:t>e</w:t>
        </w:r>
        <w:r w:rsidR="00991FA6" w:rsidRPr="00992D62">
          <w:rPr>
            <w:rStyle w:val="Hyperlink"/>
            <w:color w:val="auto"/>
          </w:rPr>
          <w:t>gate Reserve to the Contract Level</w:t>
        </w:r>
        <w:r w:rsidR="00991FA6" w:rsidRPr="00992D62">
          <w:rPr>
            <w:webHidden/>
            <w:color w:val="auto"/>
          </w:rPr>
          <w:tab/>
          <w:t>21-x</w:t>
        </w:r>
      </w:hyperlink>
    </w:p>
    <w:p w14:paraId="0078F5AB" w14:textId="77777777" w:rsidR="00151243" w:rsidRPr="00992D62" w:rsidRDefault="00151243" w:rsidP="00C27491">
      <w:pPr>
        <w:pStyle w:val="Heading3"/>
        <w:spacing w:after="220"/>
        <w:jc w:val="left"/>
        <w:rPr>
          <w:sz w:val="22"/>
          <w:szCs w:val="22"/>
        </w:rPr>
      </w:pPr>
    </w:p>
    <w:p w14:paraId="307DEDEB" w14:textId="75E8D67A" w:rsidR="0021502F" w:rsidRPr="00BA5485" w:rsidRDefault="0021502F" w:rsidP="009533AE">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750606FB" w:rsidR="00CF0C44" w:rsidRPr="009533AE" w:rsidRDefault="00CF0C44" w:rsidP="009533AE">
      <w:pPr>
        <w:spacing w:before="100" w:beforeAutospacing="1" w:after="100" w:afterAutospacing="1" w:line="240" w:lineRule="auto"/>
        <w:ind w:left="720"/>
        <w:rPr>
          <w:rFonts w:ascii="TimesNewRomanPSMT" w:hAnsi="TimesNewRomanPSMT"/>
        </w:rPr>
      </w:pPr>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 xml:space="preserve">as defined in </w:t>
      </w:r>
      <w:r w:rsidR="00151243">
        <w:rPr>
          <w:rFonts w:ascii="TimesNewRomanPSMT" w:eastAsia="Times New Roman" w:hAnsi="TimesNewRomanPSMT"/>
        </w:rPr>
        <w:t>Section 2.A</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r w:rsidRPr="009533AE">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9533AE">
        <w:rPr>
          <w:rFonts w:ascii="TimesNewRomanPSMT" w:hAnsi="TimesNewRomanPSMT"/>
        </w:rPr>
        <w:t>Reserve Valuation Method (</w:t>
      </w:r>
      <w:r w:rsidR="0021502F" w:rsidRPr="00BA5485">
        <w:rPr>
          <w:rFonts w:ascii="Times New Roman" w:eastAsia="Times New Roman" w:hAnsi="Times New Roman"/>
        </w:rPr>
        <w:t>CARVM</w:t>
      </w:r>
      <w:r w:rsidRPr="009533AE">
        <w:rPr>
          <w:rFonts w:ascii="TimesNewRomanPSMT" w:hAnsi="TimesNewRomanPSMT"/>
        </w:rPr>
        <w:t xml:space="preserve">) for </w:t>
      </w:r>
      <w:r w:rsidR="00C46216" w:rsidRPr="006D19A6">
        <w:rPr>
          <w:rFonts w:ascii="TimesNewRomanPSMT" w:hAnsi="TimesNewRomanPSMT"/>
        </w:rPr>
        <w:t>all contracts encompassed by</w:t>
      </w:r>
      <w:r w:rsidR="00151243">
        <w:rPr>
          <w:rFonts w:ascii="TimesNewRomanPSMT" w:hAnsi="TimesNewRomanPSMT"/>
        </w:rPr>
        <w:t xml:space="preserve"> Section 2.A</w:t>
      </w:r>
      <w:r w:rsidR="00C46216" w:rsidRPr="006D19A6">
        <w:rPr>
          <w:rFonts w:ascii="TimesNewRomanPSMT" w:hAnsi="TimesNewRomanPSMT"/>
        </w:rPr>
        <w:t>.</w:t>
      </w:r>
      <w:r w:rsidRPr="00CF0C44">
        <w:rPr>
          <w:rFonts w:ascii="TimesNewRomanPSMT" w:eastAsia="Times New Roman" w:hAnsi="TimesNewRomanPSMT"/>
        </w:rPr>
        <w:t xml:space="preserve"> </w:t>
      </w:r>
    </w:p>
    <w:p w14:paraId="1E0BA0C8" w14:textId="0346C565"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r w:rsidR="001D262A">
        <w:rPr>
          <w:rFonts w:ascii="Times New Roman" w:eastAsia="Times New Roman" w:hAnsi="Times New Roman"/>
          <w:i/>
        </w:rPr>
        <w:t>f</w:t>
      </w:r>
      <w:r w:rsidRPr="007C2CC9">
        <w:rPr>
          <w:rFonts w:ascii="Times New Roman" w:eastAsia="Times New Roman" w:hAnsi="Times New Roman"/>
          <w:i/>
        </w:rPr>
        <w:t>or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2350AA81"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r w:rsidR="00151243" w:rsidRPr="00151243">
        <w:t xml:space="preserve"> </w:t>
      </w:r>
      <w:r w:rsidR="00151243" w:rsidRPr="00151243">
        <w:rPr>
          <w:rFonts w:ascii="Times New Roman" w:eastAsia="Times New Roman" w:hAnsi="Times New Roman"/>
        </w:rPr>
        <w:t>Effectively, through reference in AG 43, the reserve requirements in VM-21 also apply to those contracts issued prior to January 1, 2017 that would otherwise be encompassed by the scope of VM-21</w:t>
      </w:r>
      <w:r w:rsidR="00151243">
        <w:rPr>
          <w:rFonts w:ascii="Times New Roman" w:eastAsia="Times New Roman" w:hAnsi="Times New Roman"/>
        </w:rPr>
        <w:t>.</w:t>
      </w:r>
      <w:r w:rsidRPr="00CA1DFC">
        <w:rPr>
          <w:rFonts w:ascii="Times New Roman" w:eastAsia="Times New Roman" w:hAnsi="Times New Roman"/>
        </w:rPr>
        <w:t xml:space="preserve"> </w:t>
      </w:r>
      <w:r w:rsidR="00151243">
        <w:rPr>
          <w:rFonts w:ascii="Times New Roman" w:eastAsia="Times New Roman" w:hAnsi="Times New Roman"/>
        </w:rPr>
        <w:t>R</w:t>
      </w:r>
      <w:r w:rsidRPr="00CA1DFC">
        <w:rPr>
          <w:rFonts w:ascii="Times New Roman" w:eastAsia="Times New Roman" w:hAnsi="Times New Roman"/>
        </w:rPr>
        <w:t>eserves for contracts subject to both VM-21 and AG 43 may be computed as a single group. If a company chooses to aggregate business subject to AG 43 with 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ED05E31"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7D13661D"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the </w:t>
      </w:r>
      <w:r w:rsidR="006E6F7F">
        <w:rPr>
          <w:rFonts w:ascii="Times New Roman" w:eastAsia="Times New Roman" w:hAnsi="Times New Roman"/>
        </w:rPr>
        <w:t>stochastic reserve</w:t>
      </w:r>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r w:rsidR="00B44BCA">
        <w:rPr>
          <w:rFonts w:ascii="Times New Roman" w:eastAsia="Times New Roman" w:hAnsi="Times New Roman"/>
        </w:rPr>
        <w:t xml:space="preserve">interpreting and </w:t>
      </w:r>
      <w:r w:rsidRPr="00BA5485">
        <w:rPr>
          <w:rFonts w:ascii="Times New Roman" w:eastAsia="Times New Roman" w:hAnsi="Times New Roman"/>
        </w:rPr>
        <w:t>applying the methodology in these requirements and analyzing the resulting reserves.</w:t>
      </w:r>
    </w:p>
    <w:p w14:paraId="593146B7" w14:textId="6C414F0F"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those contracts that fall within the scope of these requirements and are in force as of the valuation date to which these requirements are applied.</w:t>
      </w:r>
    </w:p>
    <w:p w14:paraId="5272C21B" w14:textId="03381B7E"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r w:rsidR="006E6F7F">
        <w:rPr>
          <w:rFonts w:ascii="Times New Roman" w:eastAsia="Times New Roman" w:hAnsi="Times New Roman"/>
        </w:rPr>
        <w:t>stochastic reserve</w:t>
      </w:r>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59B344BA"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lastRenderedPageBreak/>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r w:rsidR="006E6F7F">
        <w:rPr>
          <w:rFonts w:ascii="Times New Roman" w:eastAsia="Times New Roman" w:hAnsi="Times New Roman"/>
        </w:rPr>
        <w:t>stochastic reserve</w:t>
      </w:r>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statutory balance sheet approach by including all projected income, benefit and expense items related to the business in the model and sets the </w:t>
      </w:r>
      <w:r w:rsidR="006E6F7F">
        <w:rPr>
          <w:rFonts w:ascii="Times New Roman" w:eastAsia="Times New Roman" w:hAnsi="Times New Roman"/>
        </w:rPr>
        <w:t>stochastic reserve</w:t>
      </w:r>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deficiencies that is deemed to be reasonably conservative over the span of economic cycles.</w:t>
      </w:r>
    </w:p>
    <w:p w14:paraId="26CEC724" w14:textId="77777777"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76B5C8BB"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6E6F7F">
        <w:rPr>
          <w:rFonts w:ascii="Times New Roman" w:eastAsia="Times New Roman" w:hAnsi="Times New Roman"/>
        </w:rPr>
        <w:t>stochastic reserve</w:t>
      </w:r>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r w:rsidR="006E6F7F">
        <w:rPr>
          <w:rFonts w:ascii="Times New Roman" w:eastAsia="Times New Roman" w:hAnsi="Times New Roman"/>
        </w:rPr>
        <w:t>stochastic reserve</w:t>
      </w:r>
      <w:r w:rsidRPr="00BA5485">
        <w:rPr>
          <w:rFonts w:ascii="Times New Roman" w:eastAsia="Times New Roman" w:hAnsi="Times New Roman"/>
        </w:rPr>
        <w:t xml:space="preserve">, the </w:t>
      </w:r>
      <w:r w:rsidR="0031448A">
        <w:rPr>
          <w:rFonts w:ascii="Times New Roman" w:eastAsia="Times New Roman" w:hAnsi="Times New Roman"/>
        </w:rPr>
        <w:t>company</w:t>
      </w:r>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23E9F121"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intent of Principle 3 is to describe the conceptual framework for setting assumptions. Section 1</w:t>
      </w:r>
      <w:r w:rsidR="009A56D0">
        <w:rPr>
          <w:rFonts w:ascii="Times New Roman" w:eastAsia="Times New Roman" w:hAnsi="Times New Roman"/>
        </w:rPr>
        <w:t>0</w:t>
      </w:r>
      <w:r w:rsidRPr="00BA5485">
        <w:rPr>
          <w:rFonts w:ascii="Times New Roman" w:eastAsia="Times New Roman" w:hAnsi="Times New Roman"/>
        </w:rPr>
        <w:t xml:space="preserve"> provides the requirements and guidance for setting contract</w:t>
      </w:r>
      <w:r w:rsidR="00960FE5">
        <w:rPr>
          <w:rFonts w:ascii="Times New Roman" w:eastAsia="Times New Roman" w:hAnsi="Times New Roman"/>
        </w:rPr>
        <w:t xml:space="preserve"> </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r w:rsidR="00FA5FBF">
        <w:rPr>
          <w:rFonts w:ascii="Times New Roman" w:eastAsia="Times New Roman" w:hAnsi="Times New Roman"/>
        </w:rPr>
        <w:t>company</w:t>
      </w:r>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57BB2D64"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r w:rsidR="006E6F7F">
        <w:rPr>
          <w:rFonts w:ascii="Times New Roman" w:eastAsia="Times New Roman" w:hAnsi="Times New Roman"/>
        </w:rPr>
        <w:t>stochastic reserve</w:t>
      </w:r>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00C1111D" w:rsidR="0021502F" w:rsidRPr="00BA5485" w:rsidRDefault="0021502F" w:rsidP="009533AE">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r w:rsidR="006E6F7F">
        <w:rPr>
          <w:rFonts w:ascii="Times New Roman" w:eastAsia="Times New Roman" w:hAnsi="Times New Roman"/>
        </w:rPr>
        <w:t>stochastic reserve</w:t>
      </w:r>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6E6F7F">
        <w:rPr>
          <w:rFonts w:ascii="Times New Roman" w:eastAsia="Times New Roman" w:hAnsi="Times New Roman"/>
        </w:rPr>
        <w:t>stochastic reserve</w:t>
      </w:r>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BA5485" w:rsidRDefault="0021502F" w:rsidP="009533AE">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Risks Reflected</w:t>
      </w:r>
      <w:r w:rsidR="009A56D0">
        <w:rPr>
          <w:rFonts w:ascii="Times New Roman" w:eastAsia="Times New Roman" w:hAnsi="Times New Roman"/>
        </w:rPr>
        <w:t xml:space="preserve"> </w:t>
      </w:r>
      <w:r w:rsidR="009A56D0" w:rsidRPr="0060001D">
        <w:rPr>
          <w:rFonts w:ascii="Times New Roman" w:eastAsia="Times New Roman" w:hAnsi="Times New Roman"/>
        </w:rPr>
        <w:t>and Risks not Reflected</w:t>
      </w:r>
    </w:p>
    <w:p w14:paraId="319A86CC"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09BA3C3D"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lastRenderedPageBreak/>
        <w:t>a.</w:t>
      </w:r>
      <w:r w:rsidRPr="00BA5485">
        <w:rPr>
          <w:rFonts w:ascii="Times New Roman" w:eastAsia="Times New Roman" w:hAnsi="Times New Roman"/>
        </w:rPr>
        <w:tab/>
        <w:t>Directly related to the contracts falling under the scope of these requirements or their supporting assets</w:t>
      </w:r>
      <w:r w:rsidR="00A13F1E">
        <w:rPr>
          <w:rFonts w:ascii="Times New Roman" w:eastAsia="Times New Roman" w:hAnsi="Times New Roman"/>
        </w:rPr>
        <w:t>, and</w:t>
      </w:r>
    </w:p>
    <w:p w14:paraId="6A710F99" w14:textId="77777777"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48A59434"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r w:rsidR="00883ADC">
        <w:rPr>
          <w:rFonts w:ascii="Times New Roman" w:eastAsia="Times New Roman" w:hAnsi="Times New Roman"/>
        </w:rPr>
        <w:t>r</w:t>
      </w:r>
      <w:r w:rsidR="00883ADC" w:rsidRPr="00465680">
        <w:rPr>
          <w:rFonts w:ascii="Times New Roman" w:eastAsia="Times New Roman" w:hAnsi="Times New Roman"/>
        </w:rPr>
        <w:t>isks</w:t>
      </w:r>
    </w:p>
    <w:p w14:paraId="5EA4E0A2"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13335C08"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B70048">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345E657D"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r w:rsidR="00883ADC">
        <w:rPr>
          <w:rFonts w:ascii="Times New Roman" w:eastAsia="Times New Roman" w:hAnsi="Times New Roman"/>
        </w:rPr>
        <w:t>r</w:t>
      </w:r>
      <w:r w:rsidR="00883ADC" w:rsidRPr="00465680">
        <w:rPr>
          <w:rFonts w:ascii="Times New Roman" w:eastAsia="Times New Roman" w:hAnsi="Times New Roman"/>
        </w:rPr>
        <w:t>isks</w:t>
      </w:r>
    </w:p>
    <w:p w14:paraId="1FAD869E"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24684A4C"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r w:rsidR="00883ADC">
        <w:rPr>
          <w:rFonts w:ascii="Times New Roman" w:eastAsia="Times New Roman" w:hAnsi="Times New Roman"/>
        </w:rPr>
        <w:t>r</w:t>
      </w:r>
      <w:r w:rsidR="00883ADC" w:rsidRPr="00465680">
        <w:rPr>
          <w:rFonts w:ascii="Times New Roman" w:eastAsia="Times New Roman" w:hAnsi="Times New Roman"/>
        </w:rPr>
        <w:t>isks</w:t>
      </w:r>
    </w:p>
    <w:p w14:paraId="4319551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4FF70FF0"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lastRenderedPageBreak/>
        <w:t>a.</w:t>
      </w:r>
      <w:r w:rsidRPr="00BA5485">
        <w:rPr>
          <w:rFonts w:ascii="Times New Roman" w:eastAsia="Times New Roman" w:hAnsi="Times New Roman"/>
        </w:rPr>
        <w:tab/>
        <w:t xml:space="preserve">Those not reflected in the determination of </w:t>
      </w:r>
      <w:r w:rsidR="00883ADC">
        <w:rPr>
          <w:rFonts w:ascii="Times New Roman" w:eastAsia="Times New Roman" w:hAnsi="Times New Roman"/>
        </w:rPr>
        <w:t>RBC</w:t>
      </w:r>
      <w:r w:rsidR="00A4285C">
        <w:rPr>
          <w:rFonts w:ascii="Times New Roman" w:eastAsia="Times New Roman" w:hAnsi="Times New Roman"/>
        </w:rPr>
        <w:t>.</w:t>
      </w:r>
    </w:p>
    <w:p w14:paraId="3AC24C37" w14:textId="77777777"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1BF185CD" w:rsidR="0021502F" w:rsidRPr="00BA5485" w:rsidRDefault="00B842C5" w:rsidP="00067EEF">
      <w:pPr>
        <w:spacing w:after="220" w:line="240" w:lineRule="auto"/>
        <w:ind w:left="2880" w:hanging="720"/>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r>
      <w:r w:rsidR="0021502F" w:rsidRPr="00BA5485">
        <w:rPr>
          <w:rFonts w:ascii="Times New Roman" w:eastAsia="Times New Roman" w:hAnsi="Times New Roman"/>
        </w:rPr>
        <w:t>Liquidity risks associated with a “run on the bank”</w:t>
      </w:r>
      <w:r w:rsidR="00CA72F2">
        <w:rPr>
          <w:rFonts w:ascii="Times New Roman" w:eastAsia="Times New Roman" w:hAnsi="Times New Roman"/>
        </w:rPr>
        <w:t>.</w:t>
      </w:r>
    </w:p>
    <w:p w14:paraId="3307E060" w14:textId="1BA6D6E0" w:rsidR="0021502F" w:rsidRPr="00BA5485" w:rsidRDefault="00B842C5" w:rsidP="00067EEF">
      <w:pPr>
        <w:spacing w:after="220" w:line="240" w:lineRule="auto"/>
        <w:ind w:left="2160" w:hanging="720"/>
        <w:rPr>
          <w:rFonts w:ascii="Times New Roman" w:eastAsia="Times New Roman" w:hAnsi="Times New Roman"/>
        </w:rPr>
      </w:pPr>
      <w:r>
        <w:rPr>
          <w:rFonts w:ascii="Times New Roman" w:eastAsia="Times New Roman" w:hAnsi="Times New Roman"/>
        </w:rPr>
        <w:t>b</w:t>
      </w:r>
      <w:r w:rsidR="0021502F" w:rsidRPr="00BA5485">
        <w:rPr>
          <w:rFonts w:ascii="Times New Roman" w:eastAsia="Times New Roman" w:hAnsi="Times New Roman"/>
        </w:rPr>
        <w:t>.</w:t>
      </w:r>
      <w:r w:rsidR="0021502F"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6A8E1B33" w:rsidR="0021502F" w:rsidRPr="00BA5485" w:rsidRDefault="00B842C5" w:rsidP="00067EEF">
      <w:pPr>
        <w:spacing w:after="220" w:line="240" w:lineRule="auto"/>
        <w:ind w:left="2160" w:hanging="720"/>
        <w:rPr>
          <w:rFonts w:ascii="Times New Roman" w:eastAsia="Times New Roman" w:hAnsi="Times New Roman"/>
        </w:rPr>
      </w:pPr>
      <w:r>
        <w:rPr>
          <w:rFonts w:ascii="Times New Roman" w:eastAsia="Times New Roman" w:hAnsi="Times New Roman"/>
        </w:rPr>
        <w:t>c</w:t>
      </w:r>
      <w:r w:rsidR="0021502F" w:rsidRPr="00BA5485">
        <w:rPr>
          <w:rFonts w:ascii="Times New Roman" w:eastAsia="Times New Roman" w:hAnsi="Times New Roman"/>
        </w:rPr>
        <w:t>.</w:t>
      </w:r>
      <w:r w:rsidR="0021502F" w:rsidRPr="00BA5485">
        <w:rPr>
          <w:rFonts w:ascii="Times New Roman" w:eastAsia="Times New Roman" w:hAnsi="Times New Roman"/>
        </w:rPr>
        <w:tab/>
        <w:t xml:space="preserve">General </w:t>
      </w:r>
      <w:r w:rsidR="00A128C8">
        <w:rPr>
          <w:rFonts w:ascii="Times New Roman" w:eastAsia="Times New Roman" w:hAnsi="Times New Roman"/>
        </w:rPr>
        <w:t>b</w:t>
      </w:r>
      <w:r w:rsidR="0021502F" w:rsidRPr="00BA5485">
        <w:rPr>
          <w:rFonts w:ascii="Times New Roman" w:eastAsia="Times New Roman" w:hAnsi="Times New Roman"/>
        </w:rPr>
        <w:t xml:space="preserve">usiness </w:t>
      </w:r>
      <w:r w:rsidR="00A128C8">
        <w:rPr>
          <w:rFonts w:ascii="Times New Roman" w:eastAsia="Times New Roman" w:hAnsi="Times New Roman"/>
        </w:rPr>
        <w:t>r</w:t>
      </w:r>
      <w:r w:rsidR="0021502F" w:rsidRPr="00BA5485">
        <w:rPr>
          <w:rFonts w:ascii="Times New Roman" w:eastAsia="Times New Roman" w:hAnsi="Times New Roman"/>
        </w:rPr>
        <w:t>isks</w:t>
      </w:r>
    </w:p>
    <w:p w14:paraId="31D90355"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16631403" w14:textId="77777777" w:rsidR="00A126D8" w:rsidRPr="00A126D8" w:rsidRDefault="00A126D8" w:rsidP="00A126D8">
      <w:pPr>
        <w:pStyle w:val="Heading3"/>
        <w:rPr>
          <w:b w:val="0"/>
        </w:rPr>
      </w:pPr>
      <w:r w:rsidRPr="00067EEF">
        <w:rPr>
          <w:b w:val="0"/>
        </w:rPr>
        <w:t>D.</w:t>
      </w:r>
      <w:r w:rsidRPr="00067EEF">
        <w:rPr>
          <w:b w:val="0"/>
        </w:rPr>
        <w:tab/>
      </w:r>
      <w:r w:rsidRPr="00A126D8">
        <w:rPr>
          <w:b w:val="0"/>
        </w:rPr>
        <w:t>Definitions</w:t>
      </w:r>
    </w:p>
    <w:p w14:paraId="720386BC" w14:textId="77777777" w:rsidR="00A126D8" w:rsidRPr="00067EEF" w:rsidRDefault="00A126D8" w:rsidP="00067EEF">
      <w:pPr>
        <w:spacing w:after="0"/>
      </w:pPr>
    </w:p>
    <w:p w14:paraId="5D7E7271" w14:textId="77777777" w:rsidR="004E4618" w:rsidRPr="00465680" w:rsidRDefault="004E4618" w:rsidP="00067EEF">
      <w:pPr>
        <w:pStyle w:val="ListParagraph"/>
        <w:numPr>
          <w:ilvl w:val="0"/>
          <w:numId w:val="36"/>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p>
    <w:p w14:paraId="083299BD" w14:textId="77777777" w:rsidR="004E4618" w:rsidRDefault="004E4618" w:rsidP="004E4618">
      <w:pPr>
        <w:pStyle w:val="ListParagraph"/>
        <w:tabs>
          <w:tab w:val="left" w:pos="1440"/>
        </w:tabs>
        <w:spacing w:after="220" w:line="240" w:lineRule="auto"/>
        <w:ind w:left="1440"/>
        <w:rPr>
          <w:rFonts w:ascii="Times New Roman" w:eastAsia="Times New Roman" w:hAnsi="Times New Roman"/>
        </w:rPr>
      </w:pPr>
    </w:p>
    <w:p w14:paraId="0C54DDB9" w14:textId="2C8BBF32" w:rsidR="00A126D8" w:rsidRPr="004820BA" w:rsidRDefault="00A126D8" w:rsidP="00E87EFC">
      <w:pPr>
        <w:pStyle w:val="ListParagraph"/>
        <w:numPr>
          <w:ilvl w:val="0"/>
          <w:numId w:val="36"/>
        </w:numPr>
        <w:tabs>
          <w:tab w:val="left" w:pos="1440"/>
        </w:tabs>
        <w:spacing w:after="220" w:line="240" w:lineRule="auto"/>
        <w:ind w:hanging="720"/>
        <w:rPr>
          <w:rFonts w:ascii="Times New Roman" w:eastAsia="Times New Roman" w:hAnsi="Times New Roman"/>
        </w:rPr>
      </w:pPr>
      <w:r>
        <w:rPr>
          <w:rFonts w:ascii="Times New Roman" w:eastAsia="Times New Roman" w:hAnsi="Times New Roman"/>
        </w:rPr>
        <w:lastRenderedPageBreak/>
        <w:t xml:space="preserve">The term “clearly defined hedging strategy” (CDHS) means a designation </w:t>
      </w:r>
      <w:r w:rsidRPr="004820BA">
        <w:rPr>
          <w:rFonts w:ascii="Times New Roman" w:eastAsia="Times New Roman" w:hAnsi="Times New Roman"/>
        </w:rPr>
        <w:t xml:space="preserve">that applies to strategies undertaken by a company to manage risks through the future purchase or sale of hedging instruments and the opening and closing of hedging positions. The hedge strategy may be dynamic, </w:t>
      </w:r>
      <w:r>
        <w:rPr>
          <w:rFonts w:ascii="Times New Roman" w:eastAsia="Times New Roman" w:hAnsi="Times New Roman"/>
        </w:rPr>
        <w:t>static or a combination thereof. I</w:t>
      </w:r>
      <w:r w:rsidRPr="004820BA">
        <w:rPr>
          <w:rFonts w:ascii="Times New Roman" w:eastAsia="Times New Roman" w:hAnsi="Times New Roman"/>
        </w:rPr>
        <w:t xml:space="preserve">n order to qualify as a clearly defined hedging strategy, the strategy must meet the principles outlined in Section 1.B (particularly Principle 5) and shall, at a minimum, identify: </w:t>
      </w:r>
    </w:p>
    <w:p w14:paraId="2ECACCC3"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specific risks being hedged (e.g., delta, rho, vega, etc.). </w:t>
      </w:r>
    </w:p>
    <w:p w14:paraId="351E246A"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hedge objectives. </w:t>
      </w:r>
    </w:p>
    <w:p w14:paraId="6067CC99"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risks not being hedged (e.g., variation from expected mortality, withdrawal, and other utilization or decrement rates assumed in the hedging strategy, etc.). </w:t>
      </w:r>
    </w:p>
    <w:p w14:paraId="0920FE79"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financial instruments that will be used to hedge the risks. </w:t>
      </w:r>
    </w:p>
    <w:p w14:paraId="51CF2938"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hedge trading rules, including the permitted tolerances from hedging objectives. </w:t>
      </w:r>
    </w:p>
    <w:p w14:paraId="136D2B34"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metric(s) for measuring hedging effectiveness. </w:t>
      </w:r>
    </w:p>
    <w:p w14:paraId="5E1F25E8"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criteria that will be used to measure hedging effectiveness. </w:t>
      </w:r>
    </w:p>
    <w:p w14:paraId="6BFE2213"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frequency of measuring hedging effectiveness. </w:t>
      </w:r>
    </w:p>
    <w:p w14:paraId="0F6E2938" w14:textId="77777777" w:rsidR="00A126D8" w:rsidRPr="004820BA"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 xml:space="preserve">The conditions under which hedging will not take place. </w:t>
      </w:r>
    </w:p>
    <w:p w14:paraId="102FF5A1" w14:textId="7443E570" w:rsidR="00A126D8"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4820BA">
        <w:rPr>
          <w:rFonts w:ascii="Times New Roman" w:eastAsia="Times New Roman" w:hAnsi="Times New Roman"/>
        </w:rPr>
        <w:t>The person or persons responsible for implementing the hedging strategy.</w:t>
      </w:r>
    </w:p>
    <w:p w14:paraId="3DBE3B5E" w14:textId="77777777" w:rsidR="00B518AF" w:rsidRPr="00B518AF" w:rsidRDefault="00B518AF" w:rsidP="00B518AF">
      <w:pPr>
        <w:tabs>
          <w:tab w:val="left" w:pos="1440"/>
        </w:tabs>
        <w:spacing w:after="220" w:line="240" w:lineRule="auto"/>
        <w:rPr>
          <w:rFonts w:ascii="Times New Roman" w:eastAsia="Times New Roman" w:hAnsi="Times New Roman"/>
        </w:rPr>
      </w:pPr>
    </w:p>
    <w:p w14:paraId="6BC5F2FE" w14:textId="746CB9CA" w:rsidR="004E4618" w:rsidRPr="00B518AF" w:rsidRDefault="004E4618" w:rsidP="00E87EFC">
      <w:pPr>
        <w:pStyle w:val="ListParagraph"/>
        <w:numPr>
          <w:ilvl w:val="0"/>
          <w:numId w:val="36"/>
        </w:numPr>
        <w:tabs>
          <w:tab w:val="left" w:pos="1440"/>
        </w:tabs>
        <w:spacing w:after="220" w:line="240" w:lineRule="auto"/>
        <w:ind w:hanging="720"/>
        <w:rPr>
          <w:rFonts w:ascii="Times New Roman" w:eastAsia="Times New Roman" w:hAnsi="Times New Roman"/>
        </w:rPr>
      </w:pPr>
      <w:r>
        <w:rPr>
          <w:rFonts w:ascii="Times New Roman" w:eastAsia="Times New Roman" w:hAnsi="Times New Roman"/>
        </w:rPr>
        <w:t xml:space="preserve">The term “total asset requirement” </w:t>
      </w:r>
      <w:r w:rsidR="00B518AF">
        <w:rPr>
          <w:rFonts w:ascii="Times New Roman" w:eastAsia="Times New Roman" w:hAnsi="Times New Roman"/>
        </w:rPr>
        <w:t xml:space="preserve">(TAR) </w:t>
      </w:r>
      <w:r>
        <w:rPr>
          <w:rFonts w:ascii="Times New Roman" w:eastAsia="Times New Roman" w:hAnsi="Times New Roman"/>
        </w:rPr>
        <w:t>means the sum of the reserve</w:t>
      </w:r>
      <w:r w:rsidR="00B518AF">
        <w:rPr>
          <w:rFonts w:ascii="Times New Roman" w:eastAsia="Times New Roman" w:hAnsi="Times New Roman"/>
        </w:rPr>
        <w:t xml:space="preserve"> determined from these requirements prior to any </w:t>
      </w:r>
      <w:r w:rsidR="00DD29B3">
        <w:rPr>
          <w:rFonts w:ascii="Times New Roman" w:eastAsia="Times New Roman" w:hAnsi="Times New Roman"/>
        </w:rPr>
        <w:t>adjustment</w:t>
      </w:r>
      <w:r w:rsidR="00B518AF">
        <w:rPr>
          <w:rFonts w:ascii="Times New Roman" w:eastAsia="Times New Roman" w:hAnsi="Times New Roman"/>
        </w:rPr>
        <w:t xml:space="preserve"> for the elective phase-in plus the </w:t>
      </w:r>
      <w:r w:rsidR="003C482A">
        <w:rPr>
          <w:rFonts w:ascii="Times New Roman" w:eastAsia="Times New Roman" w:hAnsi="Times New Roman"/>
        </w:rPr>
        <w:t>risk-based</w:t>
      </w:r>
      <w:r w:rsidR="00B518AF">
        <w:rPr>
          <w:rFonts w:ascii="Times New Roman" w:eastAsia="Times New Roman" w:hAnsi="Times New Roman"/>
        </w:rPr>
        <w:t xml:space="preserve"> capital amount from LR027 step 4 prior to any adjustment for phase-in or smoothing.</w:t>
      </w:r>
      <w:r>
        <w:rPr>
          <w:rFonts w:ascii="Times New Roman" w:eastAsia="Times New Roman" w:hAnsi="Times New Roman"/>
        </w:rPr>
        <w:t xml:space="preserve"> </w:t>
      </w:r>
    </w:p>
    <w:p w14:paraId="1AEEE261" w14:textId="77777777" w:rsidR="00A126D8" w:rsidRPr="004820BA" w:rsidRDefault="00A126D8" w:rsidP="00067EEF">
      <w:pPr>
        <w:tabs>
          <w:tab w:val="left" w:pos="1440"/>
        </w:tabs>
        <w:spacing w:after="220" w:line="240" w:lineRule="auto"/>
        <w:rPr>
          <w:rFonts w:ascii="Times New Roman" w:eastAsia="Times New Roman" w:hAnsi="Times New Roman"/>
        </w:rPr>
      </w:pPr>
    </w:p>
    <w:p w14:paraId="596F6240" w14:textId="77777777" w:rsidR="00A126D8" w:rsidRPr="004820BA" w:rsidRDefault="00A126D8" w:rsidP="00067EEF">
      <w:pPr>
        <w:pBdr>
          <w:top w:val="single" w:sz="4" w:space="1" w:color="auto"/>
          <w:left w:val="single" w:sz="4" w:space="4" w:color="auto"/>
          <w:bottom w:val="single" w:sz="4" w:space="1" w:color="auto"/>
          <w:right w:val="single" w:sz="4" w:space="4" w:color="auto"/>
        </w:pBdr>
        <w:spacing w:after="220" w:line="240" w:lineRule="auto"/>
        <w:ind w:left="1440" w:hanging="630"/>
        <w:rPr>
          <w:rFonts w:ascii="Times New Roman" w:eastAsia="Times New Roman" w:hAnsi="Times New Roman"/>
        </w:rPr>
      </w:pPr>
      <w:r w:rsidRPr="004820BA">
        <w:rPr>
          <w:rFonts w:ascii="Times New Roman" w:eastAsia="Times New Roman" w:hAnsi="Times New Roman"/>
          <w:b/>
          <w:bCs/>
        </w:rPr>
        <w:t xml:space="preserve">Guidance Note: </w:t>
      </w:r>
      <w:r w:rsidRPr="004820BA">
        <w:rPr>
          <w:rFonts w:ascii="Times New Roman" w:hAnsi="Times New Roman"/>
        </w:rPr>
        <w:t>It is important to note that strategies involving the offsetting of the risks associated with variable annuity guarantees with other products outside of the scope of these requirements (e.g., equity-indexed annuities) do not currently qualify as a clearly defined hedging strategy under these requirements</w:t>
      </w:r>
      <w:r w:rsidRPr="004820BA">
        <w:rPr>
          <w:rFonts w:ascii="Times New Roman" w:eastAsia="Times New Roman" w:hAnsi="Times New Roman"/>
        </w:rPr>
        <w:t>.</w:t>
      </w:r>
    </w:p>
    <w:p w14:paraId="097C345D" w14:textId="77777777" w:rsidR="00A126D8" w:rsidRDefault="00A126D8" w:rsidP="005F7412">
      <w:pPr>
        <w:pStyle w:val="Heading3"/>
      </w:pPr>
    </w:p>
    <w:p w14:paraId="1D5CBA8D" w14:textId="77777777" w:rsidR="00A126D8" w:rsidRDefault="00A126D8" w:rsidP="005F7412">
      <w:pPr>
        <w:pStyle w:val="Heading3"/>
      </w:pPr>
    </w:p>
    <w:p w14:paraId="5C37A0D8" w14:textId="09C4F01F" w:rsidR="005F7412" w:rsidRPr="00067EEF" w:rsidRDefault="005F7412" w:rsidP="00067EEF">
      <w:pPr>
        <w:pStyle w:val="Heading3"/>
      </w:pPr>
      <w:r w:rsidRPr="00B11E86">
        <w:rPr>
          <w:sz w:val="22"/>
          <w:szCs w:val="22"/>
        </w:rPr>
        <w:t xml:space="preserve">Section 2:  </w:t>
      </w:r>
      <w:r w:rsidRPr="00067EEF">
        <w:rPr>
          <w:sz w:val="22"/>
        </w:rPr>
        <w:t>Scope</w:t>
      </w:r>
      <w:r w:rsidRPr="00B11E86">
        <w:rPr>
          <w:sz w:val="22"/>
          <w:szCs w:val="22"/>
        </w:rPr>
        <w:t xml:space="preserve"> and Effective Date</w:t>
      </w:r>
    </w:p>
    <w:p w14:paraId="724A4465" w14:textId="77777777" w:rsidR="00A80743" w:rsidRDefault="00A80743" w:rsidP="00CC2E32">
      <w:pPr>
        <w:spacing w:after="220" w:line="240" w:lineRule="auto"/>
        <w:ind w:left="720" w:hanging="720"/>
        <w:rPr>
          <w:rFonts w:ascii="Times New Roman" w:eastAsia="Times New Roman" w:hAnsi="Times New Roman"/>
        </w:rPr>
      </w:pPr>
    </w:p>
    <w:p w14:paraId="3624E9A3" w14:textId="372C39E3" w:rsidR="0021502F" w:rsidRPr="00BA5485" w:rsidRDefault="00A80743" w:rsidP="00C27491">
      <w:pPr>
        <w:spacing w:after="220" w:line="240" w:lineRule="auto"/>
        <w:ind w:left="720" w:hanging="720"/>
        <w:rPr>
          <w:rFonts w:ascii="Times New Roman" w:eastAsia="Times New Roman" w:hAnsi="Times New Roman"/>
        </w:rPr>
      </w:pPr>
      <w:r>
        <w:rPr>
          <w:rFonts w:ascii="Times New Roman" w:eastAsia="Times New Roman" w:hAnsi="Times New Roman"/>
        </w:rPr>
        <w:t>A</w:t>
      </w:r>
      <w:r w:rsidR="0021502F" w:rsidRPr="00BA5485">
        <w:rPr>
          <w:rFonts w:ascii="Times New Roman" w:eastAsia="Times New Roman" w:hAnsi="Times New Roman"/>
        </w:rPr>
        <w:t>.</w:t>
      </w:r>
      <w:r w:rsidR="0021502F" w:rsidRPr="00BA5485">
        <w:rPr>
          <w:rFonts w:ascii="Times New Roman" w:eastAsia="Times New Roman" w:hAnsi="Times New Roman"/>
        </w:rPr>
        <w:tab/>
        <w:t>Scope</w:t>
      </w:r>
    </w:p>
    <w:p w14:paraId="4123E7C9" w14:textId="37E266FE"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The following categories of annuities or product features</w:t>
      </w:r>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r w:rsidRPr="00BA5485">
        <w:rPr>
          <w:rFonts w:ascii="Times New Roman" w:eastAsia="Times New Roman" w:hAnsi="Times New Roman"/>
        </w:rPr>
        <w:t xml:space="preserve">, directly written or assumed through reinsurance, are </w:t>
      </w:r>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r w:rsidRPr="00BA5485">
        <w:rPr>
          <w:rFonts w:ascii="Times New Roman" w:eastAsia="Times New Roman" w:hAnsi="Times New Roman"/>
        </w:rPr>
        <w:t>:</w:t>
      </w:r>
    </w:p>
    <w:p w14:paraId="197FCE22" w14:textId="0395E2B0"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 whether or not such contracts contain GMDBs or VAGLBs</w:t>
      </w:r>
      <w:r w:rsidR="009D7E97">
        <w:rPr>
          <w:rFonts w:ascii="Times New Roman" w:eastAsia="Times New Roman" w:hAnsi="Times New Roman"/>
        </w:rPr>
        <w:t>.</w:t>
      </w:r>
    </w:p>
    <w:p w14:paraId="5713A619" w14:textId="2E50451E"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5ABA77EA" w:rsidR="0021502F"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 xml:space="preserve">roup annuity contract </w:t>
      </w:r>
      <w:r w:rsidR="00CA72F2">
        <w:rPr>
          <w:rFonts w:ascii="Times New Roman" w:eastAsia="Times New Roman" w:hAnsi="Times New Roman"/>
        </w:rPr>
        <w:t>containing</w:t>
      </w:r>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C60ACC3"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term “similar in nature” as used in Section</w:t>
      </w:r>
      <w:r w:rsidR="008A5ECA">
        <w:rPr>
          <w:rFonts w:ascii="Times New Roman" w:eastAsia="Times New Roman" w:hAnsi="Times New Roman"/>
        </w:rPr>
        <w:t xml:space="preserve"> 2.A.1.c</w:t>
      </w:r>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2.A.1.d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w:t>
      </w:r>
      <w:r w:rsidR="00CA72F2">
        <w:rPr>
          <w:rFonts w:ascii="Times New Roman" w:eastAsia="Times New Roman" w:hAnsi="Times New Roman"/>
        </w:rPr>
        <w:t xml:space="preserve"> the Guidance </w:t>
      </w:r>
      <w:r w:rsidR="00CA72F2" w:rsidRPr="0060001D">
        <w:rPr>
          <w:rFonts w:ascii="Times New Roman" w:eastAsia="Times New Roman" w:hAnsi="Times New Roman"/>
        </w:rPr>
        <w:t xml:space="preserve">Note </w:t>
      </w:r>
      <w:r w:rsidR="009A56D0" w:rsidRPr="0060001D">
        <w:rPr>
          <w:rFonts w:ascii="Times New Roman" w:eastAsia="Times New Roman" w:hAnsi="Times New Roman"/>
        </w:rPr>
        <w:t>below following</w:t>
      </w:r>
      <w:r w:rsidR="00CA72F2">
        <w:rPr>
          <w:rFonts w:ascii="Times New Roman" w:eastAsia="Times New Roman" w:hAnsi="Times New Roman"/>
        </w:rPr>
        <w:t xml:space="preserve"> Section 2.A.3</w:t>
      </w:r>
      <w:r w:rsidRPr="00BA5485">
        <w:rPr>
          <w:rFonts w:ascii="Times New Roman" w:eastAsia="Times New Roman" w:hAnsi="Times New Roman"/>
        </w:rPr>
        <w:t xml:space="preserve">. Any product or benefit </w:t>
      </w:r>
      <w:r w:rsidRPr="00BA5485">
        <w:rPr>
          <w:rFonts w:ascii="Times New Roman" w:eastAsia="Times New Roman" w:hAnsi="Times New Roman"/>
        </w:rPr>
        <w:lastRenderedPageBreak/>
        <w:t xml:space="preserve">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and VAGLB in </w:t>
      </w:r>
      <w:r w:rsidR="00DE38C1">
        <w:rPr>
          <w:rFonts w:ascii="Times New Roman" w:eastAsia="Times New Roman" w:hAnsi="Times New Roman"/>
        </w:rPr>
        <w:t>VM</w:t>
      </w:r>
      <w:r w:rsidR="002F00F7">
        <w:rPr>
          <w:rFonts w:ascii="Times New Roman" w:eastAsia="Times New Roman" w:hAnsi="Times New Roman"/>
        </w:rPr>
        <w:t>-01</w:t>
      </w:r>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3BCBC752" w:rsidR="0021502F" w:rsidRPr="00BA5485" w:rsidRDefault="0021502F" w:rsidP="00067EEF">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A</w:t>
      </w:r>
      <w:r w:rsidR="00C46216">
        <w:rPr>
          <w:rFonts w:ascii="Times New Roman" w:eastAsia="Times New Roman" w:hAnsi="Times New Roman"/>
        </w:rPr>
        <w:t>ny</w:t>
      </w:r>
      <w:r w:rsidRPr="00BA5485">
        <w:rPr>
          <w:rFonts w:ascii="Times New Roman" w:eastAsia="Times New Roman" w:hAnsi="Times New Roman"/>
        </w:rPr>
        <w:t xml:space="preserve"> other</w:t>
      </w:r>
      <w:r w:rsidR="00CF40FE">
        <w:rPr>
          <w:rFonts w:ascii="Times New Roman" w:eastAsia="Times New Roman" w:hAnsi="Times New Roman"/>
        </w:rPr>
        <w:t xml:space="preserve"> </w:t>
      </w:r>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r w:rsidRPr="00BA5485">
        <w:rPr>
          <w:rFonts w:ascii="Times New Roman" w:eastAsia="Times New Roman" w:hAnsi="Times New Roman"/>
        </w:rPr>
        <w:t xml:space="preserve"> contain</w:t>
      </w:r>
      <w:r w:rsidR="00CA72F2">
        <w:rPr>
          <w:rFonts w:ascii="Times New Roman" w:eastAsia="Times New Roman" w:hAnsi="Times New Roman"/>
        </w:rPr>
        <w:t>s</w:t>
      </w:r>
      <w:r w:rsidRPr="00BA5485">
        <w:rPr>
          <w:rFonts w:ascii="Times New Roman" w:eastAsia="Times New Roman" w:hAnsi="Times New Roman"/>
        </w:rPr>
        <w:t xml:space="preserve"> guarantees similar in nature to GMDBs or VAGLBs, even if the insurer does not offer the mutual funds</w:t>
      </w:r>
      <w:r w:rsidR="003F5051">
        <w:rPr>
          <w:rFonts w:ascii="Times New Roman" w:eastAsia="Times New Roman" w:hAnsi="Times New Roman"/>
        </w:rPr>
        <w:t>,</w:t>
      </w:r>
      <w:r w:rsidRPr="00BA5485">
        <w:rPr>
          <w:rFonts w:ascii="Times New Roman" w:eastAsia="Times New Roman" w:hAnsi="Times New Roman"/>
        </w:rPr>
        <w:t xml:space="preserve"> variable funds</w:t>
      </w:r>
      <w:r w:rsidR="003F5051">
        <w:rPr>
          <w:rFonts w:ascii="Times New Roman" w:eastAsia="Times New Roman" w:hAnsi="Times New Roman"/>
        </w:rPr>
        <w:t>, or other supporting investment</w:t>
      </w:r>
      <w:r w:rsidR="00B31BA4">
        <w:rPr>
          <w:rFonts w:ascii="Times New Roman" w:eastAsia="Times New Roman" w:hAnsi="Times New Roman"/>
        </w:rPr>
        <w:t>s</w:t>
      </w:r>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1E0F170"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cluding any benefits valued under i above,</w:t>
      </w:r>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The reserve held for the contract shall be the sum of i and ii.</w:t>
      </w:r>
    </w:p>
    <w:p w14:paraId="21FA606A" w14:textId="77777777" w:rsidR="0021502F" w:rsidRPr="00BA5485"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rFonts w:ascii="Times New Roman" w:eastAsia="Times New Roman" w:hAnsi="Times New Roman"/>
        </w:rPr>
      </w:pPr>
    </w:p>
    <w:p w14:paraId="1D51953B" w14:textId="76FF7F31"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r w:rsidR="00141D5D">
        <w:rPr>
          <w:rFonts w:ascii="Times New Roman" w:eastAsia="Times New Roman" w:hAnsi="Times New Roman"/>
        </w:rPr>
        <w:t>VM-</w:t>
      </w:r>
      <w:r w:rsidR="00B842C5">
        <w:rPr>
          <w:rFonts w:ascii="Times New Roman" w:eastAsia="Times New Roman" w:hAnsi="Times New Roman"/>
        </w:rPr>
        <w:t>A–</w:t>
      </w:r>
      <w:r w:rsidR="00722D26">
        <w:rPr>
          <w:rFonts w:ascii="Times New Roman" w:eastAsia="Times New Roman" w:hAnsi="Times New Roman"/>
        </w:rPr>
        <w:t>255:</w:t>
      </w:r>
      <w:r w:rsidR="00722D26" w:rsidRPr="00067EEF">
        <w:rPr>
          <w:rFonts w:ascii="Times New Roman" w:hAnsi="Times New Roman"/>
          <w:i/>
        </w:rPr>
        <w:t xml:space="preserve"> </w:t>
      </w:r>
      <w:r w:rsidRPr="007E4AEF">
        <w:rPr>
          <w:rFonts w:ascii="Times New Roman" w:eastAsia="Times New Roman" w:hAnsi="Times New Roman"/>
          <w:i/>
        </w:rPr>
        <w:t>Modified Guaranteed Annuit</w:t>
      </w:r>
      <w:r w:rsidR="00A13F1E">
        <w:rPr>
          <w:rFonts w:ascii="Times New Roman" w:eastAsia="Times New Roman" w:hAnsi="Times New Roman"/>
          <w:i/>
        </w:rPr>
        <w:t>ies</w:t>
      </w:r>
      <w:r w:rsidRPr="00BA5485">
        <w:rPr>
          <w:rFonts w:ascii="Times New Roman" w:eastAsia="Times New Roman" w:hAnsi="Times New Roman"/>
        </w:rPr>
        <w:t xml:space="preserve">; however, </w:t>
      </w:r>
      <w:r w:rsidR="00D60442">
        <w:rPr>
          <w:rFonts w:ascii="Times New Roman" w:eastAsia="Times New Roman" w:hAnsi="Times New Roman"/>
        </w:rPr>
        <w:t xml:space="preserve">they do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42BF8199" w:rsidR="0021502F" w:rsidRPr="00BA5485"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t xml:space="preserve">Separate account </w:t>
      </w:r>
      <w:r w:rsidR="00CF40FE">
        <w:rPr>
          <w:rFonts w:ascii="Times New Roman" w:eastAsia="Times New Roman" w:hAnsi="Times New Roman"/>
        </w:rPr>
        <w:t>contracts</w:t>
      </w:r>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7777777"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Current VAGLBs include Guaranteed Minimum Accumulation Benefits, Guaranteed Minimum Income Benefits, Guaranteed Minimum Withdrawal Benefits, Guaranteed Lifetime Withdrawal Benefits and Guaranteed Payout Annuity Floors. These requirements will be applied to future variations on these designs and to new guarantee designs.</w:t>
      </w:r>
    </w:p>
    <w:p w14:paraId="5177C993" w14:textId="273D2E01" w:rsidR="005F7412" w:rsidRPr="008A716B" w:rsidRDefault="005F7412" w:rsidP="005F7412">
      <w:pPr>
        <w:spacing w:after="220" w:line="240" w:lineRule="auto"/>
        <w:ind w:left="720" w:hanging="720"/>
        <w:rPr>
          <w:rFonts w:ascii="Times New Roman" w:eastAsia="Times New Roman" w:hAnsi="Times New Roman"/>
        </w:rPr>
      </w:pPr>
      <w:r w:rsidRPr="008A716B">
        <w:rPr>
          <w:rFonts w:ascii="Times New Roman" w:eastAsia="Times New Roman" w:hAnsi="Times New Roman"/>
        </w:rPr>
        <w:t>B.</w:t>
      </w:r>
      <w:r w:rsidRPr="008A716B">
        <w:rPr>
          <w:rFonts w:ascii="Times New Roman" w:eastAsia="Times New Roman" w:hAnsi="Times New Roman"/>
        </w:rPr>
        <w:tab/>
        <w:t>Effective Date and Phase</w:t>
      </w:r>
      <w:r w:rsidR="00730EC7" w:rsidRPr="008A716B">
        <w:rPr>
          <w:rFonts w:ascii="Times New Roman" w:eastAsia="Times New Roman" w:hAnsi="Times New Roman"/>
        </w:rPr>
        <w:t>-</w:t>
      </w:r>
      <w:r w:rsidRPr="008A716B">
        <w:rPr>
          <w:rFonts w:ascii="Times New Roman" w:eastAsia="Times New Roman" w:hAnsi="Times New Roman"/>
        </w:rPr>
        <w:t>in</w:t>
      </w:r>
    </w:p>
    <w:p w14:paraId="30B4FB1C" w14:textId="1136FFC0" w:rsidR="00EB0921" w:rsidRPr="008A716B" w:rsidRDefault="00EB0921" w:rsidP="00EB0921">
      <w:pPr>
        <w:spacing w:after="220" w:line="240" w:lineRule="auto"/>
        <w:ind w:left="720"/>
        <w:rPr>
          <w:rFonts w:ascii="Times New Roman" w:eastAsia="Times New Roman" w:hAnsi="Times New Roman"/>
        </w:rPr>
      </w:pPr>
      <w:r w:rsidRPr="008A716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60001D">
        <w:rPr>
          <w:rFonts w:ascii="Times New Roman" w:eastAsia="Times New Roman" w:hAnsi="Times New Roman"/>
        </w:rPr>
        <w:t>up to</w:t>
      </w:r>
      <w:r w:rsidRPr="008A716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8A716B">
        <w:rPr>
          <w:rFonts w:ascii="Times New Roman" w:eastAsia="Times New Roman" w:hAnsi="Times New Roman"/>
        </w:rPr>
        <w:t xml:space="preserve">December 31, 2020 </w:t>
      </w:r>
      <w:r w:rsidRPr="008A716B">
        <w:rPr>
          <w:rFonts w:ascii="Times New Roman" w:eastAsia="Times New Roman" w:hAnsi="Times New Roman"/>
        </w:rPr>
        <w:t xml:space="preserve">valuation. </w:t>
      </w:r>
      <w:r w:rsidR="00B5561E" w:rsidRPr="008A716B">
        <w:rPr>
          <w:rFonts w:ascii="Times New Roman" w:eastAsia="Times New Roman" w:hAnsi="Times New Roman"/>
        </w:rPr>
        <w:t>At the company’s option, a</w:t>
      </w:r>
      <w:r w:rsidRPr="008A716B">
        <w:rPr>
          <w:rFonts w:ascii="Times New Roman" w:eastAsia="Times New Roman" w:hAnsi="Times New Roman"/>
        </w:rPr>
        <w:t xml:space="preserve"> phase-in may be terminated</w:t>
      </w:r>
      <w:r w:rsidR="00B5561E" w:rsidRPr="008A716B">
        <w:rPr>
          <w:rFonts w:ascii="Times New Roman" w:hAnsi="Times New Roman"/>
        </w:rPr>
        <w:t xml:space="preserve"> </w:t>
      </w:r>
      <w:r w:rsidR="00B5561E" w:rsidRPr="008A716B">
        <w:rPr>
          <w:rFonts w:ascii="Times New Roman" w:eastAsia="Times New Roman" w:hAnsi="Times New Roman"/>
        </w:rPr>
        <w:t xml:space="preserve">prior to the originally elected end of the phase-in period; the reserve would then be equal to the unadjusted reserve calculated according to the requirements of </w:t>
      </w:r>
      <w:r w:rsidR="00B5561E" w:rsidRPr="008A716B">
        <w:rPr>
          <w:rFonts w:ascii="Times New Roman" w:eastAsia="Times New Roman" w:hAnsi="Times New Roman"/>
        </w:rPr>
        <w:lastRenderedPageBreak/>
        <w:t xml:space="preserve">VM-21 applicable for valuation dates on or after January 1, 2020. </w:t>
      </w:r>
      <w:r w:rsidR="00DF20C2" w:rsidRPr="00DF20C2">
        <w:rPr>
          <w:rFonts w:ascii="Times New Roman" w:eastAsia="Times New Roman" w:hAnsi="Times New Roman"/>
        </w:rPr>
        <w:t>If there is a material decrease in the book of business by sale or reinsurance ceded, the company must obtain approval for continuation or modification of the remaining phase-in from the domestic commissioner.</w:t>
      </w:r>
      <w:r w:rsidR="00B5561E" w:rsidRPr="008A716B">
        <w:rPr>
          <w:rFonts w:ascii="Times New Roman" w:eastAsia="Times New Roman" w:hAnsi="Times New Roman"/>
        </w:rPr>
        <w:t xml:space="preserve"> The method to be used for the phase-in calculation is as follows:</w:t>
      </w:r>
      <w:r w:rsidRPr="008A716B">
        <w:rPr>
          <w:rFonts w:ascii="Times New Roman" w:eastAsia="Times New Roman" w:hAnsi="Times New Roman"/>
        </w:rPr>
        <w:t xml:space="preserve">  </w:t>
      </w:r>
    </w:p>
    <w:p w14:paraId="2A123CD0" w14:textId="711A99BA" w:rsidR="00EB0921" w:rsidRPr="008A716B" w:rsidRDefault="00EB0921" w:rsidP="00EB0921">
      <w:pPr>
        <w:spacing w:after="220" w:line="240" w:lineRule="auto"/>
        <w:ind w:left="1440"/>
        <w:rPr>
          <w:rFonts w:ascii="Times New Roman" w:eastAsia="Times New Roman" w:hAnsi="Times New Roman"/>
        </w:rPr>
      </w:pPr>
      <w:r w:rsidRPr="008A716B">
        <w:rPr>
          <w:rFonts w:ascii="Times New Roman" w:eastAsia="Times New Roman" w:hAnsi="Times New Roman"/>
        </w:rPr>
        <w:t>1. Compute R1 =</w:t>
      </w:r>
      <w:r w:rsidR="00C44687" w:rsidRPr="00C44687">
        <w:t xml:space="preserve"> </w:t>
      </w:r>
      <w:r w:rsidR="00C44687" w:rsidRPr="00C44687">
        <w:rPr>
          <w:rFonts w:ascii="Times New Roman" w:eastAsia="Times New Roman" w:hAnsi="Times New Roman"/>
        </w:rPr>
        <w:t xml:space="preserve">the reserve as of January 1, 2020 following the VM-21 requirements applicable </w:t>
      </w:r>
      <w:r w:rsidR="00DF20C2" w:rsidRPr="00DF20C2">
        <w:rPr>
          <w:rFonts w:ascii="Times New Roman" w:eastAsia="Times New Roman" w:hAnsi="Times New Roman"/>
        </w:rPr>
        <w:t xml:space="preserve">in the 2020 NAIC </w:t>
      </w:r>
      <w:r w:rsidR="00DF20C2" w:rsidRPr="00DF20C2">
        <w:rPr>
          <w:rFonts w:ascii="Times New Roman" w:eastAsia="Times New Roman" w:hAnsi="Times New Roman"/>
          <w:i/>
        </w:rPr>
        <w:t>Valuation Manual</w:t>
      </w:r>
      <w:r w:rsidR="00DF20C2" w:rsidRPr="00DF20C2">
        <w:rPr>
          <w:rFonts w:ascii="Times New Roman" w:eastAsia="Times New Roman" w:hAnsi="Times New Roman"/>
        </w:rPr>
        <w:t xml:space="preserve"> </w:t>
      </w:r>
      <w:r w:rsidR="00C44687" w:rsidRPr="00C44687">
        <w:rPr>
          <w:rFonts w:ascii="Times New Roman" w:eastAsia="Times New Roman" w:hAnsi="Times New Roman"/>
        </w:rPr>
        <w:t xml:space="preserve">for all business in-force on the valuation date. The </w:t>
      </w:r>
      <w:r w:rsidR="00DD29B3" w:rsidRPr="00C44687">
        <w:rPr>
          <w:rFonts w:ascii="Times New Roman" w:eastAsia="Times New Roman" w:hAnsi="Times New Roman"/>
        </w:rPr>
        <w:t>in force</w:t>
      </w:r>
      <w:r w:rsidR="00C44687" w:rsidRPr="00C44687">
        <w:rPr>
          <w:rFonts w:ascii="Times New Roman" w:eastAsia="Times New Roman" w:hAnsi="Times New Roman"/>
        </w:rPr>
        <w:t xml:space="preserve"> used should include any reinsurance that is expected to be recaptured during 2020</w:t>
      </w:r>
      <w:r w:rsidRPr="008A716B">
        <w:rPr>
          <w:rFonts w:ascii="Times New Roman" w:hAnsi="Times New Roman"/>
        </w:rPr>
        <w:t xml:space="preserve">.  </w:t>
      </w:r>
    </w:p>
    <w:p w14:paraId="18B3B0A9" w14:textId="05FE1CD4" w:rsidR="00EB0921" w:rsidRPr="008A716B" w:rsidRDefault="00EB0921" w:rsidP="00EB0921">
      <w:pPr>
        <w:spacing w:after="220" w:line="240" w:lineRule="auto"/>
        <w:ind w:left="1440"/>
        <w:rPr>
          <w:rFonts w:ascii="Times New Roman" w:eastAsia="Times New Roman" w:hAnsi="Times New Roman"/>
        </w:rPr>
      </w:pPr>
      <w:r w:rsidRPr="008A716B">
        <w:rPr>
          <w:rFonts w:ascii="Times New Roman" w:eastAsia="Times New Roman" w:hAnsi="Times New Roman"/>
        </w:rPr>
        <w:t>2. Separately</w:t>
      </w:r>
      <w:r w:rsidR="008A716B">
        <w:rPr>
          <w:rFonts w:ascii="Times New Roman" w:eastAsia="Times New Roman" w:hAnsi="Times New Roman"/>
        </w:rPr>
        <w:t>,</w:t>
      </w:r>
      <w:r w:rsidRPr="008A716B">
        <w:rPr>
          <w:rFonts w:ascii="Times New Roman" w:eastAsia="Times New Roman" w:hAnsi="Times New Roman"/>
        </w:rPr>
        <w:t xml:space="preserve"> compute R2 = the reserve as of </w:t>
      </w:r>
      <w:r w:rsidR="008A716B" w:rsidRPr="00C90BB8">
        <w:rPr>
          <w:rFonts w:ascii="Times New Roman" w:eastAsia="Times New Roman" w:hAnsi="Times New Roman"/>
        </w:rPr>
        <w:t>January 1, 2020</w:t>
      </w:r>
      <w:r w:rsidR="008A716B">
        <w:rPr>
          <w:rFonts w:ascii="Times New Roman" w:eastAsia="Times New Roman" w:hAnsi="Times New Roman"/>
        </w:rPr>
        <w:t xml:space="preserve"> </w:t>
      </w:r>
      <w:r w:rsidRPr="008A716B">
        <w:rPr>
          <w:rFonts w:ascii="Times New Roman" w:eastAsia="Times New Roman" w:hAnsi="Times New Roman"/>
        </w:rPr>
        <w:t xml:space="preserve">following the </w:t>
      </w:r>
      <w:r w:rsidR="008A716B">
        <w:rPr>
          <w:rFonts w:ascii="Times New Roman" w:eastAsia="Times New Roman" w:hAnsi="Times New Roman"/>
        </w:rPr>
        <w:t>VM-21</w:t>
      </w:r>
      <w:r w:rsidRPr="008A716B">
        <w:rPr>
          <w:rFonts w:ascii="Times New Roman" w:eastAsia="Times New Roman" w:hAnsi="Times New Roman"/>
        </w:rPr>
        <w:t xml:space="preserve"> requirements </w:t>
      </w:r>
      <w:r w:rsidR="008A716B">
        <w:rPr>
          <w:rFonts w:ascii="Times New Roman" w:eastAsia="Times New Roman" w:hAnsi="Times New Roman"/>
        </w:rPr>
        <w:t xml:space="preserve">applicable </w:t>
      </w:r>
      <w:r w:rsidRPr="008A716B">
        <w:rPr>
          <w:rFonts w:ascii="Times New Roman" w:eastAsia="Times New Roman" w:hAnsi="Times New Roman"/>
        </w:rPr>
        <w:t xml:space="preserve">in the 2019 NAIC </w:t>
      </w:r>
      <w:r w:rsidRPr="008A716B">
        <w:rPr>
          <w:rFonts w:ascii="Times New Roman" w:eastAsia="Times New Roman" w:hAnsi="Times New Roman"/>
          <w:i/>
        </w:rPr>
        <w:t>Valuation Manual</w:t>
      </w:r>
      <w:r w:rsidRPr="008A716B">
        <w:rPr>
          <w:rFonts w:ascii="Times New Roman" w:eastAsia="Times New Roman" w:hAnsi="Times New Roman"/>
        </w:rPr>
        <w:t xml:space="preserve"> for the same in-force contracts used to compute R1</w:t>
      </w:r>
      <w:r w:rsidR="00743604">
        <w:rPr>
          <w:rFonts w:ascii="Times New Roman" w:eastAsia="Times New Roman" w:hAnsi="Times New Roman"/>
        </w:rPr>
        <w:t>, and</w:t>
      </w:r>
      <w:r w:rsidR="008A716B">
        <w:rPr>
          <w:rFonts w:ascii="Times New Roman" w:eastAsia="Times New Roman" w:hAnsi="Times New Roman"/>
        </w:rPr>
        <w:t>.</w:t>
      </w:r>
      <w:r w:rsidRPr="008A716B">
        <w:rPr>
          <w:rFonts w:ascii="Times New Roman" w:eastAsia="Times New Roman" w:hAnsi="Times New Roman"/>
        </w:rPr>
        <w:t xml:space="preserve"> </w:t>
      </w:r>
    </w:p>
    <w:p w14:paraId="7D433F86" w14:textId="4B5886F6" w:rsidR="00EB0921" w:rsidRPr="008A716B" w:rsidRDefault="00DF20C2" w:rsidP="00EB0921">
      <w:pPr>
        <w:spacing w:after="220" w:line="240" w:lineRule="auto"/>
        <w:ind w:left="1440"/>
        <w:rPr>
          <w:rFonts w:ascii="Times New Roman" w:eastAsia="Times New Roman" w:hAnsi="Times New Roman"/>
        </w:rPr>
      </w:pPr>
      <w:r>
        <w:rPr>
          <w:rFonts w:ascii="Times New Roman" w:eastAsia="Times New Roman" w:hAnsi="Times New Roman"/>
        </w:rPr>
        <w:t>3.</w:t>
      </w:r>
      <w:r w:rsidR="00EB0921" w:rsidRPr="008A716B">
        <w:rPr>
          <w:rFonts w:ascii="Times New Roman" w:eastAsia="Times New Roman" w:hAnsi="Times New Roman"/>
        </w:rPr>
        <w:t xml:space="preserve"> Compute the reported reserve </w:t>
      </w:r>
      <w:r>
        <w:rPr>
          <w:rFonts w:ascii="Times New Roman" w:eastAsia="Times New Roman" w:hAnsi="Times New Roman"/>
        </w:rPr>
        <w:t xml:space="preserve">on the valuation date </w:t>
      </w:r>
      <w:r w:rsidR="00EB0921" w:rsidRPr="008A716B">
        <w:rPr>
          <w:rFonts w:ascii="Times New Roman" w:eastAsia="Times New Roman" w:hAnsi="Times New Roman"/>
        </w:rPr>
        <w:t>as follows:</w:t>
      </w:r>
    </w:p>
    <w:p w14:paraId="17E8E201" w14:textId="2121713A" w:rsidR="00EB0921" w:rsidRPr="00DF20C2" w:rsidRDefault="00EB0921" w:rsidP="00EB0921">
      <w:pPr>
        <w:spacing w:after="220" w:line="240" w:lineRule="auto"/>
        <w:ind w:left="2160"/>
        <w:rPr>
          <w:rFonts w:ascii="Times New Roman" w:eastAsia="Times New Roman" w:hAnsi="Times New Roman"/>
        </w:rPr>
      </w:pPr>
      <w:r w:rsidRPr="00DF20C2">
        <w:rPr>
          <w:rFonts w:ascii="Times New Roman" w:eastAsia="Times New Roman" w:hAnsi="Times New Roman"/>
        </w:rPr>
        <w:t xml:space="preserve">Reserve = </w:t>
      </w:r>
      <w:r w:rsidR="001758A0" w:rsidRPr="00DF20C2">
        <w:rPr>
          <w:rFonts w:ascii="Times New Roman" w:eastAsia="Times New Roman" w:hAnsi="Times New Roman"/>
        </w:rPr>
        <w:t>D</w:t>
      </w:r>
      <w:r w:rsidRPr="00DF20C2">
        <w:rPr>
          <w:rFonts w:ascii="Times New Roman" w:eastAsia="Times New Roman" w:hAnsi="Times New Roman"/>
        </w:rPr>
        <w:t xml:space="preserve"> </w:t>
      </w:r>
      <w:r w:rsidR="0049014F">
        <w:rPr>
          <w:rFonts w:ascii="Times New Roman" w:eastAsia="Times New Roman" w:hAnsi="Times New Roman"/>
        </w:rPr>
        <w:t>-</w:t>
      </w:r>
      <w:r w:rsidR="008A716B" w:rsidRPr="00DF20C2">
        <w:rPr>
          <w:rFonts w:ascii="Times New Roman" w:eastAsia="Times New Roman" w:hAnsi="Times New Roman"/>
        </w:rPr>
        <w:t xml:space="preserve"> </w:t>
      </w:r>
      <w:r w:rsidRPr="00DF20C2">
        <w:rPr>
          <w:rFonts w:ascii="Times New Roman" w:eastAsia="Times New Roman" w:hAnsi="Times New Roman"/>
        </w:rPr>
        <w:t>(B-A)</w:t>
      </w:r>
      <w:r w:rsidR="00743604" w:rsidRPr="00DF20C2">
        <w:rPr>
          <w:rFonts w:ascii="Times New Roman" w:eastAsia="Times New Roman" w:hAnsi="Times New Roman"/>
        </w:rPr>
        <w:t xml:space="preserve"> </w:t>
      </w:r>
      <w:r w:rsidRPr="00DF20C2">
        <w:rPr>
          <w:rFonts w:ascii="Times New Roman" w:eastAsia="Times New Roman" w:hAnsi="Times New Roman"/>
        </w:rPr>
        <w:t>*</w:t>
      </w:r>
      <w:r w:rsidR="00743604" w:rsidRPr="00DF20C2">
        <w:rPr>
          <w:rFonts w:ascii="Times New Roman" w:eastAsia="Times New Roman" w:hAnsi="Times New Roman"/>
        </w:rPr>
        <w:t xml:space="preserve"> </w:t>
      </w:r>
      <w:r w:rsidR="00FB05AF" w:rsidRPr="00DF20C2">
        <w:rPr>
          <w:rFonts w:ascii="Times New Roman" w:eastAsia="Times New Roman" w:hAnsi="Times New Roman"/>
        </w:rPr>
        <w:t>C</w:t>
      </w:r>
      <w:r w:rsidR="008A716B" w:rsidRPr="00DF20C2">
        <w:rPr>
          <w:rFonts w:ascii="Times New Roman" w:eastAsia="Times New Roman" w:hAnsi="Times New Roman"/>
        </w:rPr>
        <w:t xml:space="preserve"> </w:t>
      </w:r>
      <w:r w:rsidRPr="00DF20C2">
        <w:rPr>
          <w:rFonts w:ascii="Times New Roman" w:eastAsia="Times New Roman" w:hAnsi="Times New Roman"/>
        </w:rPr>
        <w:t>/B, where</w:t>
      </w:r>
    </w:p>
    <w:p w14:paraId="5C33109C" w14:textId="77777777" w:rsidR="00EB0921" w:rsidRPr="00DF20C2" w:rsidRDefault="00EB0921" w:rsidP="00E87EFC">
      <w:pPr>
        <w:pStyle w:val="ListParagraph"/>
        <w:numPr>
          <w:ilvl w:val="0"/>
          <w:numId w:val="28"/>
        </w:numPr>
        <w:spacing w:after="220" w:line="240" w:lineRule="auto"/>
        <w:rPr>
          <w:rFonts w:ascii="Times New Roman" w:eastAsia="Times New Roman" w:hAnsi="Times New Roman"/>
        </w:rPr>
      </w:pPr>
      <w:r w:rsidRPr="00DF20C2">
        <w:rPr>
          <w:rFonts w:ascii="Times New Roman" w:eastAsia="Times New Roman" w:hAnsi="Times New Roman"/>
        </w:rPr>
        <w:t>A is the number of months that has elapsed since December 31, 2019. For example, for the March 31, 2020 valuation, A = 3.</w:t>
      </w:r>
    </w:p>
    <w:p w14:paraId="2E111F1E" w14:textId="5B37A39E" w:rsidR="00EB0921" w:rsidRPr="00DF20C2" w:rsidRDefault="00EB0921" w:rsidP="00E87EFC">
      <w:pPr>
        <w:pStyle w:val="ListParagraph"/>
        <w:numPr>
          <w:ilvl w:val="0"/>
          <w:numId w:val="28"/>
        </w:numPr>
        <w:spacing w:after="220" w:line="240" w:lineRule="auto"/>
        <w:rPr>
          <w:rFonts w:ascii="Times New Roman" w:eastAsia="Times New Roman" w:hAnsi="Times New Roman"/>
        </w:rPr>
      </w:pPr>
      <w:r w:rsidRPr="00DF20C2">
        <w:rPr>
          <w:rFonts w:ascii="Times New Roman" w:eastAsia="Times New Roman" w:hAnsi="Times New Roman"/>
        </w:rPr>
        <w:t>B = 36 unless the company has obtained approval for a longer phase-in, in which case B = number of months of approved phase-in</w:t>
      </w:r>
    </w:p>
    <w:p w14:paraId="008CCA74" w14:textId="2D4F1C44" w:rsidR="008A716B" w:rsidRPr="00DF20C2" w:rsidRDefault="008A716B" w:rsidP="00E87EFC">
      <w:pPr>
        <w:pStyle w:val="ListParagraph"/>
        <w:numPr>
          <w:ilvl w:val="0"/>
          <w:numId w:val="28"/>
        </w:numPr>
        <w:spacing w:after="220" w:line="240" w:lineRule="auto"/>
        <w:rPr>
          <w:rFonts w:ascii="Times New Roman" w:eastAsia="Times New Roman" w:hAnsi="Times New Roman"/>
        </w:rPr>
      </w:pPr>
      <w:r w:rsidRPr="00DF20C2">
        <w:rPr>
          <w:rFonts w:ascii="Times New Roman" w:hAnsi="Times New Roman"/>
        </w:rPr>
        <w:t>C = R1 minus R2</w:t>
      </w:r>
    </w:p>
    <w:p w14:paraId="4EFC2D2D" w14:textId="6459579B" w:rsidR="001758A0" w:rsidRPr="00DF20C2" w:rsidRDefault="001758A0" w:rsidP="00E87EFC">
      <w:pPr>
        <w:pStyle w:val="ListParagraph"/>
        <w:numPr>
          <w:ilvl w:val="0"/>
          <w:numId w:val="28"/>
        </w:numPr>
        <w:spacing w:after="220" w:line="240" w:lineRule="auto"/>
        <w:rPr>
          <w:rFonts w:ascii="Times New Roman" w:eastAsia="Times New Roman" w:hAnsi="Times New Roman"/>
        </w:rPr>
      </w:pPr>
      <w:r w:rsidRPr="00DF20C2">
        <w:rPr>
          <w:rFonts w:ascii="Times New Roman" w:hAnsi="Times New Roman"/>
        </w:rPr>
        <w:t xml:space="preserve">D </w:t>
      </w:r>
      <w:r w:rsidR="00DF20C2" w:rsidRPr="00DF20C2">
        <w:rPr>
          <w:rFonts w:ascii="Times New Roman" w:hAnsi="Times New Roman"/>
        </w:rPr>
        <w:t>is t</w:t>
      </w:r>
      <w:r w:rsidRPr="00DF20C2">
        <w:rPr>
          <w:rFonts w:ascii="Times New Roman" w:hAnsi="Times New Roman"/>
        </w:rPr>
        <w:t>he</w:t>
      </w:r>
      <w:r w:rsidRPr="00DF20C2">
        <w:t xml:space="preserve"> </w:t>
      </w:r>
      <w:r w:rsidRPr="00DF20C2">
        <w:rPr>
          <w:rFonts w:ascii="Times New Roman" w:hAnsi="Times New Roman"/>
        </w:rPr>
        <w:t xml:space="preserve">reserve on the valuation date </w:t>
      </w:r>
      <w:r w:rsidR="00DF20C2" w:rsidRPr="00DF20C2">
        <w:rPr>
          <w:rFonts w:ascii="Times New Roman" w:hAnsi="Times New Roman"/>
        </w:rPr>
        <w:t xml:space="preserve">determined </w:t>
      </w:r>
      <w:r w:rsidRPr="00DF20C2">
        <w:rPr>
          <w:rFonts w:ascii="Times New Roman" w:hAnsi="Times New Roman"/>
        </w:rPr>
        <w:t>according to the</w:t>
      </w:r>
      <w:r w:rsidR="00DF20C2" w:rsidRPr="00DF20C2">
        <w:rPr>
          <w:rFonts w:ascii="Times New Roman" w:hAnsi="Times New Roman"/>
        </w:rPr>
        <w:t>se</w:t>
      </w:r>
      <w:r w:rsidRPr="00DF20C2">
        <w:rPr>
          <w:rFonts w:ascii="Times New Roman" w:hAnsi="Times New Roman"/>
        </w:rPr>
        <w:t xml:space="preserve"> requirements, </w:t>
      </w:r>
      <w:r w:rsidR="00DF20C2">
        <w:rPr>
          <w:rFonts w:ascii="Times New Roman" w:hAnsi="Times New Roman"/>
        </w:rPr>
        <w:t>prior to the p</w:t>
      </w:r>
      <w:r w:rsidRPr="00DF20C2">
        <w:rPr>
          <w:rFonts w:ascii="Times New Roman" w:hAnsi="Times New Roman"/>
        </w:rPr>
        <w:t>hase-in adjustment.</w:t>
      </w:r>
    </w:p>
    <w:p w14:paraId="7F4C58DB" w14:textId="77777777" w:rsidR="00EB0921" w:rsidRDefault="00EB0921" w:rsidP="005F7412">
      <w:pPr>
        <w:spacing w:after="220" w:line="240" w:lineRule="auto"/>
        <w:ind w:left="720"/>
        <w:rPr>
          <w:rFonts w:ascii="Times New Roman" w:eastAsia="Times New Roman" w:hAnsi="Times New Roman"/>
        </w:rPr>
      </w:pPr>
    </w:p>
    <w:p w14:paraId="3740B5A7" w14:textId="76EFEF4B" w:rsidR="005F7412" w:rsidRDefault="005F7412" w:rsidP="00067EEF">
      <w:pPr>
        <w:spacing w:after="220" w:line="240" w:lineRule="auto"/>
        <w:ind w:left="720"/>
        <w:rPr>
          <w:rFonts w:ascii="Times New Roman" w:eastAsia="Times New Roman" w:hAnsi="Times New Roman"/>
        </w:rPr>
      </w:pPr>
      <w:r>
        <w:rPr>
          <w:rFonts w:ascii="Times New Roman" w:eastAsia="Times New Roman" w:hAnsi="Times New Roman"/>
        </w:rPr>
        <w:t xml:space="preserve">A company may elect to apply these requirements as the </w:t>
      </w:r>
      <w:r w:rsidR="009B3465" w:rsidRPr="009B3465">
        <w:rPr>
          <w:rFonts w:ascii="Times New Roman" w:eastAsia="Times New Roman" w:hAnsi="Times New Roman"/>
          <w:i/>
        </w:rPr>
        <w:t>Valuation Manual</w:t>
      </w:r>
      <w:r w:rsidR="009B3465">
        <w:rPr>
          <w:rFonts w:ascii="Times New Roman" w:eastAsia="Times New Roman" w:hAnsi="Times New Roman"/>
        </w:rPr>
        <w:t xml:space="preserve"> </w:t>
      </w:r>
      <w:r>
        <w:rPr>
          <w:rFonts w:ascii="Times New Roman" w:eastAsia="Times New Roman" w:hAnsi="Times New Roman"/>
        </w:rPr>
        <w:t xml:space="preserve">requirements for the valuation on December 31, 2019.  Any company so electing may not </w:t>
      </w:r>
      <w:r w:rsidR="009B3465">
        <w:rPr>
          <w:rFonts w:ascii="Times New Roman" w:eastAsia="Times New Roman" w:hAnsi="Times New Roman"/>
        </w:rPr>
        <w:t xml:space="preserve">also </w:t>
      </w:r>
      <w:r>
        <w:rPr>
          <w:rFonts w:ascii="Times New Roman" w:eastAsia="Times New Roman" w:hAnsi="Times New Roman"/>
        </w:rPr>
        <w:t>elect</w:t>
      </w:r>
      <w:r w:rsidR="009B3465">
        <w:rPr>
          <w:rFonts w:ascii="Times New Roman" w:eastAsia="Times New Roman" w:hAnsi="Times New Roman"/>
        </w:rPr>
        <w:t xml:space="preserve"> to</w:t>
      </w:r>
      <w:r>
        <w:rPr>
          <w:rFonts w:ascii="Times New Roman" w:eastAsia="Times New Roman" w:hAnsi="Times New Roman"/>
        </w:rPr>
        <w:t xml:space="preserve"> phase</w:t>
      </w:r>
      <w:r w:rsidR="009B3465">
        <w:rPr>
          <w:rFonts w:ascii="Times New Roman" w:eastAsia="Times New Roman" w:hAnsi="Times New Roman"/>
        </w:rPr>
        <w:t xml:space="preserve"> </w:t>
      </w:r>
      <w:r>
        <w:rPr>
          <w:rFonts w:ascii="Times New Roman" w:eastAsia="Times New Roman" w:hAnsi="Times New Roman"/>
        </w:rPr>
        <w:t xml:space="preserve">in </w:t>
      </w:r>
      <w:r w:rsidR="009B3465">
        <w:rPr>
          <w:rFonts w:ascii="Times New Roman" w:eastAsia="Times New Roman" w:hAnsi="Times New Roman"/>
        </w:rPr>
        <w:t>these requirements</w:t>
      </w:r>
      <w:r>
        <w:rPr>
          <w:rFonts w:ascii="Times New Roman" w:eastAsia="Times New Roman" w:hAnsi="Times New Roman"/>
        </w:rPr>
        <w:t xml:space="preserve">. </w:t>
      </w:r>
    </w:p>
    <w:p w14:paraId="3AE136A9" w14:textId="77777777" w:rsidR="00B4207B" w:rsidRPr="003160B2" w:rsidRDefault="00B4207B" w:rsidP="00B4207B">
      <w:pPr>
        <w:tabs>
          <w:tab w:val="left" w:pos="2160"/>
        </w:tabs>
        <w:spacing w:after="220" w:line="240" w:lineRule="auto"/>
        <w:ind w:left="2160" w:hanging="720"/>
        <w:jc w:val="both"/>
        <w:rPr>
          <w:rFonts w:ascii="Times New Roman" w:eastAsia="Times New Roman" w:hAnsi="Times New Roman"/>
        </w:rPr>
      </w:pPr>
      <w:bookmarkStart w:id="1" w:name="_Section_2._Reserve_1"/>
      <w:bookmarkEnd w:id="1"/>
    </w:p>
    <w:p w14:paraId="22366C8A" w14:textId="7E3F334F" w:rsidR="0021502F" w:rsidRPr="00BA5485" w:rsidRDefault="0021502F" w:rsidP="00B4207B">
      <w:pPr>
        <w:pStyle w:val="Heading3"/>
        <w:spacing w:after="220"/>
        <w:rPr>
          <w:sz w:val="22"/>
          <w:szCs w:val="22"/>
        </w:rPr>
      </w:pPr>
      <w:r w:rsidRPr="00067EEF">
        <w:rPr>
          <w:b w:val="0"/>
        </w:rPr>
        <w:t xml:space="preserve">Section </w:t>
      </w:r>
      <w:r w:rsidR="00B4207B" w:rsidRPr="009B3465">
        <w:rPr>
          <w:b w:val="0"/>
        </w:rPr>
        <w:t>3</w:t>
      </w:r>
      <w:r>
        <w:rPr>
          <w:sz w:val="22"/>
          <w:szCs w:val="22"/>
        </w:rPr>
        <w:t xml:space="preserve">: </w:t>
      </w:r>
      <w:r w:rsidRPr="00BA5485">
        <w:rPr>
          <w:sz w:val="22"/>
          <w:szCs w:val="22"/>
        </w:rPr>
        <w:t>Reserve Methodology</w:t>
      </w:r>
    </w:p>
    <w:p w14:paraId="1CEEBE5B"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General Description</w:t>
      </w:r>
    </w:p>
    <w:p w14:paraId="0E0962D5" w14:textId="39EA0165" w:rsidR="0021502F"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r w:rsidR="006D05BD" w:rsidRPr="006D05BD">
        <w:rPr>
          <w:rFonts w:ascii="Times New Roman" w:eastAsia="Times New Roman" w:hAnsi="Times New Roman"/>
        </w:rPr>
        <w:t xml:space="preserve">stochastic reserve (following the requirements of Section 4) plus </w:t>
      </w:r>
      <w:r w:rsidRPr="00465680">
        <w:rPr>
          <w:rFonts w:ascii="Times New Roman" w:eastAsia="Times New Roman" w:hAnsi="Times New Roman"/>
        </w:rPr>
        <w:t xml:space="preserve">the </w:t>
      </w:r>
      <w:r w:rsidR="006D05BD">
        <w:rPr>
          <w:rFonts w:ascii="Times New Roman" w:eastAsia="Times New Roman" w:hAnsi="Times New Roman"/>
        </w:rPr>
        <w:t xml:space="preserve">additional </w:t>
      </w:r>
      <w:r w:rsidR="00151A1B" w:rsidRPr="00465680">
        <w:rPr>
          <w:rFonts w:ascii="Times New Roman" w:eastAsia="Times New Roman" w:hAnsi="Times New Roman"/>
        </w:rPr>
        <w:t xml:space="preserve">standard </w:t>
      </w:r>
      <w:r w:rsidR="006D05BD">
        <w:rPr>
          <w:rFonts w:ascii="Times New Roman" w:eastAsia="Times New Roman" w:hAnsi="Times New Roman"/>
        </w:rPr>
        <w:t>projection</w:t>
      </w:r>
      <w:r w:rsidR="00151A1B" w:rsidRPr="00465680">
        <w:rPr>
          <w:rFonts w:ascii="Times New Roman" w:eastAsia="Times New Roman" w:hAnsi="Times New Roman"/>
        </w:rPr>
        <w:t xml:space="preserve"> amount</w:t>
      </w:r>
      <w:r w:rsidR="006D05BD" w:rsidRPr="006D05BD">
        <w:rPr>
          <w:rFonts w:ascii="Times New Roman" w:eastAsia="Times New Roman" w:hAnsi="Times New Roman"/>
        </w:rPr>
        <w:t>(following the requirements of Section 6) less any pre-tax Interest Maintenance Reserve (PIMR) and any Asset Valuation Reserve for all contracts not valued under the Alternative Methodology (Section 7)</w:t>
      </w:r>
      <w:r w:rsidRPr="00465680">
        <w:rPr>
          <w:rFonts w:ascii="Times New Roman" w:eastAsia="Times New Roman" w:hAnsi="Times New Roman"/>
        </w:rPr>
        <w:t xml:space="preserve">, </w:t>
      </w:r>
      <w:r w:rsidR="006D05BD" w:rsidRPr="006D05BD">
        <w:t xml:space="preserve"> </w:t>
      </w:r>
      <w:r w:rsidR="006D05BD" w:rsidRPr="006D05BD">
        <w:rPr>
          <w:rFonts w:ascii="Times New Roman" w:eastAsia="Times New Roman" w:hAnsi="Times New Roman"/>
        </w:rPr>
        <w:t>plus the reserve for any contracts determined using the Alternative Methodology (following the requirements of Section 7)</w:t>
      </w:r>
      <w:r w:rsidRPr="00465680">
        <w:rPr>
          <w:rFonts w:ascii="Times New Roman" w:eastAsia="Times New Roman" w:hAnsi="Times New Roman"/>
        </w:rPr>
        <w:t>.</w:t>
      </w:r>
      <w:r w:rsidR="004B346F">
        <w:rPr>
          <w:rFonts w:ascii="Times New Roman" w:eastAsia="Times New Roman" w:hAnsi="Times New Roman"/>
        </w:rPr>
        <w:t xml:space="preserve"> </w:t>
      </w:r>
    </w:p>
    <w:p w14:paraId="19213A9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61444513"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Where reinsurance is ceded for all or a portion of the contracts, </w:t>
      </w:r>
      <w:r w:rsidR="00DE5A16">
        <w:rPr>
          <w:rFonts w:ascii="Times New Roman" w:eastAsia="Times New Roman" w:hAnsi="Times New Roman"/>
        </w:rPr>
        <w:t>all</w:t>
      </w:r>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above general description (and thus 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r w:rsidRPr="00BA5485">
        <w:rPr>
          <w:rFonts w:ascii="Times New Roman" w:eastAsia="Times New Roman" w:hAnsi="Times New Roman"/>
        </w:rPr>
        <w:t xml:space="preserve">) shall be determined </w:t>
      </w:r>
      <w:r w:rsidR="003555F8">
        <w:rPr>
          <w:rFonts w:ascii="Times New Roman" w:eastAsia="Times New Roman" w:hAnsi="Times New Roman"/>
        </w:rPr>
        <w:t xml:space="preserve">post-reinsurance ceded, that is, </w:t>
      </w:r>
      <w:r w:rsidRPr="00BA5485">
        <w:rPr>
          <w:rFonts w:ascii="Times New Roman" w:eastAsia="Times New Roman" w:hAnsi="Times New Roman"/>
        </w:rPr>
        <w:t>net of any reinsurance treaties that meet the statutory requirements that would allow the treaty to be accounted for as reinsurance.</w:t>
      </w:r>
    </w:p>
    <w:p w14:paraId="55A9FCFD" w14:textId="2CA172FF" w:rsidR="00D670B1" w:rsidRPr="00BA5485" w:rsidRDefault="0021502F" w:rsidP="00067EEF">
      <w:pPr>
        <w:pStyle w:val="ListParagraph"/>
        <w:tabs>
          <w:tab w:val="left" w:pos="72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An </w:t>
      </w:r>
      <w:r w:rsidR="00004D48">
        <w:rPr>
          <w:rFonts w:ascii="Times New Roman" w:eastAsia="Times New Roman" w:hAnsi="Times New Roman"/>
        </w:rPr>
        <w:t>a</w:t>
      </w:r>
      <w:r w:rsidR="00004D48" w:rsidRPr="00BA5485">
        <w:rPr>
          <w:rFonts w:ascii="Times New Roman" w:eastAsia="Times New Roman" w:hAnsi="Times New Roman"/>
        </w:rPr>
        <w:t xml:space="preserve">ggregate </w:t>
      </w:r>
      <w:r w:rsidR="00004D48">
        <w:rPr>
          <w:rFonts w:ascii="Times New Roman" w:eastAsia="Times New Roman" w:hAnsi="Times New Roman"/>
        </w:rPr>
        <w:t>r</w:t>
      </w:r>
      <w:r w:rsidR="00004D48" w:rsidRPr="00BA5485">
        <w:rPr>
          <w:rFonts w:ascii="Times New Roman" w:eastAsia="Times New Roman" w:hAnsi="Times New Roman"/>
        </w:rPr>
        <w:t xml:space="preserve">eserve </w:t>
      </w:r>
      <w:r w:rsidR="00DE5A16">
        <w:rPr>
          <w:rFonts w:ascii="Times New Roman" w:eastAsia="Times New Roman" w:hAnsi="Times New Roman"/>
        </w:rPr>
        <w:t>pre-</w:t>
      </w:r>
      <w:r w:rsidRPr="00BA5485">
        <w:rPr>
          <w:rFonts w:ascii="Times New Roman" w:eastAsia="Times New Roman" w:hAnsi="Times New Roman"/>
        </w:rPr>
        <w:t xml:space="preserve">reinsurance </w:t>
      </w:r>
      <w:r w:rsidR="00042FCD">
        <w:rPr>
          <w:rFonts w:ascii="Times New Roman" w:eastAsia="Times New Roman" w:hAnsi="Times New Roman"/>
        </w:rPr>
        <w:t xml:space="preserve">ceded </w:t>
      </w:r>
      <w:r w:rsidRPr="00BA5485">
        <w:rPr>
          <w:rFonts w:ascii="Times New Roman" w:eastAsia="Times New Roman" w:hAnsi="Times New Roman"/>
        </w:rPr>
        <w:t xml:space="preserve">shall </w:t>
      </w:r>
      <w:r w:rsidR="00DE5A16">
        <w:rPr>
          <w:rFonts w:ascii="Times New Roman" w:eastAsia="Times New Roman" w:hAnsi="Times New Roman"/>
        </w:rPr>
        <w:t>also</w:t>
      </w:r>
      <w:r w:rsidR="00DE5A16" w:rsidRPr="00BA5485">
        <w:rPr>
          <w:rFonts w:ascii="Times New Roman" w:eastAsia="Times New Roman" w:hAnsi="Times New Roman"/>
        </w:rPr>
        <w:t xml:space="preserve"> </w:t>
      </w:r>
      <w:r w:rsidRPr="00BA5485">
        <w:rPr>
          <w:rFonts w:ascii="Times New Roman" w:eastAsia="Times New Roman" w:hAnsi="Times New Roman"/>
        </w:rPr>
        <w:t>be calculated .</w:t>
      </w:r>
    </w:p>
    <w:p w14:paraId="349AA48B" w14:textId="48C55E74" w:rsidR="0021502F" w:rsidRPr="00BA5485"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Additional</w:t>
      </w:r>
      <w:r w:rsidRPr="00BA5485">
        <w:rPr>
          <w:rFonts w:ascii="Times New Roman" w:eastAsia="Times New Roman" w:hAnsi="Times New Roman"/>
        </w:rPr>
        <w:t xml:space="preserve"> Standard </w:t>
      </w:r>
      <w:r w:rsidR="00500629">
        <w:rPr>
          <w:rFonts w:ascii="Times New Roman" w:eastAsia="Times New Roman" w:hAnsi="Times New Roman"/>
        </w:rPr>
        <w:t>Projection</w:t>
      </w:r>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203D382D" w:rsidR="0021502F" w:rsidRPr="007E526B" w:rsidRDefault="0021502F" w:rsidP="00C27491">
      <w:pPr>
        <w:pStyle w:val="ListParagraph"/>
        <w:spacing w:after="220" w:line="240" w:lineRule="auto"/>
        <w:contextualSpacing w:val="0"/>
        <w:rPr>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additional</w:t>
      </w:r>
      <w:r w:rsidRPr="00B44BCA">
        <w:rPr>
          <w:rFonts w:ascii="Times New Roman" w:eastAsia="Times New Roman" w:hAnsi="Times New Roman"/>
        </w:rPr>
        <w:t xml:space="preserve"> </w:t>
      </w:r>
      <w:r w:rsidR="00004D48" w:rsidRPr="00B44BCA">
        <w:rPr>
          <w:rFonts w:ascii="Times New Roman" w:eastAsia="Times New Roman" w:hAnsi="Times New Roman"/>
        </w:rPr>
        <w:t xml:space="preserve">standard </w:t>
      </w:r>
      <w:r w:rsidR="00500629" w:rsidRPr="00B44BCA">
        <w:rPr>
          <w:rFonts w:ascii="Times New Roman" w:eastAsia="Times New Roman" w:hAnsi="Times New Roman"/>
        </w:rPr>
        <w:t xml:space="preserve">projection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r w:rsidR="00500629" w:rsidRPr="00B44BCA">
        <w:rPr>
          <w:rFonts w:ascii="Times New Roman" w:eastAsia="Times New Roman" w:hAnsi="Times New Roman"/>
        </w:rPr>
        <w:t>an additive factor,</w:t>
      </w:r>
      <w:r w:rsidR="00500629" w:rsidRPr="00E365F3">
        <w:rPr>
          <w:rFonts w:ascii="Times New Roman" w:eastAsia="Times New Roman" w:hAnsi="Times New Roman"/>
        </w:rPr>
        <w:t xml:space="preserve"> </w:t>
      </w:r>
      <w:r w:rsidRPr="00E365F3">
        <w:rPr>
          <w:rFonts w:ascii="Times New Roman" w:eastAsia="Times New Roman" w:hAnsi="Times New Roman"/>
        </w:rPr>
        <w:t xml:space="preserve">determined by applying </w:t>
      </w:r>
      <w:r w:rsidR="00D670B1" w:rsidRPr="0033795A">
        <w:rPr>
          <w:rFonts w:ascii="Times New Roman" w:eastAsia="Times New Roman" w:hAnsi="Times New Roman"/>
        </w:rPr>
        <w:t xml:space="preserve">one of </w:t>
      </w:r>
      <w:r w:rsidRPr="0033795A">
        <w:rPr>
          <w:rFonts w:ascii="Times New Roman" w:eastAsia="Times New Roman" w:hAnsi="Times New Roman"/>
        </w:rPr>
        <w:t xml:space="preserve">the </w:t>
      </w:r>
      <w:r w:rsidR="004F600F" w:rsidRPr="0033795A">
        <w:rPr>
          <w:rFonts w:ascii="Times New Roman" w:eastAsia="Times New Roman" w:hAnsi="Times New Roman"/>
        </w:rPr>
        <w:t xml:space="preserve">two </w:t>
      </w:r>
      <w:r w:rsidR="00004D48" w:rsidRPr="0033795A">
        <w:rPr>
          <w:rFonts w:ascii="Times New Roman" w:eastAsia="Times New Roman" w:hAnsi="Times New Roman"/>
        </w:rPr>
        <w:lastRenderedPageBreak/>
        <w:t xml:space="preserve">standard </w:t>
      </w:r>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r w:rsidR="00B85A70">
        <w:rPr>
          <w:rFonts w:ascii="Times New Roman" w:eastAsia="Times New Roman" w:hAnsi="Times New Roman"/>
        </w:rPr>
        <w:t xml:space="preserve">, </w:t>
      </w:r>
      <w:r w:rsidR="009A56D0" w:rsidRPr="0060001D">
        <w:rPr>
          <w:rFonts w:ascii="Times New Roman" w:eastAsia="Times New Roman" w:hAnsi="Times New Roman"/>
        </w:rPr>
        <w:t>that</w:t>
      </w:r>
      <w:r w:rsidR="00B85A70" w:rsidRPr="0060001D">
        <w:rPr>
          <w:rFonts w:ascii="Times New Roman" w:eastAsia="Times New Roman" w:hAnsi="Times New Roman"/>
        </w:rPr>
        <w:t xml:space="preserve"> is </w:t>
      </w:r>
      <w:r w:rsidR="009A56D0" w:rsidRPr="0060001D">
        <w:rPr>
          <w:rFonts w:ascii="Times New Roman" w:eastAsia="Times New Roman" w:hAnsi="Times New Roman"/>
        </w:rPr>
        <w:t>added</w:t>
      </w:r>
      <w:r w:rsidR="00B85A70" w:rsidRPr="0060001D">
        <w:rPr>
          <w:rFonts w:ascii="Times New Roman" w:eastAsia="Times New Roman" w:hAnsi="Times New Roman"/>
        </w:rPr>
        <w:t xml:space="preserve"> to</w:t>
      </w:r>
      <w:r w:rsidR="00B85A70">
        <w:rPr>
          <w:rFonts w:ascii="Times New Roman" w:eastAsia="Times New Roman" w:hAnsi="Times New Roman"/>
        </w:rPr>
        <w:t xml:space="preserve"> the stochastic reserve to determine the aggregate reserve</w:t>
      </w:r>
      <w:r w:rsidR="000405E8" w:rsidRPr="00B44BCA">
        <w:rPr>
          <w:rFonts w:ascii="Times New Roman" w:eastAsia="Times New Roman" w:hAnsi="Times New Roman"/>
        </w:rPr>
        <w:t>.  The same method 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contracts </w:t>
      </w:r>
      <w:r w:rsidR="000405E8" w:rsidRPr="00B44BCA">
        <w:rPr>
          <w:rFonts w:ascii="Times New Roman" w:eastAsia="Times New Roman" w:hAnsi="Times New Roman"/>
        </w:rPr>
        <w:t xml:space="preserve">within 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CA2188" w:rsidRPr="00CA2188">
        <w:rPr>
          <w:rFonts w:ascii="Times New Roman" w:eastAsia="Times New Roman" w:hAnsi="Times New Roman"/>
        </w:rPr>
        <w:t>, and do not include any contracts whose reserve is determined using the Alternative Methodology</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additional s</w:t>
      </w:r>
      <w:r w:rsidR="00704528" w:rsidRPr="001D609A">
        <w:rPr>
          <w:rFonts w:ascii="Times New Roman" w:eastAsia="Times New Roman" w:hAnsi="Times New Roman"/>
        </w:rPr>
        <w:t xml:space="preserve">tandard </w:t>
      </w:r>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p>
    <w:p w14:paraId="47E86E99" w14:textId="14022A19" w:rsidR="0021502F" w:rsidRPr="00BA5485" w:rsidRDefault="0021502F" w:rsidP="00E87EFC">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 xml:space="preserve">The </w:t>
      </w:r>
      <w:r w:rsidR="00722D26">
        <w:rPr>
          <w:rFonts w:ascii="Times New Roman" w:eastAsia="Times New Roman" w:hAnsi="Times New Roman"/>
        </w:rPr>
        <w:t>Stochastic Reserve</w:t>
      </w:r>
    </w:p>
    <w:p w14:paraId="3AE7C92F" w14:textId="1F18ACDE"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shall be determined based on projection</w:t>
      </w:r>
      <w:r w:rsidR="00DF2227">
        <w:rPr>
          <w:rFonts w:ascii="Times New Roman" w:eastAsia="Times New Roman" w:hAnsi="Times New Roman"/>
        </w:rPr>
        <w:t>s</w:t>
      </w:r>
      <w:r w:rsidRPr="00BA5485">
        <w:rPr>
          <w:rFonts w:ascii="Times New Roman" w:eastAsia="Times New Roman" w:hAnsi="Times New Roman"/>
        </w:rPr>
        <w:t xml:space="preserve"> of the contracts falling within the scope of these requirements</w:t>
      </w:r>
      <w:r w:rsidR="00CA2188">
        <w:rPr>
          <w:rFonts w:ascii="Times New Roman" w:eastAsia="Times New Roman" w:hAnsi="Times New Roman"/>
        </w:rPr>
        <w:t xml:space="preserve"> </w:t>
      </w:r>
      <w:r w:rsidR="00CA2188" w:rsidRPr="00CA2188">
        <w:rPr>
          <w:rFonts w:ascii="Times New Roman" w:eastAsia="Times New Roman" w:hAnsi="Times New Roman"/>
        </w:rPr>
        <w:t>excluding those contracts valued using the Alternative Methodology</w:t>
      </w:r>
      <w:r w:rsidRPr="00BA5485">
        <w:rPr>
          <w:rFonts w:ascii="Times New Roman" w:eastAsia="Times New Roman" w:hAnsi="Times New Roman"/>
        </w:rPr>
        <w:t>, and the assets supporting these contracts, over a broad range of stochastically generated projection scenarios</w:t>
      </w:r>
      <w:r w:rsidR="001B727A">
        <w:rPr>
          <w:rFonts w:ascii="Times New Roman" w:eastAsia="Times New Roman" w:hAnsi="Times New Roman"/>
        </w:rPr>
        <w:t xml:space="preserve"> </w:t>
      </w:r>
      <w:r w:rsidR="004F600F">
        <w:rPr>
          <w:rFonts w:ascii="Times New Roman" w:eastAsia="Times New Roman" w:hAnsi="Times New Roman"/>
        </w:rPr>
        <w:t>described in Section 8</w:t>
      </w:r>
      <w:r w:rsidRPr="00BA5485">
        <w:rPr>
          <w:rFonts w:ascii="Times New Roman" w:eastAsia="Times New Roman" w:hAnsi="Times New Roman"/>
        </w:rPr>
        <w:t xml:space="preserve"> 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r w:rsidR="00596727">
        <w:rPr>
          <w:rFonts w:ascii="Times New Roman" w:eastAsia="Times New Roman" w:hAnsi="Times New Roman"/>
        </w:rPr>
        <w:t xml:space="preserve"> as required</w:t>
      </w:r>
      <w:r w:rsidR="00CA2188">
        <w:rPr>
          <w:rFonts w:ascii="Times New Roman" w:eastAsia="Times New Roman" w:hAnsi="Times New Roman"/>
        </w:rPr>
        <w:t xml:space="preserve"> herein</w:t>
      </w:r>
      <w:r w:rsidRPr="00BA5485">
        <w:rPr>
          <w:rFonts w:ascii="Times New Roman" w:eastAsia="Times New Roman" w:hAnsi="Times New Roman"/>
        </w:rPr>
        <w:t>.</w:t>
      </w:r>
      <w:r w:rsidR="00D964A8">
        <w:rPr>
          <w:rFonts w:ascii="Times New Roman" w:eastAsia="Times New Roman" w:hAnsi="Times New Roman"/>
        </w:rPr>
        <w:t xml:space="preserve">  </w:t>
      </w:r>
    </w:p>
    <w:p w14:paraId="3D63F381" w14:textId="5965D3BD"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of these requirements (i.e., a single grouping)</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 the option of the company, it may be determined by</w:t>
      </w:r>
      <w:r w:rsidRPr="00B4207B">
        <w:rPr>
          <w:rFonts w:ascii="Times New Roman" w:hAnsi="Times New Roman"/>
          <w:position w:val="1"/>
        </w:rPr>
        <w:t xml:space="preserve"> </w:t>
      </w:r>
      <w:r w:rsidRPr="00BA5485">
        <w:rPr>
          <w:rFonts w:ascii="Times New Roman" w:eastAsia="Times New Roman" w:hAnsi="Times New Roman"/>
        </w:rPr>
        <w:t xml:space="preserve">subgroupings of contracts, in which case 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shall equal the sum of the amounts computed for each such subgrouping.</w:t>
      </w:r>
    </w:p>
    <w:p w14:paraId="6120F39B" w14:textId="5CDD4EC5" w:rsidR="0021502F" w:rsidRPr="00722D26" w:rsidRDefault="0021502F" w:rsidP="00067EEF">
      <w:pPr>
        <w:tabs>
          <w:tab w:val="left" w:pos="10440"/>
        </w:tabs>
        <w:spacing w:after="220" w:line="240" w:lineRule="auto"/>
        <w:ind w:left="460"/>
        <w:rPr>
          <w:rFonts w:ascii="Times New Roman" w:eastAsia="Times New Roman" w:hAnsi="Times New Roman"/>
        </w:rPr>
      </w:pPr>
      <w:r w:rsidRPr="00722D26">
        <w:rPr>
          <w:rFonts w:ascii="Times New Roman" w:eastAsia="Times New Roman" w:hAnsi="Times New Roman"/>
        </w:rPr>
        <w:t xml:space="preserve">The </w:t>
      </w:r>
      <w:r w:rsidR="00722D26"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r w:rsidRPr="00722D26">
        <w:rPr>
          <w:rFonts w:ascii="Times New Roman" w:eastAsia="Times New Roman" w:hAnsi="Times New Roman"/>
        </w:rPr>
        <w:t xml:space="preserve">shall be determined </w:t>
      </w:r>
      <w:r w:rsidR="0016232E" w:rsidRPr="00722D26">
        <w:rPr>
          <w:rFonts w:ascii="Times New Roman" w:eastAsia="Times New Roman" w:hAnsi="Times New Roman"/>
        </w:rPr>
        <w:t>as CTE70</w:t>
      </w:r>
      <w:r w:rsidR="00CA2188">
        <w:rPr>
          <w:rFonts w:ascii="Times New Roman" w:eastAsia="Times New Roman" w:hAnsi="Times New Roman"/>
        </w:rPr>
        <w:t xml:space="preserve"> </w:t>
      </w:r>
      <w:r w:rsidR="00CA2188" w:rsidRPr="00CA2188">
        <w:rPr>
          <w:rFonts w:ascii="Times New Roman" w:eastAsia="Times New Roman" w:hAnsi="Times New Roman"/>
        </w:rPr>
        <w:t>of the scenario reserves</w:t>
      </w:r>
      <w:r w:rsidR="0016232E" w:rsidRPr="00722D26">
        <w:rPr>
          <w:rFonts w:ascii="Times New Roman" w:eastAsia="Times New Roman" w:hAnsi="Times New Roman"/>
        </w:rPr>
        <w:t xml:space="preserve"> </w:t>
      </w:r>
      <w:r w:rsidR="002F4E4A" w:rsidRPr="00722D26">
        <w:rPr>
          <w:rFonts w:ascii="Times New Roman" w:eastAsia="Times New Roman" w:hAnsi="Times New Roman"/>
        </w:rPr>
        <w:t xml:space="preserve">following the requirements of Section 4.  </w:t>
      </w:r>
    </w:p>
    <w:p w14:paraId="482E590D" w14:textId="2C0C3852"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p>
    <w:p w14:paraId="351B1619" w14:textId="736240C9"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For </w:t>
      </w:r>
      <w:r w:rsidR="003D249C">
        <w:rPr>
          <w:rFonts w:ascii="Times New Roman" w:eastAsia="Times New Roman" w:hAnsi="Times New Roman"/>
        </w:rPr>
        <w:t xml:space="preserve">a group of </w:t>
      </w:r>
      <w:r w:rsidRPr="00BA5485">
        <w:rPr>
          <w:rFonts w:ascii="Times New Roman" w:eastAsia="Times New Roman" w:hAnsi="Times New Roman"/>
        </w:rPr>
        <w:t xml:space="preserve">variable deferred annuity contracts that contain either no guaranteed benefits or only GMDBs (i.e., no VAGLBs), the </w:t>
      </w:r>
      <w:r w:rsidR="006E6F7F">
        <w:rPr>
          <w:rFonts w:ascii="Times New Roman" w:eastAsia="Times New Roman" w:hAnsi="Times New Roman"/>
        </w:rPr>
        <w:t>reserve</w:t>
      </w:r>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r w:rsidR="00F2506E">
        <w:rPr>
          <w:rFonts w:ascii="Times New Roman" w:eastAsia="Times New Roman" w:hAnsi="Times New Roman"/>
        </w:rPr>
        <w:t>7</w:t>
      </w:r>
      <w:r w:rsidRPr="00BA5485">
        <w:rPr>
          <w:rFonts w:ascii="Times New Roman" w:eastAsia="Times New Roman" w:hAnsi="Times New Roman"/>
        </w:rPr>
        <w:t xml:space="preserve"> rather than using the approach described in Section </w:t>
      </w:r>
      <w:r w:rsidR="00474E57">
        <w:rPr>
          <w:rFonts w:ascii="Times New Roman" w:eastAsia="Times New Roman" w:hAnsi="Times New Roman"/>
        </w:rPr>
        <w:t>3</w:t>
      </w:r>
      <w:r w:rsidR="00162C21">
        <w:rPr>
          <w:rFonts w:ascii="Times New Roman" w:eastAsia="Times New Roman" w:hAnsi="Times New Roman"/>
        </w:rPr>
        <w:t>.</w:t>
      </w:r>
      <w:r w:rsidR="00991FA6">
        <w:rPr>
          <w:rFonts w:ascii="Times New Roman" w:eastAsia="Times New Roman" w:hAnsi="Times New Roman"/>
        </w:rPr>
        <w:t>C and Section 3.</w:t>
      </w:r>
      <w:r w:rsidRPr="00BA5485">
        <w:rPr>
          <w:rFonts w:ascii="Times New Roman" w:eastAsia="Times New Roman" w:hAnsi="Times New Roman"/>
        </w:rPr>
        <w:t xml:space="preserve">D. However, in the event the approach described in Section </w:t>
      </w:r>
      <w:r w:rsidR="00474E57">
        <w:rPr>
          <w:rFonts w:ascii="Times New Roman" w:eastAsia="Times New Roman" w:hAnsi="Times New Roman"/>
        </w:rPr>
        <w:t>3</w:t>
      </w:r>
      <w:r w:rsidR="00162C21">
        <w:rPr>
          <w:rFonts w:ascii="Times New Roman" w:eastAsia="Times New Roman" w:hAnsi="Times New Roman"/>
        </w:rPr>
        <w:t>.</w:t>
      </w:r>
      <w:r w:rsidR="00991FA6" w:rsidRPr="00991FA6">
        <w:rPr>
          <w:rFonts w:ascii="Times New Roman" w:eastAsia="Times New Roman" w:hAnsi="Times New Roman"/>
        </w:rPr>
        <w:t xml:space="preserve"> </w:t>
      </w:r>
      <w:r w:rsidR="00991FA6">
        <w:rPr>
          <w:rFonts w:ascii="Times New Roman" w:eastAsia="Times New Roman" w:hAnsi="Times New Roman"/>
        </w:rPr>
        <w:t>C and Section 3.</w:t>
      </w:r>
      <w:r w:rsidRPr="00BA5485">
        <w:rPr>
          <w:rFonts w:ascii="Times New Roman" w:eastAsia="Times New Roman" w:hAnsi="Times New Roman"/>
        </w:rPr>
        <w:t>D has been used in prior valuations</w:t>
      </w:r>
      <w:r w:rsidR="003D249C">
        <w:rPr>
          <w:rFonts w:ascii="Times New Roman" w:eastAsia="Times New Roman" w:hAnsi="Times New Roman"/>
        </w:rPr>
        <w:t xml:space="preserve"> for that group of </w:t>
      </w:r>
      <w:r w:rsidR="009D310F">
        <w:rPr>
          <w:rFonts w:ascii="Times New Roman" w:eastAsia="Times New Roman" w:hAnsi="Times New Roman"/>
        </w:rPr>
        <w:t>contracts</w:t>
      </w:r>
      <w:r w:rsidRPr="00BA5485">
        <w:rPr>
          <w:rFonts w:ascii="Times New Roman" w:eastAsia="Times New Roman" w:hAnsi="Times New Roman"/>
        </w:rPr>
        <w:t>, the Alternative Methodology may not be used without approval from the domiciliary commissioner.</w:t>
      </w:r>
    </w:p>
    <w:p w14:paraId="0243EDAB" w14:textId="1AA3B510" w:rsidR="0021502F" w:rsidRPr="00BA5485" w:rsidRDefault="0021502F" w:rsidP="00067EEF">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DE5A16">
        <w:rPr>
          <w:rFonts w:ascii="Times New Roman" w:eastAsia="Times New Roman" w:hAnsi="Times New Roman"/>
        </w:rPr>
        <w:t>reserve</w:t>
      </w:r>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0301746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Allocation of Results to Contracts</w:t>
      </w:r>
    </w:p>
    <w:p w14:paraId="06D8BB01" w14:textId="41104741" w:rsidR="00CC2E32" w:rsidRDefault="0021502F" w:rsidP="00067EEF">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bookmarkStart w:id="2" w:name="VM25"/>
      <w:bookmarkStart w:id="3" w:name="_Toc461784859"/>
      <w:r w:rsidR="00991FA6">
        <w:rPr>
          <w:rFonts w:ascii="Times New Roman" w:eastAsia="Times New Roman" w:hAnsi="Times New Roman"/>
        </w:rPr>
        <w:t>1</w:t>
      </w:r>
      <w:r w:rsidR="009A56D0">
        <w:rPr>
          <w:rFonts w:ascii="Times New Roman" w:eastAsia="Times New Roman" w:hAnsi="Times New Roman"/>
        </w:rPr>
        <w:t>2</w:t>
      </w:r>
      <w:r w:rsidR="00CC2E32">
        <w:rPr>
          <w:rFonts w:ascii="Times New Roman" w:eastAsia="Times New Roman" w:hAnsi="Times New Roman"/>
        </w:rPr>
        <w:t>.</w:t>
      </w:r>
    </w:p>
    <w:p w14:paraId="7170547E" w14:textId="686C60EF" w:rsidR="00CC2E32" w:rsidRPr="00576438" w:rsidRDefault="00CC2E32" w:rsidP="00E87EFC">
      <w:pPr>
        <w:pStyle w:val="ListParagraph"/>
        <w:numPr>
          <w:ilvl w:val="0"/>
          <w:numId w:val="7"/>
        </w:numPr>
        <w:spacing w:after="220" w:line="240" w:lineRule="auto"/>
        <w:ind w:left="360"/>
        <w:rPr>
          <w:rFonts w:ascii="Times New Roman" w:eastAsia="Times New Roman" w:hAnsi="Times New Roman"/>
        </w:rPr>
      </w:pPr>
      <w:r w:rsidRPr="00576438">
        <w:rPr>
          <w:rFonts w:ascii="Times New Roman" w:eastAsia="Times New Roman" w:hAnsi="Times New Roman"/>
        </w:rPr>
        <w:t>Reserve to Be Held in the General Account</w:t>
      </w:r>
    </w:p>
    <w:p w14:paraId="05A4EC17" w14:textId="4A0DB4F8" w:rsidR="00576438" w:rsidRPr="0060001D" w:rsidRDefault="00576438" w:rsidP="00576438">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FC1197" w:rsidRDefault="00FC1197" w:rsidP="00241606">
                            <w:pPr>
                              <w:pStyle w:val="Subtitle"/>
                              <w:ind w:left="720"/>
                              <w:jc w:val="left"/>
                              <w:rPr>
                                <w:b w:val="0"/>
                                <w:sz w:val="22"/>
                                <w:szCs w:val="22"/>
                              </w:rPr>
                            </w:pPr>
                          </w:p>
                          <w:p w14:paraId="45E17ED0" w14:textId="6A70701A" w:rsidR="00FC1197" w:rsidRPr="00576438" w:rsidRDefault="00FC1197" w:rsidP="00576438">
                            <w:pPr>
                              <w:rPr>
                                <w:rFonts w:ascii="Times New Roman" w:eastAsia="Times New Roman" w:hAnsi="Times New Roman"/>
                              </w:rPr>
                            </w:pPr>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p>
                          <w:p w14:paraId="196403E2" w14:textId="77777777" w:rsidR="00FC1197" w:rsidRDefault="00FC1197" w:rsidP="00241606">
                            <w:pPr>
                              <w:pStyle w:val="Subtitle"/>
                              <w:ind w:left="720"/>
                              <w:jc w:val="left"/>
                              <w:rPr>
                                <w:b w:val="0"/>
                                <w:sz w:val="22"/>
                                <w:szCs w:val="22"/>
                              </w:rPr>
                            </w:pPr>
                          </w:p>
                          <w:p w14:paraId="2CF5B218" w14:textId="77777777" w:rsidR="00FC1197" w:rsidRPr="00F202F7" w:rsidRDefault="00FC1197" w:rsidP="00F35A23">
                            <w:pPr>
                              <w:pStyle w:val="Subtitle"/>
                              <w:ind w:left="72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FC1197" w:rsidRDefault="00FC1197" w:rsidP="00241606">
                      <w:pPr>
                        <w:pStyle w:val="Subtitle"/>
                        <w:ind w:left="720"/>
                        <w:jc w:val="left"/>
                        <w:rPr>
                          <w:b w:val="0"/>
                          <w:sz w:val="22"/>
                          <w:szCs w:val="22"/>
                        </w:rPr>
                      </w:pPr>
                    </w:p>
                    <w:p w14:paraId="45E17ED0" w14:textId="6A70701A" w:rsidR="00FC1197" w:rsidRPr="00576438" w:rsidRDefault="00FC1197" w:rsidP="00576438">
                      <w:pPr>
                        <w:rPr>
                          <w:rFonts w:ascii="Times New Roman" w:eastAsia="Times New Roman" w:hAnsi="Times New Roman"/>
                        </w:rPr>
                      </w:pPr>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p>
                    <w:p w14:paraId="196403E2" w14:textId="77777777" w:rsidR="00FC1197" w:rsidRDefault="00FC1197" w:rsidP="00241606">
                      <w:pPr>
                        <w:pStyle w:val="Subtitle"/>
                        <w:ind w:left="720"/>
                        <w:jc w:val="left"/>
                        <w:rPr>
                          <w:b w:val="0"/>
                          <w:sz w:val="22"/>
                          <w:szCs w:val="22"/>
                        </w:rPr>
                      </w:pPr>
                    </w:p>
                    <w:p w14:paraId="2CF5B218" w14:textId="77777777" w:rsidR="00FC1197" w:rsidRPr="00F202F7" w:rsidRDefault="00FC1197" w:rsidP="00F35A23">
                      <w:pPr>
                        <w:pStyle w:val="Subtitle"/>
                        <w:ind w:left="720"/>
                        <w:rPr>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aggregate cash surrender value held in the separate account and attributable to the variable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w:t>
      </w:r>
      <w:r w:rsidR="00CC0F00" w:rsidRPr="00E119CC">
        <w:rPr>
          <w:rFonts w:ascii="Times New Roman" w:hAnsi="Times New Roman"/>
        </w:rPr>
        <w:t xml:space="preserve">value </w:t>
      </w:r>
      <w:r w:rsidRPr="0060001D">
        <w:rPr>
          <w:rFonts w:ascii="Times New Roman" w:eastAsia="Times New Roman" w:hAnsi="Times New Roman"/>
        </w:rPr>
        <w:t>held in the separate account the implicit </w:t>
      </w:r>
      <w:r w:rsidR="00CC0F00" w:rsidRPr="00576438">
        <w:rPr>
          <w:rFonts w:ascii="Times New Roman" w:hAnsi="Times New Roman"/>
        </w:rPr>
        <w:t>amount for which the contract</w:t>
      </w:r>
      <w:r w:rsidR="00960FE5">
        <w:rPr>
          <w:rFonts w:ascii="Times New Roman" w:hAnsi="Times New Roman"/>
        </w:rPr>
        <w:t xml:space="preserve"> </w:t>
      </w:r>
      <w:r w:rsidR="00CC0F00" w:rsidRPr="00576438">
        <w:rPr>
          <w:rFonts w:ascii="Times New Roman" w:hAnsi="Times New Roman"/>
        </w:rPr>
        <w:t xml:space="preserve">holder is entitled to receive income based on the performance of the separate </w:t>
      </w:r>
      <w:r w:rsidR="00CC0F00" w:rsidRPr="00E119CC">
        <w:rPr>
          <w:rFonts w:ascii="Times New Roman" w:hAnsi="Times New Roman"/>
        </w:rPr>
        <w:t>account.</w:t>
      </w:r>
      <w:r w:rsidRPr="00E119CC">
        <w:rPr>
          <w:rFonts w:ascii="Times New Roman" w:hAnsi="Times New Roman"/>
        </w:rPr>
        <w:t xml:space="preserve"> </w:t>
      </w:r>
      <w:r w:rsidRPr="0060001D">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60001D">
        <w:rPr>
          <w:rFonts w:ascii="Times New Roman" w:eastAsia="Times New Roman" w:hAnsi="Times New Roman"/>
        </w:rPr>
        <w:t>a</w:t>
      </w:r>
      <w:r w:rsidRPr="0060001D">
        <w:rPr>
          <w:rFonts w:ascii="Times New Roman" w:eastAsia="Times New Roman" w:hAnsi="Times New Roman"/>
        </w:rPr>
        <w:t xml:space="preserve">ssumed </w:t>
      </w:r>
      <w:r w:rsidR="00991FA6" w:rsidRPr="0060001D">
        <w:rPr>
          <w:rFonts w:ascii="Times New Roman" w:eastAsia="Times New Roman" w:hAnsi="Times New Roman"/>
        </w:rPr>
        <w:t>i</w:t>
      </w:r>
      <w:r w:rsidRPr="0060001D">
        <w:rPr>
          <w:rFonts w:ascii="Times New Roman" w:eastAsia="Times New Roman" w:hAnsi="Times New Roman"/>
        </w:rPr>
        <w:t xml:space="preserve">nvestment </w:t>
      </w:r>
      <w:r w:rsidR="00991FA6" w:rsidRPr="0060001D">
        <w:rPr>
          <w:rFonts w:ascii="Times New Roman" w:eastAsia="Times New Roman" w:hAnsi="Times New Roman"/>
        </w:rPr>
        <w:t>r</w:t>
      </w:r>
      <w:r w:rsidRPr="0060001D">
        <w:rPr>
          <w:rFonts w:ascii="Times New Roman" w:eastAsia="Times New Roman" w:hAnsi="Times New Roman"/>
        </w:rPr>
        <w:t xml:space="preserve">eturn and defined mortality, times the unit value as of the valuation date.  </w:t>
      </w:r>
    </w:p>
    <w:p w14:paraId="469FA5C3" w14:textId="566B4A1D" w:rsidR="00576438" w:rsidRPr="001D609A" w:rsidRDefault="00576438" w:rsidP="00241606">
      <w:pPr>
        <w:pStyle w:val="Subtitle"/>
        <w:ind w:left="720"/>
        <w:jc w:val="left"/>
        <w:rPr>
          <w:b w:val="0"/>
          <w:sz w:val="22"/>
          <w:szCs w:val="22"/>
        </w:rPr>
      </w:pPr>
    </w:p>
    <w:p w14:paraId="5943DD85" w14:textId="77E8E723" w:rsidR="00CC2E32" w:rsidRDefault="00CC2E32" w:rsidP="00CC2E32">
      <w:pPr>
        <w:pStyle w:val="Heading3"/>
        <w:spacing w:after="220"/>
        <w:jc w:val="left"/>
        <w:rPr>
          <w:rFonts w:asciiTheme="minorHAnsi" w:hAnsiTheme="minorHAnsi"/>
          <w:b w:val="0"/>
          <w:sz w:val="22"/>
          <w:szCs w:val="22"/>
        </w:rPr>
      </w:pPr>
    </w:p>
    <w:p w14:paraId="0443EB5B" w14:textId="5AB6958A" w:rsidR="00CC2E32" w:rsidRPr="00704528" w:rsidRDefault="003B20A6" w:rsidP="00067EEF">
      <w:pPr>
        <w:pStyle w:val="ListParagraph"/>
        <w:numPr>
          <w:ilvl w:val="0"/>
          <w:numId w:val="7"/>
        </w:numPr>
        <w:tabs>
          <w:tab w:val="left" w:pos="-1260"/>
        </w:tabs>
        <w:spacing w:after="220" w:line="240" w:lineRule="auto"/>
        <w:contextualSpacing w:val="0"/>
        <w:rPr>
          <w:rFonts w:ascii="Times New Roman" w:eastAsia="Times New Roman" w:hAnsi="Times New Roman"/>
        </w:rPr>
      </w:pPr>
      <w:r w:rsidRPr="00704528">
        <w:rPr>
          <w:rFonts w:ascii="Times New Roman" w:eastAsia="Times New Roman" w:hAnsi="Times New Roman"/>
        </w:rPr>
        <w:t>Documentation</w:t>
      </w:r>
    </w:p>
    <w:p w14:paraId="2993C5BF" w14:textId="6A16AAB7" w:rsidR="003B20A6" w:rsidRPr="003B20A6" w:rsidRDefault="003B20A6" w:rsidP="003B20A6">
      <w:pPr>
        <w:tabs>
          <w:tab w:val="left" w:pos="-1260"/>
        </w:tabs>
        <w:spacing w:after="220" w:line="240" w:lineRule="auto"/>
        <w:ind w:left="460"/>
        <w:rPr>
          <w:rFonts w:ascii="Times New Roman" w:eastAsia="Times New Roman" w:hAnsi="Times New Roman"/>
        </w:rPr>
      </w:pPr>
      <w:r w:rsidRPr="00704528">
        <w:rPr>
          <w:rFonts w:ascii="Times New Roman" w:eastAsia="Times New Roman" w:hAnsi="Times New Roman"/>
        </w:rPr>
        <w:t>A</w:t>
      </w:r>
      <w:r w:rsidR="00B44BCA">
        <w:rPr>
          <w:rFonts w:ascii="Times New Roman" w:eastAsia="Times New Roman" w:hAnsi="Times New Roman"/>
        </w:rPr>
        <w:t xml:space="preserve"> qualified a</w:t>
      </w:r>
      <w:r w:rsidRPr="00704528">
        <w:rPr>
          <w:rFonts w:ascii="Times New Roman" w:eastAsia="Times New Roman" w:hAnsi="Times New Roman"/>
        </w:rPr>
        <w:t xml:space="preserve">ctuary </w:t>
      </w:r>
      <w:r w:rsidR="006C6B89" w:rsidRPr="006C6B89">
        <w:rPr>
          <w:rFonts w:ascii="Times New Roman" w:eastAsia="Times New Roman" w:hAnsi="Times New Roman"/>
        </w:rPr>
        <w:t xml:space="preserve">to whom responsibility for this group of contracts is assigned </w:t>
      </w:r>
      <w:r w:rsidRPr="00704528">
        <w:rPr>
          <w:rFonts w:ascii="Times New Roman" w:eastAsia="Times New Roman" w:hAnsi="Times New Roman"/>
        </w:rPr>
        <w:t>shall document the development of the reserves and provide the required certifications following the requirements of VM-31.</w:t>
      </w:r>
    </w:p>
    <w:p w14:paraId="3CA8B7EF" w14:textId="5E7504E0" w:rsidR="00CC2E32" w:rsidRPr="00BA5485" w:rsidRDefault="00CC2E32" w:rsidP="00067EEF">
      <w:pPr>
        <w:pStyle w:val="Heading3"/>
        <w:spacing w:after="220"/>
        <w:jc w:val="left"/>
        <w:rPr>
          <w:sz w:val="22"/>
          <w:szCs w:val="22"/>
        </w:rPr>
      </w:pPr>
      <w:bookmarkStart w:id="4" w:name="_Section_3._Determination"/>
      <w:bookmarkEnd w:id="4"/>
      <w:r w:rsidRPr="00BA5485">
        <w:rPr>
          <w:sz w:val="22"/>
          <w:szCs w:val="22"/>
        </w:rPr>
        <w:t xml:space="preserve">Section </w:t>
      </w:r>
      <w:r w:rsidR="005F7412">
        <w:rPr>
          <w:sz w:val="22"/>
          <w:szCs w:val="22"/>
        </w:rPr>
        <w:t>4</w:t>
      </w:r>
      <w:r>
        <w:rPr>
          <w:sz w:val="22"/>
          <w:szCs w:val="22"/>
        </w:rPr>
        <w:t xml:space="preserve">: </w:t>
      </w:r>
      <w:r w:rsidRPr="00BA5485">
        <w:rPr>
          <w:sz w:val="22"/>
          <w:szCs w:val="22"/>
        </w:rPr>
        <w:t xml:space="preserve">Determination of </w:t>
      </w:r>
      <w:r w:rsidR="00DA2604">
        <w:rPr>
          <w:sz w:val="22"/>
          <w:szCs w:val="22"/>
        </w:rPr>
        <w:t>Stochastic Reserve</w:t>
      </w:r>
      <w:r w:rsidRPr="00BA5485">
        <w:rPr>
          <w:sz w:val="22"/>
          <w:szCs w:val="22"/>
        </w:rPr>
        <w:t xml:space="preserve"> </w:t>
      </w:r>
    </w:p>
    <w:p w14:paraId="2FA5164E" w14:textId="77777777" w:rsidR="00CC2E32" w:rsidRPr="00BA5485" w:rsidRDefault="00CC2E32" w:rsidP="00067EEF">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662E9B86"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r>
        <w:rPr>
          <w:rFonts w:ascii="Times New Roman" w:eastAsia="Times New Roman" w:hAnsi="Times New Roman"/>
        </w:rPr>
        <w:t xml:space="preserve">in both cash flows and discount rates </w:t>
      </w:r>
      <w:r w:rsidRPr="00BA5485">
        <w:rPr>
          <w:rFonts w:ascii="Times New Roman" w:eastAsia="Times New Roman" w:hAnsi="Times New Roman"/>
        </w:rPr>
        <w:t>and reflect the dynamics of the expected cash flows for the entire group of contracts, reflecting all product features</w:t>
      </w:r>
      <w:r w:rsidR="006C6B89">
        <w:rPr>
          <w:rFonts w:ascii="Times New Roman" w:eastAsia="Times New Roman" w:hAnsi="Times New Roman"/>
        </w:rPr>
        <w:t>,</w:t>
      </w:r>
      <w:r w:rsidR="00803291">
        <w:rPr>
          <w:rFonts w:ascii="Times New Roman" w:eastAsia="Times New Roman" w:hAnsi="Times New Roman"/>
        </w:rPr>
        <w:t xml:space="preserve"> </w:t>
      </w:r>
      <w:r w:rsidRPr="00BA5485">
        <w:rPr>
          <w:rFonts w:ascii="Times New Roman" w:eastAsia="Times New Roman" w:hAnsi="Times New Roman"/>
        </w:rPr>
        <w:t xml:space="preserve">including </w:t>
      </w:r>
      <w:r w:rsidR="00803291">
        <w:rPr>
          <w:rFonts w:ascii="Times New Roman" w:eastAsia="Times New Roman" w:hAnsi="Times New Roman"/>
        </w:rPr>
        <w:t>any</w:t>
      </w:r>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r w:rsidR="0037323E" w:rsidRPr="0060001D">
        <w:rPr>
          <w:rFonts w:ascii="Times New Roman" w:eastAsia="Times New Roman" w:hAnsi="Times New Roman"/>
        </w:rPr>
        <w:t>Throughout the projection, all assumptions shall be determined based on the requirements herein.</w:t>
      </w:r>
      <w:r w:rsidR="0037323E">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es shall be determined at the end of each projection year as the sum of the accumulated deficiencies for all contracts within each contract grouping.</w:t>
      </w:r>
    </w:p>
    <w:p w14:paraId="28D58E5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1578945F"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 The grouping shall reflect characteristics of the efficient frontier (i.e., returns generally cannot be increased without assuming additional risk).</w:t>
      </w:r>
    </w:p>
    <w:p w14:paraId="0A911792" w14:textId="129068A0"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r>
        <w:rPr>
          <w:rFonts w:ascii="Times New Roman" w:eastAsia="Times New Roman" w:hAnsi="Times New Roman"/>
        </w:rPr>
        <w:t xml:space="preserve"> fund</w:t>
      </w:r>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r w:rsidR="00FA5FBF">
        <w:rPr>
          <w:rFonts w:ascii="Times New Roman" w:eastAsia="Times New Roman" w:hAnsi="Times New Roman"/>
        </w:rPr>
        <w:t>company</w:t>
      </w:r>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r>
        <w:rPr>
          <w:rFonts w:ascii="Times New Roman" w:eastAsia="Times New Roman" w:hAnsi="Times New Roman"/>
        </w:rPr>
        <w:t>,</w:t>
      </w:r>
      <w:r w:rsidRPr="00BA5485">
        <w:rPr>
          <w:rFonts w:ascii="Times New Roman" w:eastAsia="Times New Roman" w:hAnsi="Times New Roman"/>
        </w:rPr>
        <w:t xml:space="preserve"> sub-indices</w:t>
      </w:r>
      <w:r>
        <w:rPr>
          <w:rFonts w:ascii="Times New Roman" w:eastAsia="Times New Roman" w:hAnsi="Times New Roman"/>
        </w:rPr>
        <w:t xml:space="preserve"> or funds</w:t>
      </w:r>
      <w:r w:rsidRPr="00BA5485">
        <w:rPr>
          <w:rFonts w:ascii="Times New Roman" w:eastAsia="Times New Roman" w:hAnsi="Times New Roman"/>
        </w:rPr>
        <w:t>.</w:t>
      </w:r>
    </w:p>
    <w:p w14:paraId="7B41F62E"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 xml:space="preserve">Grouping of Contracts </w:t>
      </w:r>
    </w:p>
    <w:p w14:paraId="2C8E411E" w14:textId="31E10006"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r>
        <w:rPr>
          <w:rFonts w:ascii="Times New Roman" w:eastAsia="Times New Roman" w:hAnsi="Times New Roman"/>
        </w:rPr>
        <w:t>assigning</w:t>
      </w:r>
      <w:r w:rsidRPr="00BA5485">
        <w:rPr>
          <w:rFonts w:ascii="Times New Roman" w:eastAsia="Times New Roman" w:hAnsi="Times New Roman"/>
        </w:rPr>
        <w:t xml:space="preserve"> contracts into representative cells of model plans using all characteristics and criteria having a material impact on the size of the reserve. </w:t>
      </w:r>
      <w:r>
        <w:rPr>
          <w:rFonts w:ascii="Times New Roman" w:eastAsia="Times New Roman" w:hAnsi="Times New Roman"/>
        </w:rPr>
        <w:t xml:space="preserve">Assigning contracts to model cells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For a company that does not have a CDHS: </w:t>
      </w:r>
    </w:p>
    <w:p w14:paraId="58F55277" w14:textId="45B50280" w:rsidR="005150C7" w:rsidRPr="0067200C" w:rsidRDefault="005150C7" w:rsidP="005150C7">
      <w:pPr>
        <w:spacing w:after="220" w:line="240" w:lineRule="auto"/>
        <w:ind w:left="2160"/>
        <w:rPr>
          <w:rFonts w:ascii="Times New Roman" w:eastAsia="Times New Roman" w:hAnsi="Times New Roman"/>
        </w:rPr>
      </w:pPr>
      <w:r>
        <w:rPr>
          <w:rFonts w:ascii="Times New Roman" w:eastAsia="Times New Roman" w:hAnsi="Times New Roman"/>
        </w:rPr>
        <w:lastRenderedPageBreak/>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company shall not consider the cash flows from any future hedge purchases or any rebalancing of existing hedge assets in its modeling.  </w:t>
      </w:r>
    </w:p>
    <w:p w14:paraId="56697D31" w14:textId="047FB6C6" w:rsidR="005150C7" w:rsidRPr="0067200C" w:rsidRDefault="005150C7" w:rsidP="005150C7">
      <w:pPr>
        <w:spacing w:after="220" w:line="240" w:lineRule="auto"/>
        <w:ind w:left="2160"/>
        <w:rPr>
          <w:rFonts w:ascii="Times New Roman" w:eastAsia="Times New Roman" w:hAnsi="Times New Roman"/>
        </w:rPr>
      </w:pPr>
      <w:r w:rsidRPr="0067200C">
        <w:rPr>
          <w:rFonts w:ascii="Times New Roman" w:eastAsia="Times New Roman" w:hAnsi="Times New Roman"/>
        </w:rPr>
        <w:t>ii.</w:t>
      </w:r>
      <w:r w:rsidRPr="0067200C">
        <w:rPr>
          <w:rFonts w:ascii="Times New Roman" w:eastAsia="Times New Roman" w:hAnsi="Times New Roman"/>
        </w:rPr>
        <w:tab/>
        <w:t>Existing hedging instruments that are currently held by the company in support of the contracts falling under the scope of these requirements shall be included in the starting assets. The hedge assets may then be considered in one of two ways:</w:t>
      </w:r>
    </w:p>
    <w:p w14:paraId="27F4921A" w14:textId="6258C253" w:rsidR="005150C7" w:rsidRPr="0067200C" w:rsidRDefault="005150C7" w:rsidP="00E87EFC">
      <w:pPr>
        <w:pStyle w:val="ListParagraph"/>
        <w:numPr>
          <w:ilvl w:val="0"/>
          <w:numId w:val="32"/>
        </w:numPr>
        <w:spacing w:after="220" w:line="240" w:lineRule="auto"/>
        <w:ind w:left="3600" w:hanging="900"/>
        <w:rPr>
          <w:rFonts w:ascii="Times New Roman" w:eastAsia="Times New Roman" w:hAnsi="Times New Roman"/>
          <w:color w:val="E36C0A" w:themeColor="accent6" w:themeShade="BF"/>
        </w:rPr>
      </w:pPr>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model, or</w:t>
      </w:r>
    </w:p>
    <w:p w14:paraId="7E92C832" w14:textId="31AD51CA" w:rsidR="001C25CF" w:rsidRPr="001C25CF" w:rsidRDefault="005150C7" w:rsidP="00E87EFC">
      <w:pPr>
        <w:pStyle w:val="ListParagraph"/>
        <w:numPr>
          <w:ilvl w:val="0"/>
          <w:numId w:val="33"/>
        </w:numPr>
        <w:spacing w:after="220" w:line="240" w:lineRule="auto"/>
        <w:ind w:left="3600" w:hanging="900"/>
        <w:rPr>
          <w:rFonts w:ascii="Times New Roman" w:eastAsia="Times New Roman" w:hAnsi="Times New Roman"/>
          <w:color w:val="E36C0A" w:themeColor="accent6" w:themeShade="BF"/>
        </w:rPr>
      </w:pPr>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w:t>
      </w:r>
      <w:r w:rsidR="001C25CF">
        <w:rPr>
          <w:noProof/>
        </w:rPr>
        <mc:AlternateContent>
          <mc:Choice Requires="wps">
            <w:drawing>
              <wp:anchor distT="0" distB="0" distL="114300" distR="114300" simplePos="0" relativeHeight="251662336" behindDoc="0" locked="0" layoutInCell="1" allowOverlap="1" wp14:anchorId="33B425C2" wp14:editId="509CEC7C">
                <wp:simplePos x="0" y="0"/>
                <wp:positionH relativeFrom="column">
                  <wp:posOffset>0</wp:posOffset>
                </wp:positionH>
                <wp:positionV relativeFrom="paragraph">
                  <wp:posOffset>777240</wp:posOffset>
                </wp:positionV>
                <wp:extent cx="6734175" cy="826135"/>
                <wp:effectExtent l="0" t="0" r="9525" b="12065"/>
                <wp:wrapSquare wrapText="bothSides"/>
                <wp:docPr id="3" name="Text Box 3"/>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5B69E0FE" w14:textId="77777777" w:rsidR="00FC1197" w:rsidRDefault="00FC1197" w:rsidP="001C25CF">
                            <w:pPr>
                              <w:pStyle w:val="Subtitle"/>
                              <w:ind w:left="720"/>
                              <w:jc w:val="left"/>
                              <w:rPr>
                                <w:b w:val="0"/>
                                <w:sz w:val="22"/>
                                <w:szCs w:val="22"/>
                              </w:rPr>
                            </w:pPr>
                          </w:p>
                          <w:p w14:paraId="07E9616B" w14:textId="4CDD67C3" w:rsidR="00FC1197" w:rsidRPr="00576438" w:rsidRDefault="00FC1197" w:rsidP="001C25CF">
                            <w:pPr>
                              <w:rPr>
                                <w:rFonts w:ascii="Times New Roman" w:eastAsia="Times New Roman" w:hAnsi="Times New Roman"/>
                              </w:rPr>
                            </w:pPr>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p>
                          <w:p w14:paraId="1F4B03FD" w14:textId="77777777" w:rsidR="00FC1197" w:rsidRDefault="00FC1197" w:rsidP="001C25CF">
                            <w:pPr>
                              <w:pStyle w:val="Subtitle"/>
                              <w:ind w:left="720"/>
                              <w:jc w:val="left"/>
                              <w:rPr>
                                <w:b w:val="0"/>
                                <w:sz w:val="22"/>
                                <w:szCs w:val="22"/>
                              </w:rPr>
                            </w:pPr>
                          </w:p>
                          <w:p w14:paraId="1BE4CAA4" w14:textId="77777777" w:rsidR="00FC1197" w:rsidRPr="00F202F7" w:rsidRDefault="00FC1197" w:rsidP="001C25CF">
                            <w:pPr>
                              <w:pStyle w:val="Subtitle"/>
                              <w:ind w:left="72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25C2" id="Text Box 3" o:spid="_x0000_s1027" type="#_x0000_t202" style="position:absolute;left:0;text-align:left;margin-left:0;margin-top:61.2pt;width:530.2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" filled="f" strokeweight=".5pt">
                <v:textbox>
                  <w:txbxContent>
                    <w:p w14:paraId="5B69E0FE" w14:textId="77777777" w:rsidR="00FC1197" w:rsidRDefault="00FC1197" w:rsidP="001C25CF">
                      <w:pPr>
                        <w:pStyle w:val="Subtitle"/>
                        <w:ind w:left="720"/>
                        <w:jc w:val="left"/>
                        <w:rPr>
                          <w:b w:val="0"/>
                          <w:sz w:val="22"/>
                          <w:szCs w:val="22"/>
                        </w:rPr>
                      </w:pPr>
                    </w:p>
                    <w:p w14:paraId="07E9616B" w14:textId="4CDD67C3" w:rsidR="00FC1197" w:rsidRPr="00576438" w:rsidRDefault="00FC1197" w:rsidP="001C25CF">
                      <w:pPr>
                        <w:rPr>
                          <w:rFonts w:ascii="Times New Roman" w:eastAsia="Times New Roman" w:hAnsi="Times New Roman"/>
                        </w:rPr>
                      </w:pPr>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p>
                    <w:p w14:paraId="1F4B03FD" w14:textId="77777777" w:rsidR="00FC1197" w:rsidRDefault="00FC1197" w:rsidP="001C25CF">
                      <w:pPr>
                        <w:pStyle w:val="Subtitle"/>
                        <w:ind w:left="720"/>
                        <w:jc w:val="left"/>
                        <w:rPr>
                          <w:b w:val="0"/>
                          <w:sz w:val="22"/>
                          <w:szCs w:val="22"/>
                        </w:rPr>
                      </w:pPr>
                    </w:p>
                    <w:p w14:paraId="1BE4CAA4" w14:textId="77777777" w:rsidR="00FC1197" w:rsidRPr="00F202F7" w:rsidRDefault="00FC1197" w:rsidP="001C25CF">
                      <w:pPr>
                        <w:pStyle w:val="Subtitle"/>
                        <w:ind w:left="720"/>
                        <w:rPr>
                          <w:sz w:val="22"/>
                          <w:szCs w:val="22"/>
                        </w:rPr>
                      </w:pPr>
                    </w:p>
                  </w:txbxContent>
                </v:textbox>
                <w10:wrap type="square"/>
              </v:shape>
            </w:pict>
          </mc:Fallback>
        </mc:AlternateContent>
      </w:r>
      <w:r w:rsidRPr="00B45463">
        <w:rPr>
          <w:rFonts w:ascii="Times New Roman" w:eastAsia="Times New Roman" w:hAnsi="Times New Roman"/>
        </w:rPr>
        <w:t xml:space="preserve">positions. </w:t>
      </w:r>
    </w:p>
    <w:p w14:paraId="440DE41B" w14:textId="77777777" w:rsidR="005150C7" w:rsidRPr="00BA7F35" w:rsidRDefault="005150C7" w:rsidP="005150C7">
      <w:pPr>
        <w:spacing w:after="220" w:line="240" w:lineRule="auto"/>
        <w:ind w:left="2700"/>
        <w:rPr>
          <w:rFonts w:ascii="Times New Roman" w:eastAsia="Times New Roman" w:hAnsi="Times New Roman"/>
        </w:rPr>
      </w:pPr>
      <w:r w:rsidRPr="00BA7F35">
        <w:rPr>
          <w:rFonts w:ascii="Times New Roman" w:eastAsia="Times New Roman" w:hAnsi="Times New Roman"/>
        </w:rPr>
        <w:t>A company may switch from method a) to b) at any time, but may only change from b) to a) with approval of the domiciliary commissioner.</w:t>
      </w:r>
    </w:p>
    <w:p w14:paraId="63F4A9C3" w14:textId="77777777" w:rsidR="005150C7" w:rsidRDefault="005150C7" w:rsidP="005150C7">
      <w:pPr>
        <w:spacing w:after="220" w:line="240" w:lineRule="auto"/>
        <w:ind w:left="1440"/>
        <w:rPr>
          <w:rFonts w:ascii="Times New Roman" w:eastAsia="Times New Roman" w:hAnsi="Times New Roman"/>
        </w:rPr>
      </w:pPr>
    </w:p>
    <w:p w14:paraId="2536E6B5" w14:textId="31FA4F3F" w:rsidR="00CC0F00" w:rsidRDefault="005150C7" w:rsidP="005150C7">
      <w:pPr>
        <w:spacing w:after="220" w:line="240" w:lineRule="auto"/>
        <w:ind w:left="1440"/>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For a compa</w:t>
      </w:r>
      <w:r w:rsidR="005B7702">
        <w:rPr>
          <w:rFonts w:ascii="Times New Roman" w:eastAsia="Times New Roman" w:hAnsi="Times New Roman"/>
        </w:rPr>
        <w:t>n</w:t>
      </w:r>
      <w:r>
        <w:rPr>
          <w:rFonts w:ascii="Times New Roman" w:eastAsia="Times New Roman" w:hAnsi="Times New Roman"/>
        </w:rPr>
        <w:t>y with a CDHS, t</w:t>
      </w:r>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w:t>
      </w:r>
      <w:r w:rsidR="001C25CF">
        <w:rPr>
          <w:rFonts w:ascii="Times New Roman" w:eastAsia="Times New Roman" w:hAnsi="Times New Roman"/>
        </w:rPr>
        <w:t xml:space="preserve"> </w:t>
      </w:r>
      <w:proofErr w:type="gramStart"/>
      <w:r w:rsidR="001C25CF">
        <w:rPr>
          <w:rFonts w:ascii="Times New Roman" w:eastAsia="Times New Roman" w:hAnsi="Times New Roman"/>
        </w:rPr>
        <w:t>high level</w:t>
      </w:r>
      <w:proofErr w:type="gramEnd"/>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p>
    <w:p w14:paraId="0CE408D9" w14:textId="7989B70B" w:rsidR="00E06E49" w:rsidRDefault="005150C7" w:rsidP="008E715F">
      <w:pPr>
        <w:spacing w:after="220" w:line="240" w:lineRule="auto"/>
        <w:ind w:left="2160" w:hanging="360"/>
        <w:rPr>
          <w:rFonts w:ascii="Times New Roman" w:eastAsia="Times New Roman" w:hAnsi="Times New Roman"/>
        </w:rPr>
      </w:pPr>
      <w:r>
        <w:rPr>
          <w:rFonts w:ascii="Times New Roman" w:eastAsia="Times New Roman" w:hAnsi="Times New Roman"/>
        </w:rPr>
        <w:t>i</w:t>
      </w:r>
      <w:r w:rsidR="001C516B">
        <w:rPr>
          <w:rFonts w:ascii="Times New Roman" w:eastAsia="Times New Roman" w:hAnsi="Times New Roman"/>
        </w:rPr>
        <w:t>.</w:t>
      </w:r>
      <w:r w:rsidR="00E06E49">
        <w:rPr>
          <w:rFonts w:ascii="Times New Roman" w:eastAsia="Times New Roman" w:hAnsi="Times New Roman"/>
        </w:rPr>
        <w:tab/>
      </w:r>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p>
    <w:p w14:paraId="3895F1C8" w14:textId="334028B1" w:rsidR="00F7776B" w:rsidRDefault="005150C7" w:rsidP="00067EEF">
      <w:pPr>
        <w:spacing w:after="220" w:line="240" w:lineRule="auto"/>
        <w:ind w:left="2160" w:hanging="360"/>
        <w:rPr>
          <w:rFonts w:ascii="Times New Roman" w:eastAsia="Times New Roman" w:hAnsi="Times New Roman"/>
        </w:rPr>
      </w:pPr>
      <w:r>
        <w:rPr>
          <w:rFonts w:ascii="Times New Roman" w:eastAsia="Times New Roman" w:hAnsi="Times New Roman"/>
        </w:rPr>
        <w:t>ii</w:t>
      </w:r>
      <w:r w:rsidR="001C516B">
        <w:rPr>
          <w:rFonts w:ascii="Times New Roman" w:eastAsia="Times New Roman" w:hAnsi="Times New Roman"/>
        </w:rPr>
        <w:t>.</w:t>
      </w:r>
      <w:r w:rsidR="00E06E49">
        <w:rPr>
          <w:rFonts w:ascii="Times New Roman" w:eastAsia="Times New Roman" w:hAnsi="Times New Roman"/>
        </w:rPr>
        <w:tab/>
      </w:r>
      <w:r>
        <w:rPr>
          <w:rFonts w:ascii="Times New Roman" w:eastAsia="Times New Roman" w:hAnsi="Times New Roman"/>
        </w:rPr>
        <w:t>T</w:t>
      </w:r>
      <w:r w:rsidR="00CC2E32" w:rsidRPr="00BA5485">
        <w:rPr>
          <w:rFonts w:ascii="Times New Roman" w:eastAsia="Times New Roman" w:hAnsi="Times New Roman"/>
        </w:rPr>
        <w:t xml:space="preserve">he projections shall take into account the appropriate costs and benefits of hedge positions expected to be held in the future through the execution of </w:t>
      </w:r>
      <w:r w:rsidR="001C25CF">
        <w:rPr>
          <w:rFonts w:ascii="Times New Roman" w:eastAsia="Times New Roman" w:hAnsi="Times New Roman"/>
        </w:rPr>
        <w:t>strategy CDHS</w:t>
      </w:r>
      <w:r w:rsidR="00CC2E32" w:rsidRPr="00BA5485">
        <w:rPr>
          <w:rFonts w:ascii="Times New Roman" w:eastAsia="Times New Roman" w:hAnsi="Times New Roman"/>
        </w:rPr>
        <w:t>.</w:t>
      </w:r>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r w:rsidR="00F71D15">
        <w:rPr>
          <w:rFonts w:ascii="Times New Roman" w:eastAsia="Times New Roman" w:hAnsi="Times New Roman"/>
        </w:rPr>
        <w:t xml:space="preserve">a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w:t>
      </w:r>
      <w:r w:rsidR="001B40C9">
        <w:rPr>
          <w:rFonts w:ascii="Times New Roman" w:eastAsia="Times New Roman" w:hAnsi="Times New Roman"/>
        </w:rPr>
        <w:t>9</w:t>
      </w:r>
      <w:r w:rsidR="00BE00BC">
        <w:rPr>
          <w:rFonts w:ascii="Times New Roman" w:eastAsia="Times New Roman" w:hAnsi="Times New Roman"/>
        </w:rPr>
        <w:t xml:space="preserve">.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1B40C9">
        <w:rPr>
          <w:rFonts w:ascii="Times New Roman" w:eastAsia="Times New Roman" w:hAnsi="Times New Roman"/>
        </w:rPr>
        <w:t>9.C.4.</w:t>
      </w:r>
      <w:r w:rsidR="0076663C">
        <w:rPr>
          <w:rFonts w:ascii="Times New Roman" w:eastAsia="Times New Roman" w:hAnsi="Times New Roman"/>
        </w:rPr>
        <w:t xml:space="preserve"> </w:t>
      </w:r>
      <w:r w:rsidR="001C516B">
        <w:rPr>
          <w:rFonts w:ascii="Times New Roman" w:eastAsia="Times New Roman" w:hAnsi="Times New Roman"/>
        </w:rPr>
        <w:t xml:space="preserve">  </w:t>
      </w:r>
    </w:p>
    <w:p w14:paraId="17383F33" w14:textId="3E38DF4F" w:rsidR="00CC2E32" w:rsidRPr="00BA5485" w:rsidRDefault="005150C7" w:rsidP="00067EEF">
      <w:pPr>
        <w:spacing w:after="220" w:line="240" w:lineRule="auto"/>
        <w:ind w:left="2160" w:hanging="360"/>
        <w:rPr>
          <w:rFonts w:ascii="Times New Roman" w:eastAsia="Times New Roman" w:hAnsi="Times New Roman"/>
        </w:rPr>
      </w:pPr>
      <w:r>
        <w:rPr>
          <w:rFonts w:ascii="Times New Roman" w:eastAsia="Times New Roman" w:hAnsi="Times New Roman"/>
        </w:rPr>
        <w:t>iii</w:t>
      </w:r>
      <w:r w:rsidR="002C7166">
        <w:rPr>
          <w:rFonts w:ascii="Times New Roman" w:eastAsia="Times New Roman" w:hAnsi="Times New Roman"/>
        </w:rPr>
        <w:t>.</w:t>
      </w:r>
      <w:r w:rsidR="00AA41FD">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 xml:space="preserve">The </w:t>
      </w:r>
      <w:r w:rsidR="0076663C">
        <w:rPr>
          <w:rFonts w:ascii="Times New Roman" w:eastAsia="Times New Roman" w:hAnsi="Times New Roman"/>
        </w:rPr>
        <w:t>company</w:t>
      </w:r>
      <w:r w:rsidR="00CC2E32" w:rsidRPr="00BA5485">
        <w:rPr>
          <w:rFonts w:ascii="Times New Roman" w:eastAsia="Times New Roman" w:hAnsi="Times New Roman"/>
        </w:rPr>
        <w:t xml:space="preserve"> is responsible for verifying compliance with </w:t>
      </w:r>
      <w:r w:rsidR="001B40C9">
        <w:rPr>
          <w:rFonts w:ascii="Times New Roman" w:eastAsia="Times New Roman" w:hAnsi="Times New Roman"/>
        </w:rPr>
        <w:t>CDHS</w:t>
      </w:r>
      <w:r w:rsidR="00AA41FD">
        <w:rPr>
          <w:rFonts w:ascii="Times New Roman" w:eastAsia="Times New Roman" w:hAnsi="Times New Roman"/>
        </w:rPr>
        <w:t xml:space="preserve"> requirements</w:t>
      </w:r>
      <w:r w:rsidR="00CC2E32" w:rsidRPr="00BA5485">
        <w:rPr>
          <w:rFonts w:ascii="Times New Roman" w:eastAsia="Times New Roman" w:hAnsi="Times New Roman"/>
        </w:rPr>
        <w:t xml:space="preserve"> and </w:t>
      </w:r>
      <w:r w:rsidR="00AA41FD">
        <w:rPr>
          <w:rFonts w:ascii="Times New Roman" w:eastAsia="Times New Roman" w:hAnsi="Times New Roman"/>
        </w:rPr>
        <w:t xml:space="preserve">any other </w:t>
      </w:r>
      <w:r w:rsidR="00CC2E32" w:rsidRPr="00BA5485">
        <w:rPr>
          <w:rFonts w:ascii="Times New Roman" w:eastAsia="Times New Roman" w:hAnsi="Times New Roman"/>
        </w:rPr>
        <w:t xml:space="preserve">requirements in Section </w:t>
      </w:r>
      <w:r w:rsidR="0021502F" w:rsidRPr="00465680">
        <w:rPr>
          <w:rFonts w:ascii="Times New Roman" w:eastAsia="Times New Roman" w:hAnsi="Times New Roman"/>
        </w:rPr>
        <w:t>9</w:t>
      </w:r>
      <w:r w:rsidR="00CC2E32" w:rsidRPr="00BA5485">
        <w:rPr>
          <w:rFonts w:ascii="Times New Roman" w:eastAsia="Times New Roman" w:hAnsi="Times New Roman"/>
        </w:rPr>
        <w:t xml:space="preserve"> for all hedge instruments included in the projections.</w:t>
      </w:r>
    </w:p>
    <w:p w14:paraId="384A5CC1" w14:textId="37C06CE4" w:rsidR="00CC2E32" w:rsidRPr="00BA5485" w:rsidRDefault="005150C7" w:rsidP="00067EEF">
      <w:pPr>
        <w:tabs>
          <w:tab w:val="left" w:pos="1540"/>
        </w:tabs>
        <w:spacing w:after="220" w:line="240" w:lineRule="auto"/>
        <w:ind w:left="2160" w:hanging="360"/>
        <w:rPr>
          <w:rFonts w:ascii="Times New Roman" w:eastAsia="Times New Roman" w:hAnsi="Times New Roman"/>
        </w:rPr>
      </w:pPr>
      <w:r>
        <w:rPr>
          <w:rFonts w:ascii="Times New Roman" w:eastAsia="Times New Roman" w:hAnsi="Times New Roman"/>
        </w:rPr>
        <w:t>iv</w:t>
      </w:r>
      <w:r w:rsidR="002F4E4A">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17D52C7C" w14:textId="56219FB1" w:rsidR="00CC2E32" w:rsidRPr="00BA5485" w:rsidRDefault="005150C7" w:rsidP="00067EEF">
      <w:pPr>
        <w:widowControl w:val="0"/>
        <w:tabs>
          <w:tab w:val="left" w:pos="1540"/>
        </w:tabs>
        <w:spacing w:after="220" w:line="240" w:lineRule="auto"/>
        <w:ind w:left="1900" w:hanging="360"/>
        <w:rPr>
          <w:rFonts w:ascii="Times New Roman" w:eastAsia="Times New Roman" w:hAnsi="Times New Roman"/>
        </w:rPr>
      </w:pPr>
      <w:r>
        <w:rPr>
          <w:rFonts w:ascii="Times New Roman" w:eastAsia="Times New Roman" w:hAnsi="Times New Roman"/>
        </w:rPr>
        <w:t>c</w:t>
      </w:r>
      <w:r w:rsidR="002F4E4A">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 xml:space="preserve">The requirements </w:t>
      </w:r>
      <w:r w:rsidR="001B40C9">
        <w:rPr>
          <w:rFonts w:ascii="Times New Roman" w:eastAsia="Times New Roman" w:hAnsi="Times New Roman"/>
        </w:rPr>
        <w:t xml:space="preserve">of Section 4.A.4 </w:t>
      </w:r>
      <w:r w:rsidR="00CC2E32">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sidR="00CC2E32">
        <w:rPr>
          <w:rFonts w:ascii="Times New Roman" w:eastAsia="Times New Roman" w:hAnsi="Times New Roman"/>
        </w:rPr>
        <w:t xml:space="preserve">reserves and </w:t>
      </w:r>
      <w:r w:rsidR="00CC2E32"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0911B770" w14:textId="77777777" w:rsidR="00CC2E32" w:rsidRPr="00BA5485" w:rsidRDefault="00CC2E32" w:rsidP="00067EEF">
      <w:pPr>
        <w:spacing w:after="220" w:line="240" w:lineRule="auto"/>
        <w:ind w:left="1440" w:hanging="720"/>
        <w:rPr>
          <w:rFonts w:ascii="Times New Roman" w:eastAsia="Times New Roman" w:hAnsi="Times New Roman"/>
        </w:rPr>
      </w:pPr>
      <w:r w:rsidRPr="00C96566">
        <w:rPr>
          <w:rFonts w:ascii="Times New Roman" w:eastAsia="Times New Roman" w:hAnsi="Times New Roman"/>
        </w:rPr>
        <w:lastRenderedPageBreak/>
        <w:t>5.</w:t>
      </w:r>
      <w:r w:rsidRPr="00C96566">
        <w:rPr>
          <w:rFonts w:ascii="Times New Roman" w:eastAsia="Times New Roman" w:hAnsi="Times New Roman"/>
        </w:rPr>
        <w:tab/>
        <w:t>Revenue Sharing</w:t>
      </w:r>
    </w:p>
    <w:p w14:paraId="07B6F691" w14:textId="5B771D62"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r w:rsidR="00FD3B15">
        <w:rPr>
          <w:rFonts w:ascii="Times New Roman" w:eastAsia="Times New Roman" w:hAnsi="Times New Roman"/>
        </w:rPr>
        <w:t xml:space="preserve">each of </w:t>
      </w:r>
      <w:r w:rsidRPr="00BA5485">
        <w:rPr>
          <w:rFonts w:ascii="Times New Roman" w:eastAsia="Times New Roman" w:hAnsi="Times New Roman"/>
        </w:rPr>
        <w:t>the following requirements are met:</w:t>
      </w:r>
    </w:p>
    <w:p w14:paraId="111DD8F8" w14:textId="77777777" w:rsidR="00CC2E32" w:rsidRPr="00BA5485"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04240BC8" w:rsidR="00CC2E32" w:rsidRPr="00BA5485"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r w:rsidR="00FA5FBF">
        <w:rPr>
          <w:rFonts w:ascii="Times New Roman" w:eastAsia="Times New Roman" w:hAnsi="Times New Roman"/>
        </w:rPr>
        <w:t>company</w:t>
      </w:r>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7777777" w:rsidR="00CC2E32" w:rsidRPr="00BA5485" w:rsidRDefault="00CC2E32" w:rsidP="00067EEF">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agreement or agreements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067EEF">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75E49CBE"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r w:rsidR="004214EB">
        <w:rPr>
          <w:rFonts w:ascii="Times New Roman" w:eastAsia="Times New Roman" w:hAnsi="Times New Roman"/>
        </w:rPr>
        <w:t>compan</w:t>
      </w:r>
      <w:r w:rsidRPr="00BA5485">
        <w:rPr>
          <w:rFonts w:ascii="Times New Roman" w:eastAsia="Times New Roman" w:hAnsi="Times New Roman"/>
        </w:rPr>
        <w:t>y’s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all of these factors will necessarily be present in all situations):</w:t>
      </w:r>
    </w:p>
    <w:p w14:paraId="1DAF611E"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7777777" w:rsidR="00CC2E32" w:rsidRPr="00BA5485" w:rsidRDefault="00CC2E32"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lastRenderedPageBreak/>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6A0A0063" w:rsidR="00CC2E32" w:rsidRPr="00BA5485"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r w:rsidR="00016C1F">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r w:rsidR="00016C1F">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proofErr w:type="gramStart"/>
      <w:r>
        <w:rPr>
          <w:rFonts w:ascii="Times New Roman" w:eastAsia="Times New Roman" w:hAnsi="Times New Roman"/>
        </w:rPr>
        <w:t>i</w:t>
      </w:r>
      <w:r w:rsidRPr="00BA5485">
        <w:rPr>
          <w:rFonts w:ascii="Times New Roman" w:eastAsia="Times New Roman" w:hAnsi="Times New Roman"/>
        </w:rPr>
        <w:t>ncome</w:t>
      </w:r>
      <w:proofErr w:type="gramEnd"/>
      <w:r w:rsidRPr="00BA5485">
        <w:rPr>
          <w:rFonts w:ascii="Times New Roman" w:eastAsia="Times New Roman" w:hAnsi="Times New Roman"/>
        </w:rPr>
        <w:t xml:space="preserve"> or an affiliate of the company shall be included in the applicable expenses discussed in Section </w:t>
      </w:r>
      <w:r w:rsidR="00016C1F">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A.1 and </w:t>
      </w:r>
      <w:r>
        <w:rPr>
          <w:rFonts w:ascii="Times New Roman" w:eastAsia="Times New Roman" w:hAnsi="Times New Roman"/>
        </w:rPr>
        <w:t xml:space="preserve">Section </w:t>
      </w:r>
      <w:r w:rsidR="00016C1F">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7B73963E" w:rsidR="00CC2E32" w:rsidRPr="00BA5485"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r w:rsidR="004214EB">
        <w:rPr>
          <w:rFonts w:ascii="Times New Roman" w:eastAsia="Times New Roman" w:hAnsi="Times New Roman"/>
        </w:rPr>
        <w:t>compan</w:t>
      </w:r>
      <w:r w:rsidRPr="00BA5485">
        <w:rPr>
          <w:rFonts w:ascii="Times New Roman" w:eastAsia="Times New Roman" w:hAnsi="Times New Roman"/>
        </w:rPr>
        <w:t>y is responsible for reviewing the revenue</w:t>
      </w:r>
      <w:r>
        <w:rPr>
          <w:rFonts w:ascii="Times New Roman" w:eastAsia="Times New Roman" w:hAnsi="Times New Roman"/>
        </w:rPr>
        <w:t>-</w:t>
      </w:r>
      <w:r w:rsidRPr="00BA5485">
        <w:rPr>
          <w:rFonts w:ascii="Times New Roman" w:eastAsia="Times New Roman" w:hAnsi="Times New Roman"/>
        </w:rPr>
        <w:t>sharing agreements</w:t>
      </w:r>
      <w:r w:rsidR="001001B3">
        <w:rPr>
          <w:rFonts w:ascii="Times New Roman" w:eastAsia="Times New Roman" w:hAnsi="Times New Roman"/>
        </w:rPr>
        <w:t xml:space="preserve"> and</w:t>
      </w:r>
      <w:r w:rsidRPr="00BA5485">
        <w:rPr>
          <w:rFonts w:ascii="Times New Roman" w:eastAsia="Times New Roman" w:hAnsi="Times New Roman"/>
        </w:rPr>
        <w:t xml:space="preserve"> verifying compliance with these requirements</w:t>
      </w:r>
      <w:r w:rsidR="004214EB">
        <w:rPr>
          <w:rFonts w:ascii="Times New Roman" w:eastAsia="Times New Roman" w:hAnsi="Times New Roman"/>
        </w:rPr>
        <w:t>.</w:t>
      </w:r>
      <w:r w:rsidRPr="00BA5485">
        <w:rPr>
          <w:rFonts w:ascii="Times New Roman" w:eastAsia="Times New Roman" w:hAnsi="Times New Roman"/>
        </w:rPr>
        <w:t xml:space="preserve"> </w:t>
      </w:r>
    </w:p>
    <w:p w14:paraId="124BA141" w14:textId="6C947225" w:rsidR="00CC2E32" w:rsidRPr="00BA5485"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r w:rsidR="001830EE">
        <w:rPr>
          <w:rFonts w:ascii="Times New Roman" w:eastAsia="Times New Roman" w:hAnsi="Times New Roman"/>
        </w:rPr>
        <w:t>i</w:t>
      </w:r>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r w:rsidR="001830EE">
        <w:rPr>
          <w:rFonts w:ascii="Times New Roman" w:eastAsia="Times New Roman" w:hAnsi="Times New Roman"/>
        </w:rPr>
        <w:t>ii</w:t>
      </w:r>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15EBEDC7"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r w:rsidR="001830EE">
        <w:rPr>
          <w:rFonts w:ascii="Times New Roman" w:eastAsia="Times New Roman" w:hAnsi="Times New Roman"/>
        </w:rPr>
        <w:t>i</w:t>
      </w:r>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04B28DA6"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r w:rsidR="001830EE">
        <w:rPr>
          <w:rFonts w:ascii="Times New Roman" w:eastAsia="Times New Roman" w:hAnsi="Times New Roman"/>
        </w:rPr>
        <w:t>ii</w:t>
      </w:r>
      <w:r w:rsidRPr="00465680">
        <w:rPr>
          <w:rFonts w:ascii="Times New Roman" w:eastAsia="Times New Roman" w:hAnsi="Times New Roman"/>
        </w:rPr>
        <w:t>)</w:t>
      </w:r>
      <w:r w:rsidR="00CC2E32" w:rsidRPr="00BA5485">
        <w:rPr>
          <w:rFonts w:ascii="Times New Roman" w:eastAsia="Times New Roman" w:hAnsi="Times New Roman"/>
        </w:rPr>
        <w:tab/>
        <w:t xml:space="preserve">Is the </w:t>
      </w:r>
      <w:r w:rsidR="004214EB">
        <w:rPr>
          <w:rFonts w:ascii="Times New Roman" w:eastAsia="Times New Roman" w:hAnsi="Times New Roman"/>
        </w:rPr>
        <w:t>compan</w:t>
      </w:r>
      <w:r w:rsidR="004214EB" w:rsidRPr="00BA5485">
        <w:rPr>
          <w:rFonts w:ascii="Times New Roman" w:eastAsia="Times New Roman" w:hAnsi="Times New Roman"/>
        </w:rPr>
        <w:t xml:space="preserve">y’s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50F0DE50"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1.0</w:t>
      </w:r>
      <w:r w:rsidR="00CC2E32">
        <w:rPr>
          <w:rFonts w:ascii="Times New Roman" w:eastAsia="Times New Roman" w:hAnsi="Times New Roman"/>
        </w:rPr>
        <w:t>0</w:t>
      </w:r>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438D8811"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0.9</w:t>
      </w:r>
      <w:r w:rsidR="00CC2E32">
        <w:rPr>
          <w:rFonts w:ascii="Times New Roman" w:eastAsia="Times New Roman" w:hAnsi="Times New Roman"/>
        </w:rPr>
        <w:t>5</w:t>
      </w:r>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27A9C852"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r w:rsidR="00CC2E32">
        <w:rPr>
          <w:rFonts w:ascii="Times New Roman" w:eastAsia="Times New Roman" w:hAnsi="Times New Roman"/>
        </w:rPr>
        <w:t>90</w:t>
      </w:r>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3776CAF4"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r w:rsidR="00CC2E32">
        <w:rPr>
          <w:rFonts w:ascii="Times New Roman" w:eastAsia="Times New Roman" w:hAnsi="Times New Roman"/>
        </w:rPr>
        <w:t>85</w:t>
      </w:r>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413A7CC" w14:textId="254221C8"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r w:rsidR="00CC2E32">
        <w:rPr>
          <w:rFonts w:ascii="Times New Roman" w:eastAsia="Times New Roman" w:hAnsi="Times New Roman"/>
        </w:rPr>
        <w:t>80</w:t>
      </w:r>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r w:rsidR="00CC2E32" w:rsidRPr="00BA5485">
        <w:rPr>
          <w:rFonts w:ascii="Times New Roman" w:eastAsia="Times New Roman" w:hAnsi="Times New Roman"/>
        </w:rPr>
        <w:t xml:space="preserve">and all subsequent projection years. </w:t>
      </w:r>
    </w:p>
    <w:p w14:paraId="0118F815" w14:textId="77777777" w:rsidR="00CC2E32" w:rsidRPr="00BA5485" w:rsidRDefault="00CC2E32" w:rsidP="00067EEF">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t>6.</w:t>
      </w:r>
      <w:r w:rsidRPr="00BA5485">
        <w:rPr>
          <w:rFonts w:ascii="Times New Roman" w:eastAsia="Times New Roman" w:hAnsi="Times New Roman"/>
        </w:rPr>
        <w:tab/>
        <w:t>Length of Projections</w:t>
      </w:r>
    </w:p>
    <w:p w14:paraId="35F1EF3B" w14:textId="77777777" w:rsidR="00CC2E32" w:rsidRPr="00BA5485" w:rsidRDefault="00CC2E32" w:rsidP="00067EEF">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516ACCE"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01F03FB2"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The 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r w:rsidR="007443E6" w:rsidRPr="007443E6">
        <w:rPr>
          <w:rFonts w:ascii="Times New Roman" w:eastAsia="Times New Roman" w:hAnsi="Times New Roman"/>
        </w:rPr>
        <w:t>, and the amounts should be adjusted to a pre-tax basis</w:t>
      </w:r>
      <w:r w:rsidRPr="00BA5485">
        <w:rPr>
          <w:rFonts w:ascii="Times New Roman" w:eastAsia="Times New Roman" w:hAnsi="Times New Roman"/>
        </w:rPr>
        <w:t>.</w:t>
      </w:r>
    </w:p>
    <w:p w14:paraId="14C90046" w14:textId="78C82FA8"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r w:rsidR="00543F27">
        <w:rPr>
          <w:rFonts w:ascii="Times New Roman" w:eastAsia="Times New Roman" w:hAnsi="Times New Roman"/>
        </w:rPr>
        <w:t>Reserve</w:t>
      </w:r>
    </w:p>
    <w:p w14:paraId="7E1C43C9" w14:textId="5DBEF903" w:rsidR="00CC2E32" w:rsidRPr="00BA5485" w:rsidRDefault="00CC2E32" w:rsidP="00CC2E32">
      <w:pPr>
        <w:spacing w:after="220" w:line="240" w:lineRule="auto"/>
        <w:ind w:left="1440" w:hanging="720"/>
        <w:rPr>
          <w:rFonts w:ascii="Times New Roman" w:eastAsia="Times New Roman" w:hAnsi="Times New Roman"/>
          <w:position w:val="-1"/>
        </w:rPr>
      </w:pPr>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p>
    <w:p w14:paraId="1D61655E" w14:textId="4432AA9C" w:rsidR="00CC2E32" w:rsidRPr="00BA5485" w:rsidRDefault="00CC2E32" w:rsidP="00067EEF">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r w:rsidR="002F4E4A">
        <w:rPr>
          <w:rFonts w:ascii="Times New Roman" w:eastAsia="Times New Roman" w:hAnsi="Times New Roman"/>
          <w:position w:val="-1"/>
        </w:rPr>
        <w:t>reserve</w:t>
      </w:r>
      <w:r w:rsidRPr="00BA5485">
        <w:rPr>
          <w:rFonts w:ascii="Times New Roman" w:eastAsia="Times New Roman" w:hAnsi="Times New Roman"/>
          <w:position w:val="-1"/>
        </w:rPr>
        <w:t xml:space="preserve"> is the sum of:</w:t>
      </w:r>
    </w:p>
    <w:p w14:paraId="3C7A77A1" w14:textId="1ACC64F1" w:rsidR="00CC2E32"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lastRenderedPageBreak/>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r w:rsidR="0029310C">
        <w:rPr>
          <w:rFonts w:ascii="Times New Roman" w:eastAsia="Times New Roman" w:hAnsi="Times New Roman"/>
        </w:rPr>
        <w:t>; and</w:t>
      </w:r>
    </w:p>
    <w:p w14:paraId="414C22F8" w14:textId="2E4936DC" w:rsidR="00CC2E32" w:rsidRPr="00866D04" w:rsidRDefault="00CC2E32"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r w:rsidRPr="00866D04">
        <w:rPr>
          <w:rFonts w:ascii="Times New Roman" w:eastAsia="Times New Roman" w:hAnsi="Times New Roman"/>
        </w:rPr>
        <w:t xml:space="preserve">The starting asset </w:t>
      </w:r>
      <w:proofErr w:type="gramStart"/>
      <w:r w:rsidRPr="00866D04">
        <w:rPr>
          <w:rFonts w:ascii="Times New Roman" w:eastAsia="Times New Roman" w:hAnsi="Times New Roman"/>
        </w:rPr>
        <w:t>amount</w:t>
      </w:r>
      <w:proofErr w:type="gramEnd"/>
      <w:r w:rsidRPr="00866D04">
        <w:rPr>
          <w:rFonts w:ascii="Times New Roman" w:eastAsia="Times New Roman" w:hAnsi="Times New Roman"/>
        </w:rPr>
        <w:t>.</w:t>
      </w:r>
    </w:p>
    <w:p w14:paraId="42ECCAC3" w14:textId="13358A14" w:rsidR="00EC1A67" w:rsidRPr="00866D04" w:rsidRDefault="00EC1A67" w:rsidP="007911F0">
      <w:pPr>
        <w:ind w:left="1440"/>
        <w:jc w:val="both"/>
        <w:rPr>
          <w:rFonts w:ascii="Times New Roman" w:hAnsi="Times New Roman"/>
        </w:rPr>
      </w:pPr>
      <w:r w:rsidRPr="00866D04">
        <w:rPr>
          <w:rFonts w:ascii="Times New Roman" w:hAnsi="Times New Roman"/>
        </w:rPr>
        <w:t xml:space="preserve">When using the </w:t>
      </w:r>
      <w:r w:rsidR="0037323E">
        <w:rPr>
          <w:rFonts w:ascii="Times New Roman" w:hAnsi="Times New Roman"/>
        </w:rPr>
        <w:t>d</w:t>
      </w:r>
      <w:r w:rsidRPr="00866D04">
        <w:rPr>
          <w:rFonts w:ascii="Times New Roman" w:hAnsi="Times New Roman"/>
        </w:rPr>
        <w:t xml:space="preserve">irect Iteration </w:t>
      </w:r>
      <w:r w:rsidR="0037323E">
        <w:rPr>
          <w:rFonts w:ascii="Times New Roman" w:hAnsi="Times New Roman"/>
        </w:rPr>
        <w:t>m</w:t>
      </w:r>
      <w:r w:rsidRPr="00866D04">
        <w:rPr>
          <w:rFonts w:ascii="Times New Roman" w:hAnsi="Times New Roman"/>
        </w:rPr>
        <w:t xml:space="preserve">ethod described in Section 4.B.5,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4.B.5</w:t>
      </w:r>
      <w:r w:rsidRPr="00866D04">
        <w:rPr>
          <w:rFonts w:ascii="Times New Roman" w:hAnsi="Times New Roman"/>
        </w:rPr>
        <w:t xml:space="preserve">.  </w:t>
      </w:r>
    </w:p>
    <w:p w14:paraId="5829B3D1" w14:textId="05ABAD17" w:rsidR="007911F0" w:rsidRPr="00866D04" w:rsidRDefault="007911F0" w:rsidP="007911F0">
      <w:pPr>
        <w:ind w:left="1440"/>
        <w:jc w:val="both"/>
        <w:rPr>
          <w:rFonts w:ascii="Times New Roman" w:hAnsi="Times New Roman"/>
        </w:rPr>
      </w:pPr>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 xml:space="preserve">for any given scenario shall not be less than the </w:t>
      </w:r>
      <w:r w:rsidR="0037323E">
        <w:rPr>
          <w:rFonts w:ascii="Times New Roman" w:hAnsi="Times New Roman"/>
        </w:rPr>
        <w:t>c</w:t>
      </w:r>
      <w:r w:rsidRPr="00866D04">
        <w:rPr>
          <w:rFonts w:ascii="Times New Roman" w:hAnsi="Times New Roman"/>
        </w:rPr>
        <w:t xml:space="preserve">ash </w:t>
      </w:r>
      <w:r w:rsidR="0037323E">
        <w:rPr>
          <w:rFonts w:ascii="Times New Roman" w:hAnsi="Times New Roman"/>
        </w:rPr>
        <w:t>s</w:t>
      </w:r>
      <w:r w:rsidRPr="00866D04">
        <w:rPr>
          <w:rFonts w:ascii="Times New Roman" w:hAnsi="Times New Roman"/>
        </w:rPr>
        <w:t xml:space="preserve">urrender </w:t>
      </w:r>
      <w:r w:rsidR="0037323E">
        <w:rPr>
          <w:rFonts w:ascii="Times New Roman" w:hAnsi="Times New Roman"/>
        </w:rPr>
        <w:t>v</w:t>
      </w:r>
      <w:r w:rsidRPr="00866D04">
        <w:rPr>
          <w:rFonts w:ascii="Times New Roman" w:hAnsi="Times New Roman"/>
        </w:rPr>
        <w:t>alue in aggregate on the valuation date for the group of contracts modeled in the projection.</w:t>
      </w:r>
    </w:p>
    <w:p w14:paraId="20E668E0" w14:textId="77777777" w:rsidR="00CC2E32" w:rsidRPr="00163967" w:rsidRDefault="00CC2E32" w:rsidP="00067EEF">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2D574873" w:rsidR="00CC2E32" w:rsidRDefault="00CC2E32" w:rsidP="00CC2E32">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scenario reserve</w:t>
      </w:r>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r w:rsidRPr="005E30F1">
        <w:rPr>
          <w:rFonts w:ascii="Times New Roman" w:eastAsia="Times New Roman" w:hAnsi="Times New Roman"/>
        </w:rPr>
        <w:t xml:space="preserve">at 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 xml:space="preserve">ssets, as defined in </w:t>
      </w:r>
      <w:r>
        <w:rPr>
          <w:rFonts w:ascii="Times New Roman" w:eastAsia="Times New Roman" w:hAnsi="Times New Roman"/>
        </w:rPr>
        <w:t>S</w:t>
      </w:r>
      <w:r w:rsidRPr="005E30F1">
        <w:rPr>
          <w:rFonts w:ascii="Times New Roman" w:eastAsia="Times New Roman" w:hAnsi="Times New Roman"/>
        </w:rPr>
        <w:t xml:space="preserve">ection </w:t>
      </w:r>
      <w:r w:rsidR="00466EA5">
        <w:rPr>
          <w:rFonts w:ascii="Times New Roman" w:eastAsia="Times New Roman" w:hAnsi="Times New Roman"/>
        </w:rPr>
        <w:t>4</w:t>
      </w:r>
      <w:r>
        <w:rPr>
          <w:rFonts w:ascii="Times New Roman" w:eastAsia="Times New Roman" w:hAnsi="Times New Roman"/>
        </w:rPr>
        <w:t>.B.</w:t>
      </w:r>
      <w:r w:rsidR="006E2E05">
        <w:rPr>
          <w:rFonts w:ascii="Times New Roman" w:eastAsia="Times New Roman" w:hAnsi="Times New Roman"/>
        </w:rPr>
        <w:t>4</w:t>
      </w:r>
      <w:r w:rsidRPr="00BA5485">
        <w:rPr>
          <w:rFonts w:ascii="Times New Roman" w:eastAsia="Times New Roman" w:hAnsi="Times New Roman"/>
        </w:rPr>
        <w:t>.</w:t>
      </w:r>
    </w:p>
    <w:p w14:paraId="01A7DB03" w14:textId="2BD75F7B" w:rsidR="00CC2E32" w:rsidRDefault="005473E5" w:rsidP="00CC2E32">
      <w:pPr>
        <w:spacing w:after="220" w:line="240" w:lineRule="auto"/>
        <w:ind w:left="1440" w:hanging="720"/>
        <w:rPr>
          <w:rFonts w:ascii="Times New Roman" w:eastAsia="Times New Roman" w:hAnsi="Times New Roman"/>
          <w:position w:val="-1"/>
        </w:rPr>
      </w:pPr>
      <w:r w:rsidRPr="00067EEF">
        <w:rPr>
          <w:rFonts w:ascii="Times New Roman" w:hAnsi="Times New Roman"/>
          <w:position w:val="-1"/>
        </w:rPr>
        <w:t>3</w:t>
      </w:r>
      <w:r w:rsidR="00CC2E32" w:rsidRPr="00067EEF">
        <w:rPr>
          <w:rFonts w:ascii="Times New Roman" w:hAnsi="Times New Roman"/>
          <w:position w:val="-1"/>
        </w:rPr>
        <w:t>.</w:t>
      </w:r>
      <w:r w:rsidR="00CC2E32" w:rsidRPr="00163967">
        <w:rPr>
          <w:rFonts w:ascii="Times New Roman" w:eastAsia="Times New Roman" w:hAnsi="Times New Roman"/>
          <w:position w:val="-1"/>
        </w:rPr>
        <w:tab/>
      </w:r>
      <w:r w:rsidR="007F7F34" w:rsidRPr="007F7F34">
        <w:rPr>
          <w:rFonts w:ascii="Times New Roman" w:eastAsia="Times New Roman" w:hAnsi="Times New Roman"/>
          <w:position w:val="-1"/>
        </w:rPr>
        <w:t>Determination of NAER on Additional Invested Asset Portfolio</w:t>
      </w:r>
    </w:p>
    <w:p w14:paraId="743B71E5" w14:textId="5712CA1F" w:rsidR="005473E5" w:rsidRDefault="007F7F34" w:rsidP="00067EEF">
      <w:pPr>
        <w:spacing w:after="220" w:line="240" w:lineRule="auto"/>
        <w:ind w:left="1440"/>
        <w:rPr>
          <w:rFonts w:ascii="Times New Roman" w:eastAsia="Times New Roman" w:hAnsi="Times New Roman"/>
        </w:rPr>
      </w:pPr>
      <w:r w:rsidRPr="007F7F34">
        <w:rPr>
          <w:rFonts w:ascii="Times New Roman" w:eastAsia="Times New Roman" w:hAnsi="Times New Roman"/>
          <w:position w:val="-1"/>
        </w:rPr>
        <w:t>a.</w:t>
      </w:r>
      <w:r w:rsidRPr="007F7F34">
        <w:rPr>
          <w:rFonts w:ascii="Times New Roman" w:eastAsia="Times New Roman" w:hAnsi="Times New Roman"/>
          <w:position w:val="-1"/>
        </w:rPr>
        <w:tab/>
        <w:t>The additional invested asset portfolio for a scenario is a portfolio of general account assets as of the valuation date, outside of the starting asset portfolio,</w:t>
      </w:r>
      <w:r w:rsidRPr="00067EEF">
        <w:rPr>
          <w:rFonts w:ascii="Times New Roman" w:hAnsi="Times New Roman"/>
          <w:position w:val="-1"/>
        </w:rPr>
        <w:t xml:space="preserve"> that </w:t>
      </w:r>
      <w:r w:rsidRPr="007F7F34">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r w:rsidRPr="00067EEF">
        <w:rPr>
          <w:rFonts w:ascii="Times New Roman" w:hAnsi="Times New Roman"/>
          <w:position w:val="-1"/>
        </w:rPr>
        <w:t xml:space="preserve"> do not </w:t>
      </w:r>
      <w:r w:rsidRPr="007F7F34">
        <w:rPr>
          <w:rFonts w:ascii="Times New Roman" w:eastAsia="Times New Roman" w:hAnsi="Times New Roman"/>
          <w:position w:val="-1"/>
        </w:rPr>
        <w:t>constitute part of the starting asset portfolio</w:t>
      </w:r>
      <w:r>
        <w:rPr>
          <w:rFonts w:ascii="Times New Roman" w:eastAsia="Times New Roman" w:hAnsi="Times New Roman"/>
          <w:position w:val="-1"/>
        </w:rPr>
        <w:t>, and</w:t>
      </w:r>
      <w:r w:rsidRPr="007F7F34">
        <w:rPr>
          <w:rFonts w:ascii="Times New Roman" w:eastAsia="Times New Roman" w:hAnsi="Times New Roman"/>
          <w:position w:val="-1"/>
        </w:rPr>
        <w:t xml:space="preserve"> (ii) cash assets</w:t>
      </w:r>
      <w:r w:rsidRPr="00067EEF">
        <w:rPr>
          <w:rFonts w:ascii="Times New Roman" w:hAnsi="Times New Roman"/>
          <w:position w:val="-1"/>
        </w:rPr>
        <w:t>.</w:t>
      </w:r>
    </w:p>
    <w:p w14:paraId="7BC5BFE1" w14:textId="265510AF" w:rsidR="003136AD" w:rsidRDefault="0037323E" w:rsidP="00CC2E32">
      <w:pPr>
        <w:spacing w:after="220" w:line="240" w:lineRule="auto"/>
        <w:ind w:left="14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FC1197" w:rsidRPr="007F7F34" w:rsidRDefault="00FC1197" w:rsidP="007F7F34">
                            <w:pPr>
                              <w:rPr>
                                <w:rFonts w:ascii="Times New Roman" w:hAnsi="Times New Roman"/>
                              </w:rPr>
                            </w:pPr>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7CEC7A1F" w14:textId="2CA51006" w:rsidR="00FC1197" w:rsidRPr="007F7F34" w:rsidRDefault="00FC1197" w:rsidP="007F7F34">
                            <w:pPr>
                              <w:rPr>
                                <w:rFonts w:ascii="Times New Roman" w:hAnsi="Times New Roman"/>
                              </w:rPr>
                            </w:pPr>
                            <w:r w:rsidRPr="007F7F34">
                              <w:rPr>
                                <w:rFonts w:ascii="Times New Roman" w:hAnsi="Times New Roman"/>
                              </w:rPr>
                              <w:t>It is assumed that the accumulated deficiencies for this scenario projection are known.</w:t>
                            </w:r>
                          </w:p>
                          <w:p w14:paraId="7BDED676" w14:textId="77777777" w:rsidR="00FC1197" w:rsidRDefault="00FC1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8"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c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u2l7AXbA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NEz&#10;LNxNAgAAqQQAAA4AAAAAAAAAAAAAAAAALgIAAGRycy9lMm9Eb2MueG1sUEsBAi0AFAAGAAgAAAAh&#10;AKnHIRjcAAAACgEAAA8AAAAAAAAAAAAAAAAApwQAAGRycy9kb3ducmV2LnhtbFBLBQYAAAAABAAE&#10;APMAAACwBQAAAAA=&#10;" fillcolor="white [3201]" strokeweight=".5pt">
                <v:textbox>
                  <w:txbxContent>
                    <w:p w14:paraId="48F4B18C" w14:textId="77777777" w:rsidR="00FC1197" w:rsidRPr="007F7F34" w:rsidRDefault="00FC1197" w:rsidP="007F7F34">
                      <w:pPr>
                        <w:rPr>
                          <w:rFonts w:ascii="Times New Roman" w:hAnsi="Times New Roman"/>
                        </w:rPr>
                      </w:pPr>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7CEC7A1F" w14:textId="2CA51006" w:rsidR="00FC1197" w:rsidRPr="007F7F34" w:rsidRDefault="00FC1197" w:rsidP="007F7F34">
                      <w:pPr>
                        <w:rPr>
                          <w:rFonts w:ascii="Times New Roman" w:hAnsi="Times New Roman"/>
                        </w:rPr>
                      </w:pPr>
                      <w:r w:rsidRPr="007F7F34">
                        <w:rPr>
                          <w:rFonts w:ascii="Times New Roman" w:hAnsi="Times New Roman"/>
                        </w:rPr>
                        <w:t>It is assumed that the accumulated deficiencies for this scenario projection are known.</w:t>
                      </w:r>
                    </w:p>
                    <w:p w14:paraId="7BDED676" w14:textId="77777777" w:rsidR="00FC1197" w:rsidRDefault="00FC1197"/>
                  </w:txbxContent>
                </v:textbox>
              </v:shape>
            </w:pict>
          </mc:Fallback>
        </mc:AlternateContent>
      </w:r>
    </w:p>
    <w:p w14:paraId="16D5EA18" w14:textId="6EC212B8" w:rsidR="003136AD" w:rsidRDefault="003136AD" w:rsidP="00CC2E32">
      <w:pPr>
        <w:spacing w:after="220" w:line="240" w:lineRule="auto"/>
        <w:ind w:left="1440"/>
        <w:rPr>
          <w:rFonts w:ascii="Times New Roman" w:eastAsia="Times New Roman" w:hAnsi="Times New Roman"/>
        </w:rPr>
      </w:pPr>
    </w:p>
    <w:p w14:paraId="311C22B2" w14:textId="2552A3F1" w:rsidR="00F35A23" w:rsidRDefault="00F35A23" w:rsidP="005473E5">
      <w:pPr>
        <w:spacing w:after="220" w:line="240" w:lineRule="auto"/>
        <w:ind w:left="1440" w:hanging="720"/>
        <w:rPr>
          <w:rFonts w:ascii="Times New Roman" w:eastAsia="Times New Roman" w:hAnsi="Times New Roman"/>
          <w:position w:val="-1"/>
        </w:rPr>
      </w:pPr>
    </w:p>
    <w:p w14:paraId="0E2F57FB" w14:textId="77777777" w:rsidR="0037323E" w:rsidRDefault="0037323E" w:rsidP="00E1604F">
      <w:pPr>
        <w:spacing w:after="220" w:line="240" w:lineRule="auto"/>
        <w:ind w:left="1440"/>
        <w:rPr>
          <w:rFonts w:ascii="Times New Roman" w:eastAsia="Times New Roman" w:hAnsi="Times New Roman"/>
          <w:position w:val="-1"/>
        </w:rPr>
      </w:pPr>
    </w:p>
    <w:p w14:paraId="73070BD3" w14:textId="77777777" w:rsidR="0037323E" w:rsidRDefault="0037323E" w:rsidP="00E1604F">
      <w:pPr>
        <w:spacing w:after="220" w:line="240" w:lineRule="auto"/>
        <w:ind w:left="1440"/>
        <w:rPr>
          <w:rFonts w:ascii="Times New Roman" w:eastAsia="Times New Roman" w:hAnsi="Times New Roman"/>
          <w:position w:val="-1"/>
        </w:rPr>
      </w:pPr>
    </w:p>
    <w:p w14:paraId="5E308EE0" w14:textId="494EE72A" w:rsidR="00E1604F" w:rsidRDefault="00E1604F" w:rsidP="00E1604F">
      <w:pPr>
        <w:spacing w:after="220" w:line="240" w:lineRule="auto"/>
        <w:ind w:left="1440"/>
        <w:rPr>
          <w:rFonts w:ascii="Times New Roman" w:eastAsia="Times New Roman" w:hAnsi="Times New Roman"/>
          <w:position w:val="-1"/>
        </w:rPr>
      </w:pPr>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To determine the NAER on additional invested assets for a given scenario:</w:t>
      </w:r>
    </w:p>
    <w:p w14:paraId="20B4C27D" w14:textId="2D10E582" w:rsidR="00E1604F" w:rsidRDefault="00E1604F" w:rsidP="00E1604F">
      <w:pPr>
        <w:spacing w:after="220" w:line="240" w:lineRule="auto"/>
        <w:ind w:left="2160"/>
        <w:rPr>
          <w:rFonts w:ascii="Times New Roman" w:eastAsia="Times New Roman" w:hAnsi="Times New Roman"/>
          <w:position w:val="-1"/>
        </w:rPr>
      </w:pPr>
      <w:r w:rsidRPr="00E1604F">
        <w:rPr>
          <w:rFonts w:ascii="Times New Roman" w:eastAsia="Times New Roman" w:hAnsi="Times New Roman"/>
          <w:position w:val="-1"/>
        </w:rPr>
        <w:t>i.</w:t>
      </w:r>
      <w:r w:rsidRPr="00E1604F">
        <w:rPr>
          <w:rFonts w:ascii="Times New Roman" w:eastAsia="Times New Roman" w:hAnsi="Times New Roman"/>
          <w:position w:val="-1"/>
        </w:rPr>
        <w:tab/>
        <w:t>Project the additional invested asset portfolio as of the valuation date to the end of the projection period,</w:t>
      </w:r>
    </w:p>
    <w:p w14:paraId="483B7DC3" w14:textId="4DF41552" w:rsidR="00E1604F" w:rsidRDefault="00E1604F" w:rsidP="00E1604F">
      <w:pPr>
        <w:spacing w:after="220" w:line="240" w:lineRule="auto"/>
        <w:ind w:left="3600" w:hanging="720"/>
        <w:rPr>
          <w:rFonts w:ascii="Times New Roman" w:eastAsia="Times New Roman" w:hAnsi="Times New Roman"/>
          <w:position w:val="-1"/>
        </w:rPr>
      </w:pPr>
      <w:r>
        <w:rPr>
          <w:rFonts w:ascii="Times New Roman" w:eastAsia="Times New Roman" w:hAnsi="Times New Roman"/>
          <w:position w:val="-1"/>
        </w:rPr>
        <w:t>a)</w:t>
      </w:r>
      <w:r>
        <w:rPr>
          <w:rFonts w:ascii="Times New Roman" w:eastAsia="Times New Roman" w:hAnsi="Times New Roman"/>
          <w:position w:val="-1"/>
        </w:rPr>
        <w:tab/>
      </w:r>
      <w:r w:rsidRPr="00E1604F">
        <w:rPr>
          <w:rFonts w:ascii="Times New Roman" w:eastAsia="Times New Roman" w:hAnsi="Times New Roman"/>
          <w:position w:val="-1"/>
        </w:rPr>
        <w:t>investing any cash in the portfolio and reinvesting all investment proceeds using the company’s investment policy;</w:t>
      </w:r>
    </w:p>
    <w:p w14:paraId="27E2BA11" w14:textId="16359263" w:rsidR="00E1604F" w:rsidRDefault="00E1604F" w:rsidP="00E1604F">
      <w:pPr>
        <w:spacing w:after="220" w:line="240" w:lineRule="auto"/>
        <w:ind w:left="3600" w:hanging="720"/>
        <w:rPr>
          <w:rFonts w:ascii="Times New Roman" w:eastAsia="Times New Roman" w:hAnsi="Times New Roman"/>
          <w:position w:val="-1"/>
        </w:rPr>
      </w:pPr>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without regard to any liability cash flows, and</w:t>
      </w:r>
    </w:p>
    <w:p w14:paraId="203D8BE0" w14:textId="5934BDDE" w:rsidR="00E1604F" w:rsidRPr="00E1604F" w:rsidRDefault="00E1604F" w:rsidP="00E1604F">
      <w:pPr>
        <w:spacing w:after="220" w:line="240" w:lineRule="auto"/>
        <w:ind w:left="3600" w:hanging="720"/>
        <w:rPr>
          <w:rFonts w:ascii="Times New Roman" w:eastAsia="Times New Roman" w:hAnsi="Times New Roman"/>
          <w:position w:val="-1"/>
        </w:rPr>
      </w:pPr>
      <w:r>
        <w:rPr>
          <w:rFonts w:ascii="Times New Roman" w:eastAsia="Times New Roman" w:hAnsi="Times New Roman"/>
          <w:position w:val="-1"/>
        </w:rPr>
        <w:t>c)</w:t>
      </w:r>
      <w:r>
        <w:rPr>
          <w:rFonts w:ascii="Times New Roman" w:eastAsia="Times New Roman" w:hAnsi="Times New Roman"/>
          <w:position w:val="-1"/>
        </w:rPr>
        <w:tab/>
      </w:r>
      <w:r w:rsidRPr="00E1604F">
        <w:rPr>
          <w:rFonts w:ascii="Times New Roman" w:eastAsia="Times New Roman" w:hAnsi="Times New Roman"/>
          <w:position w:val="-1"/>
        </w:rPr>
        <w:t>incorporating the appropriate returns, defaults, and investment expenses for the given scenario.</w:t>
      </w:r>
    </w:p>
    <w:p w14:paraId="6B2A12FF" w14:textId="06E0E96C" w:rsidR="00E1604F" w:rsidRDefault="00E1604F" w:rsidP="00E1604F">
      <w:pPr>
        <w:spacing w:after="220" w:line="240" w:lineRule="auto"/>
        <w:ind w:left="2160"/>
        <w:rPr>
          <w:rFonts w:ascii="Times New Roman" w:eastAsia="Times New Roman" w:hAnsi="Times New Roman"/>
          <w:position w:val="-1"/>
        </w:rPr>
      </w:pPr>
      <w:r w:rsidRPr="00E1604F">
        <w:rPr>
          <w:rFonts w:ascii="Times New Roman" w:eastAsia="Times New Roman" w:hAnsi="Times New Roman"/>
          <w:position w:val="-1"/>
        </w:rPr>
        <w:t>ii.</w:t>
      </w:r>
      <w:r w:rsidRPr="00E1604F">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r w:rsidR="003C482A" w:rsidRPr="00E1604F">
        <w:rPr>
          <w:rFonts w:ascii="Times New Roman" w:eastAsia="Times New Roman" w:hAnsi="Times New Roman"/>
          <w:position w:val="-1"/>
        </w:rPr>
        <w:t>step.</w:t>
      </w:r>
    </w:p>
    <w:p w14:paraId="6ACE4691" w14:textId="07836628" w:rsidR="00E1604F" w:rsidRPr="00163967" w:rsidRDefault="00E1604F" w:rsidP="00E1604F">
      <w:pPr>
        <w:spacing w:after="220" w:line="240" w:lineRule="auto"/>
        <w:ind w:left="2160"/>
        <w:rPr>
          <w:rFonts w:ascii="Times New Roman" w:eastAsia="Times New Roman" w:hAnsi="Times New Roman"/>
          <w:position w:val="-1"/>
        </w:rPr>
      </w:pPr>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33AE0EEA">
                <wp:simplePos x="0" y="0"/>
                <wp:positionH relativeFrom="column">
                  <wp:posOffset>285750</wp:posOffset>
                </wp:positionH>
                <wp:positionV relativeFrom="paragraph">
                  <wp:posOffset>591821</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5E3CAF4E" w:rsidR="00FC1197" w:rsidRPr="007F7F34" w:rsidRDefault="00FC1197" w:rsidP="00E1604F">
                            <w:pPr>
                              <w:rPr>
                                <w:rFonts w:ascii="Times New Roman" w:hAnsi="Times New Roman"/>
                              </w:rPr>
                            </w:pPr>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p>
                          <w:p w14:paraId="33C9E5AC" w14:textId="77777777" w:rsidR="00FC1197" w:rsidRDefault="00FC1197" w:rsidP="00E16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9" type="#_x0000_t202" style="position:absolute;left:0;text-align:left;margin-left:22.5pt;margin-top:46.6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" fillcolor="white [3201]" strokeweight=".5pt">
                <v:textbox>
                  <w:txbxContent>
                    <w:p w14:paraId="108E07B2" w14:textId="5E3CAF4E" w:rsidR="00FC1197" w:rsidRPr="007F7F34" w:rsidRDefault="00FC1197" w:rsidP="00E1604F">
                      <w:pPr>
                        <w:rPr>
                          <w:rFonts w:ascii="Times New Roman" w:hAnsi="Times New Roman"/>
                        </w:rPr>
                      </w:pPr>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p>
                    <w:p w14:paraId="33C9E5AC" w14:textId="77777777" w:rsidR="00FC1197" w:rsidRDefault="00FC1197" w:rsidP="00E1604F"/>
                  </w:txbxContent>
                </v:textbox>
              </v:shape>
            </w:pict>
          </mc:Fallback>
        </mc:AlternateContent>
      </w:r>
      <w:r>
        <w:rPr>
          <w:rFonts w:ascii="Times New Roman" w:eastAsia="Times New Roman" w:hAnsi="Times New Roman"/>
          <w:position w:val="-1"/>
        </w:rPr>
        <w:t>iii</w:t>
      </w:r>
      <w:r>
        <w:rPr>
          <w:rFonts w:ascii="Times New Roman" w:eastAsia="Times New Roman" w:hAnsi="Times New Roman"/>
          <w:position w:val="-1"/>
        </w:rPr>
        <w:tab/>
      </w:r>
      <w:r w:rsidRPr="00E1604F">
        <w:rPr>
          <w:rFonts w:ascii="Times New Roman" w:eastAsia="Times New Roman" w:hAnsi="Times New Roman"/>
          <w:position w:val="-1"/>
        </w:rPr>
        <w:t xml:space="preserve">Determine a vector of annual earned rates that replicates the growth in the additional invested asset portfolio from the valuation date to the end of the projection period for the scenario. This vector will be the NAER for the given </w:t>
      </w:r>
      <w:r w:rsidR="003C482A" w:rsidRPr="00E1604F">
        <w:rPr>
          <w:rFonts w:ascii="Times New Roman" w:eastAsia="Times New Roman" w:hAnsi="Times New Roman"/>
          <w:position w:val="-1"/>
        </w:rPr>
        <w:t>scenario.</w:t>
      </w:r>
    </w:p>
    <w:p w14:paraId="04B972C5" w14:textId="13C2F69E" w:rsidR="00F35A23" w:rsidRDefault="00F35A23" w:rsidP="005473E5">
      <w:pPr>
        <w:spacing w:after="220" w:line="240" w:lineRule="auto"/>
        <w:ind w:left="1440" w:hanging="720"/>
        <w:rPr>
          <w:rFonts w:ascii="Times New Roman" w:eastAsia="Times New Roman" w:hAnsi="Times New Roman"/>
          <w:position w:val="-1"/>
        </w:rPr>
      </w:pPr>
    </w:p>
    <w:p w14:paraId="2AC85135" w14:textId="743F845F" w:rsidR="00E1604F" w:rsidRDefault="00E1604F" w:rsidP="005473E5">
      <w:pPr>
        <w:spacing w:after="220" w:line="240" w:lineRule="auto"/>
        <w:ind w:left="1440" w:hanging="720"/>
        <w:rPr>
          <w:rFonts w:ascii="Times New Roman" w:eastAsia="Times New Roman" w:hAnsi="Times New Roman"/>
          <w:position w:val="-1"/>
        </w:rPr>
      </w:pPr>
    </w:p>
    <w:p w14:paraId="3F45490C" w14:textId="2FC84539" w:rsidR="00E1604F" w:rsidRDefault="00E1604F" w:rsidP="005473E5">
      <w:pPr>
        <w:spacing w:after="220" w:line="240" w:lineRule="auto"/>
        <w:ind w:left="1440" w:hanging="720"/>
        <w:rPr>
          <w:rFonts w:ascii="Times New Roman" w:eastAsia="Times New Roman" w:hAnsi="Times New Roman"/>
          <w:position w:val="-1"/>
        </w:rPr>
      </w:pPr>
    </w:p>
    <w:p w14:paraId="72E73768" w14:textId="1247D6D3" w:rsidR="005473E5" w:rsidRDefault="005473E5" w:rsidP="00600360">
      <w:pPr>
        <w:spacing w:after="220" w:line="240" w:lineRule="auto"/>
        <w:ind w:left="1440"/>
        <w:rPr>
          <w:rFonts w:ascii="Times New Roman" w:eastAsia="Times New Roman" w:hAnsi="Times New Roman"/>
        </w:rPr>
      </w:pPr>
      <w:r w:rsidRPr="005E30F1">
        <w:rPr>
          <w:rFonts w:ascii="Times New Roman" w:eastAsia="Times New Roman" w:hAnsi="Times New Roman"/>
        </w:rPr>
        <w:t xml:space="preserve"> </w:t>
      </w:r>
    </w:p>
    <w:p w14:paraId="5DB92394" w14:textId="4C597BF6" w:rsidR="00136CEA" w:rsidRPr="00704528" w:rsidRDefault="00950125" w:rsidP="00136CEA">
      <w:pPr>
        <w:spacing w:after="220" w:line="240" w:lineRule="auto"/>
        <w:ind w:left="720"/>
        <w:rPr>
          <w:rFonts w:ascii="Times New Roman" w:eastAsia="Times New Roman" w:hAnsi="Times New Roman"/>
        </w:rPr>
      </w:pPr>
      <w:r>
        <w:rPr>
          <w:rFonts w:ascii="Times New Roman" w:eastAsia="Times New Roman" w:hAnsi="Times New Roman"/>
        </w:rPr>
        <w:t>4.</w:t>
      </w:r>
      <w:r w:rsidR="00136CEA" w:rsidRPr="00704528">
        <w:rPr>
          <w:rFonts w:ascii="Times New Roman" w:eastAsia="Times New Roman" w:hAnsi="Times New Roman"/>
        </w:rPr>
        <w:tab/>
        <w:t xml:space="preserve">Direct </w:t>
      </w:r>
      <w:r w:rsidR="00E632F1">
        <w:rPr>
          <w:rFonts w:ascii="Times New Roman" w:eastAsia="Times New Roman" w:hAnsi="Times New Roman"/>
        </w:rPr>
        <w:t>I</w:t>
      </w:r>
      <w:r w:rsidR="00136CEA" w:rsidRPr="00704528">
        <w:rPr>
          <w:rFonts w:ascii="Times New Roman" w:eastAsia="Times New Roman" w:hAnsi="Times New Roman"/>
        </w:rPr>
        <w:t>teration</w:t>
      </w:r>
    </w:p>
    <w:p w14:paraId="7D1E9609" w14:textId="4D4B2D4C" w:rsidR="005D39AC" w:rsidRPr="0060001D" w:rsidRDefault="00136CEA" w:rsidP="005D39AC">
      <w:pPr>
        <w:spacing w:after="120"/>
        <w:ind w:left="720"/>
        <w:rPr>
          <w:rFonts w:ascii="Times New Roman" w:hAnsi="Times New Roman"/>
        </w:rPr>
      </w:pPr>
      <w:r w:rsidRPr="00E119CC">
        <w:rPr>
          <w:rFonts w:ascii="Times New Roman" w:eastAsia="Times New Roman" w:hAnsi="Times New Roman"/>
        </w:rPr>
        <w:t xml:space="preserve">In lieu of the method described in </w:t>
      </w:r>
      <w:r w:rsidR="00EA7134" w:rsidRPr="00E119CC">
        <w:rPr>
          <w:rFonts w:ascii="Times New Roman" w:eastAsia="Times New Roman" w:hAnsi="Times New Roman"/>
        </w:rPr>
        <w:t>Section</w:t>
      </w:r>
      <w:r w:rsidRPr="00E119CC">
        <w:rPr>
          <w:rFonts w:ascii="Times New Roman" w:eastAsia="Times New Roman" w:hAnsi="Times New Roman"/>
        </w:rPr>
        <w:t xml:space="preserve"> </w:t>
      </w:r>
      <w:r w:rsidR="00466EA5" w:rsidRPr="0037323E">
        <w:rPr>
          <w:rFonts w:ascii="Times New Roman" w:eastAsia="Times New Roman" w:hAnsi="Times New Roman"/>
        </w:rPr>
        <w:t>4</w:t>
      </w:r>
      <w:r w:rsidR="00EA7134" w:rsidRPr="0037323E">
        <w:rPr>
          <w:rFonts w:ascii="Times New Roman" w:eastAsia="Times New Roman" w:hAnsi="Times New Roman"/>
        </w:rPr>
        <w:t>.B.</w:t>
      </w:r>
      <w:r w:rsidR="00EC1A67" w:rsidRPr="0037323E">
        <w:rPr>
          <w:rFonts w:ascii="Times New Roman" w:eastAsia="Times New Roman" w:hAnsi="Times New Roman"/>
        </w:rPr>
        <w:t>2</w:t>
      </w:r>
      <w:r w:rsidR="00950125" w:rsidRPr="0037323E">
        <w:rPr>
          <w:rFonts w:ascii="Times New Roman" w:eastAsia="Times New Roman" w:hAnsi="Times New Roman"/>
        </w:rPr>
        <w:t xml:space="preserve"> and</w:t>
      </w:r>
      <w:r w:rsidR="001001B3" w:rsidRPr="0037323E">
        <w:rPr>
          <w:rFonts w:ascii="Times New Roman" w:eastAsia="Times New Roman" w:hAnsi="Times New Roman"/>
        </w:rPr>
        <w:t xml:space="preserve"> Section 4.B.3</w:t>
      </w:r>
      <w:r w:rsidRPr="0037323E">
        <w:rPr>
          <w:rFonts w:ascii="Times New Roman" w:eastAsia="Times New Roman" w:hAnsi="Times New Roman"/>
        </w:rPr>
        <w:t xml:space="preserve"> </w:t>
      </w:r>
      <w:r w:rsidR="00EA7134" w:rsidRPr="0037323E">
        <w:rPr>
          <w:rFonts w:ascii="Times New Roman" w:eastAsia="Times New Roman" w:hAnsi="Times New Roman"/>
        </w:rPr>
        <w:t>a</w:t>
      </w:r>
      <w:r w:rsidRPr="0037323E">
        <w:rPr>
          <w:rFonts w:ascii="Times New Roman" w:eastAsia="Times New Roman" w:hAnsi="Times New Roman"/>
        </w:rPr>
        <w:t>bove, the company may solve for the amount of starting assets which</w:t>
      </w:r>
      <w:r w:rsidR="00F1754C" w:rsidRPr="0037323E">
        <w:rPr>
          <w:rFonts w:ascii="Times New Roman" w:eastAsia="Times New Roman" w:hAnsi="Times New Roman"/>
        </w:rPr>
        <w:t xml:space="preserve">, when projected along with all </w:t>
      </w:r>
      <w:r w:rsidR="000372D6" w:rsidRPr="0037323E">
        <w:rPr>
          <w:rFonts w:ascii="Times New Roman" w:eastAsia="Times New Roman" w:hAnsi="Times New Roman"/>
        </w:rPr>
        <w:t>contract cash flows</w:t>
      </w:r>
      <w:r w:rsidR="00F1754C" w:rsidRPr="0037323E">
        <w:rPr>
          <w:rFonts w:ascii="Times New Roman" w:eastAsia="Times New Roman" w:hAnsi="Times New Roman"/>
        </w:rPr>
        <w:t xml:space="preserve">, result in the </w:t>
      </w:r>
      <w:proofErr w:type="spellStart"/>
      <w:r w:rsidR="003261C7" w:rsidRPr="0037323E">
        <w:rPr>
          <w:rFonts w:ascii="Times New Roman" w:eastAsia="Times New Roman" w:hAnsi="Times New Roman"/>
        </w:rPr>
        <w:t>defeasement</w:t>
      </w:r>
      <w:proofErr w:type="spellEnd"/>
      <w:r w:rsidR="003261C7" w:rsidRPr="0037323E">
        <w:rPr>
          <w:rFonts w:ascii="Times New Roman" w:eastAsia="Times New Roman" w:hAnsi="Times New Roman"/>
        </w:rPr>
        <w:t xml:space="preserve"> </w:t>
      </w:r>
      <w:r w:rsidR="00F1754C" w:rsidRPr="0037323E">
        <w:rPr>
          <w:rFonts w:ascii="Times New Roman" w:eastAsia="Times New Roman" w:hAnsi="Times New Roman"/>
        </w:rPr>
        <w:t xml:space="preserve">of all projected future benefits and expenses </w:t>
      </w:r>
      <w:r w:rsidR="005D39AC" w:rsidRPr="0037323E">
        <w:rPr>
          <w:rFonts w:ascii="Times New Roman" w:eastAsia="Times New Roman" w:hAnsi="Times New Roman"/>
        </w:rPr>
        <w:t>at</w:t>
      </w:r>
      <w:r w:rsidR="00F1754C" w:rsidRPr="0037323E">
        <w:rPr>
          <w:rFonts w:ascii="Times New Roman" w:eastAsia="Times New Roman" w:hAnsi="Times New Roman"/>
        </w:rPr>
        <w:t xml:space="preserve"> the end of the projection horizon</w:t>
      </w:r>
      <w:r w:rsidR="00EC1A67" w:rsidRPr="0037323E">
        <w:rPr>
          <w:rFonts w:ascii="Times New Roman" w:eastAsia="Times New Roman" w:hAnsi="Times New Roman"/>
        </w:rPr>
        <w:t xml:space="preserve"> </w:t>
      </w:r>
      <w:r w:rsidR="005D39AC" w:rsidRPr="0060001D">
        <w:rPr>
          <w:rFonts w:ascii="Times New Roman" w:hAnsi="Times New Roman"/>
        </w:rPr>
        <w:t xml:space="preserve">with no deficiencies at the end of any projection year during the projection period.  </w:t>
      </w:r>
    </w:p>
    <w:p w14:paraId="38A78582" w14:textId="2F54D6F0" w:rsidR="00E51827" w:rsidRDefault="00E51827" w:rsidP="00866D04">
      <w:pPr>
        <w:spacing w:after="220" w:line="240" w:lineRule="auto"/>
        <w:ind w:left="1440"/>
        <w:rPr>
          <w:rFonts w:ascii="Times New Roman" w:eastAsia="Times New Roman" w:hAnsi="Times New Roman"/>
        </w:rPr>
      </w:pPr>
    </w:p>
    <w:p w14:paraId="33E09AA8" w14:textId="0DB9A9F7"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56F2B79D"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r>
        <w:rPr>
          <w:rFonts w:ascii="Times New Roman" w:eastAsia="Times New Roman" w:hAnsi="Times New Roman"/>
        </w:rPr>
        <w:t>Number of</w:t>
      </w:r>
      <w:r w:rsidRPr="00BA5485">
        <w:rPr>
          <w:rFonts w:ascii="Times New Roman" w:eastAsia="Times New Roman" w:hAnsi="Times New Roman"/>
        </w:rPr>
        <w:t xml:space="preserve"> Scenarios</w:t>
      </w:r>
    </w:p>
    <w:p w14:paraId="0EBCA265" w14:textId="613EE441"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r w:rsidR="006A737F">
        <w:rPr>
          <w:rFonts w:ascii="Times New Roman" w:eastAsia="Times New Roman" w:hAnsi="Times New Roman"/>
        </w:rPr>
        <w:t xml:space="preserve">the scenario reserve </w:t>
      </w:r>
      <w:r w:rsidRPr="00BA5485">
        <w:rPr>
          <w:rFonts w:ascii="Times New Roman" w:eastAsia="Times New Roman" w:hAnsi="Times New Roman"/>
        </w:rPr>
        <w:t xml:space="preserve">shall be computed shall be the responsibility of the </w:t>
      </w:r>
      <w:r w:rsidR="00FA5FBF">
        <w:rPr>
          <w:rFonts w:ascii="Times New Roman" w:eastAsia="Times New Roman" w:hAnsi="Times New Roman"/>
        </w:rPr>
        <w:t>company</w:t>
      </w:r>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 as compared with that resulting from running additional scenarios, is not material.</w:t>
      </w:r>
    </w:p>
    <w:p w14:paraId="75AEBE8D" w14:textId="44C78C32"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r>
        <w:rPr>
          <w:rFonts w:ascii="Times New Roman" w:eastAsia="Times New Roman" w:hAnsi="Times New Roman"/>
        </w:rPr>
        <w:t xml:space="preserve">Economic </w:t>
      </w:r>
      <w:r w:rsidRPr="00BA5485">
        <w:rPr>
          <w:rFonts w:ascii="Times New Roman" w:eastAsia="Times New Roman" w:hAnsi="Times New Roman"/>
        </w:rPr>
        <w:t xml:space="preserve">Scenario </w:t>
      </w:r>
      <w:r>
        <w:rPr>
          <w:rFonts w:ascii="Times New Roman" w:eastAsia="Times New Roman" w:hAnsi="Times New Roman"/>
        </w:rPr>
        <w:t>Generation</w:t>
      </w:r>
    </w:p>
    <w:p w14:paraId="4BD11A76" w14:textId="385623E5" w:rsidR="00CC2E32" w:rsidRPr="00BA5485" w:rsidRDefault="00CC2E32" w:rsidP="00067EEF">
      <w:pPr>
        <w:spacing w:after="220" w:line="240" w:lineRule="auto"/>
        <w:ind w:left="1440"/>
        <w:rPr>
          <w:rFonts w:ascii="Times New Roman" w:eastAsia="Times New Roman" w:hAnsi="Times New Roman"/>
        </w:rPr>
      </w:pPr>
      <w:r w:rsidRPr="00600360">
        <w:rPr>
          <w:rFonts w:ascii="Times New Roman" w:hAnsi="Times New Roman"/>
        </w:rPr>
        <w:t xml:space="preserve">U.S. </w:t>
      </w:r>
      <w:r w:rsidRPr="00F37F09">
        <w:rPr>
          <w:rFonts w:ascii="Times New Roman" w:eastAsia="Times New Roman" w:hAnsi="Times New Roman"/>
        </w:rPr>
        <w:t>Treasury interest rate curves, as well as investment return paths</w:t>
      </w:r>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r>
        <w:rPr>
          <w:rFonts w:ascii="Times New Roman" w:eastAsia="Times New Roman" w:hAnsi="Times New Roman"/>
        </w:rPr>
        <w:t>general account equity assets and separate account fund performance</w:t>
      </w:r>
      <w:r w:rsidRPr="00BA5485">
        <w:rPr>
          <w:rFonts w:ascii="Times New Roman" w:eastAsia="Times New Roman" w:hAnsi="Times New Roman"/>
        </w:rPr>
        <w:t xml:space="preserve"> shall be determined on a stochastic basis </w:t>
      </w:r>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 that the resulting </w:t>
      </w:r>
      <w:r w:rsidR="001B0344">
        <w:rPr>
          <w:rFonts w:ascii="Times New Roman" w:eastAsia="Times New Roman" w:hAnsi="Times New Roman"/>
        </w:rPr>
        <w:t>scenarios</w:t>
      </w:r>
      <w:r>
        <w:rPr>
          <w:rFonts w:ascii="Times New Roman" w:eastAsia="Times New Roman" w:hAnsi="Times New Roman"/>
        </w:rPr>
        <w:t xml:space="preserve"> meet the requirements </w:t>
      </w:r>
      <w:r w:rsidR="00F1754C">
        <w:rPr>
          <w:rFonts w:ascii="Times New Roman" w:eastAsia="Times New Roman" w:hAnsi="Times New Roman"/>
        </w:rPr>
        <w:t>described in Section 8</w:t>
      </w:r>
      <w:r>
        <w:rPr>
          <w:rFonts w:ascii="Times New Roman" w:eastAsia="Times New Roman" w:hAnsi="Times New Roman"/>
        </w:rPr>
        <w:t>.</w:t>
      </w:r>
    </w:p>
    <w:p w14:paraId="2FF108CB" w14:textId="158E8B7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 xml:space="preserve">Projection </w:t>
      </w:r>
      <w:r w:rsidR="00BE0EFB">
        <w:rPr>
          <w:rFonts w:ascii="Times New Roman" w:eastAsia="Times New Roman" w:hAnsi="Times New Roman"/>
        </w:rPr>
        <w:t xml:space="preserve">of </w:t>
      </w:r>
      <w:r w:rsidRPr="00BA5485">
        <w:rPr>
          <w:rFonts w:ascii="Times New Roman" w:eastAsia="Times New Roman" w:hAnsi="Times New Roman"/>
        </w:rPr>
        <w:t>Assets</w:t>
      </w:r>
    </w:p>
    <w:p w14:paraId="4CEB2B1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5BABD345" w:rsidR="00CC2E32" w:rsidRDefault="00BE0EFB" w:rsidP="00067EEF">
      <w:pPr>
        <w:spacing w:after="220" w:line="240" w:lineRule="auto"/>
        <w:ind w:left="1440"/>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rPr>
        <w:tab/>
      </w:r>
      <w:r w:rsidR="00CC2E32" w:rsidRPr="00BA5485">
        <w:rPr>
          <w:rFonts w:ascii="Times New Roman" w:eastAsia="Times New Roman" w:hAnsi="Times New Roman"/>
        </w:rPr>
        <w:t xml:space="preserve">For the projections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 the value of assets at the start of the projection shall be set equal to the approximate value of statutory reserves at the start of the projection</w:t>
      </w:r>
      <w:r w:rsidR="00D225D4">
        <w:rPr>
          <w:rFonts w:ascii="Times New Roman" w:eastAsia="Times New Roman" w:hAnsi="Times New Roman"/>
        </w:rPr>
        <w:t xml:space="preserve"> plus the allocated amount of PIMR attributable to the assets selected</w:t>
      </w:r>
      <w:r w:rsidR="00CC2E32" w:rsidRPr="00BA5485">
        <w:rPr>
          <w:rFonts w:ascii="Times New Roman" w:eastAsia="Times New Roman" w:hAnsi="Times New Roman"/>
        </w:rPr>
        <w:t>. Assets shall be valued consistently with their annual statement values. The amount of such asset values shall equal the sum of the following items, all as of the start of the projection:</w:t>
      </w:r>
    </w:p>
    <w:p w14:paraId="674E74AB" w14:textId="69D4D80E" w:rsidR="005A72E6" w:rsidRDefault="005A72E6" w:rsidP="00067EEF">
      <w:pPr>
        <w:pStyle w:val="ListParagraph"/>
        <w:numPr>
          <w:ilvl w:val="0"/>
          <w:numId w:val="34"/>
        </w:numPr>
        <w:spacing w:after="220" w:line="240" w:lineRule="auto"/>
        <w:rPr>
          <w:rFonts w:ascii="Times New Roman" w:eastAsia="Times New Roman" w:hAnsi="Times New Roman"/>
        </w:rPr>
      </w:pPr>
      <w:r w:rsidRPr="005A72E6">
        <w:rPr>
          <w:rFonts w:ascii="Times New Roman" w:eastAsia="Times New Roman" w:hAnsi="Times New Roman"/>
        </w:rPr>
        <w:t>All of the separate account assets supporting the contracts</w:t>
      </w:r>
      <w:r>
        <w:rPr>
          <w:rFonts w:ascii="Times New Roman" w:eastAsia="Times New Roman" w:hAnsi="Times New Roman"/>
        </w:rPr>
        <w:t>;</w:t>
      </w:r>
    </w:p>
    <w:p w14:paraId="3C4C3408" w14:textId="257170B2" w:rsidR="005A72E6" w:rsidRDefault="005A72E6" w:rsidP="00E87EFC">
      <w:pPr>
        <w:pStyle w:val="ListParagraph"/>
        <w:numPr>
          <w:ilvl w:val="0"/>
          <w:numId w:val="34"/>
        </w:numPr>
        <w:spacing w:after="220" w:line="240" w:lineRule="auto"/>
        <w:rPr>
          <w:rFonts w:ascii="Times New Roman" w:eastAsia="Times New Roman" w:hAnsi="Times New Roman"/>
        </w:rPr>
      </w:pPr>
      <w:r>
        <w:rPr>
          <w:rFonts w:ascii="Times New Roman" w:eastAsia="Times New Roman" w:hAnsi="Times New Roman"/>
        </w:rPr>
        <w:t>Any hedge assets held in support of the guarantees in the contracts being valued</w:t>
      </w:r>
      <w:r>
        <w:rPr>
          <w:rStyle w:val="FootnoteReference"/>
          <w:rFonts w:ascii="Times New Roman" w:eastAsia="Times New Roman" w:hAnsi="Times New Roman"/>
        </w:rPr>
        <w:footnoteReference w:id="2"/>
      </w:r>
      <w:r>
        <w:rPr>
          <w:rFonts w:ascii="Times New Roman" w:eastAsia="Times New Roman" w:hAnsi="Times New Roman"/>
        </w:rPr>
        <w:t>; and</w:t>
      </w:r>
    </w:p>
    <w:p w14:paraId="2A8482BB" w14:textId="0BFD2DD1" w:rsidR="005A72E6" w:rsidRPr="005A72E6" w:rsidRDefault="005A72E6" w:rsidP="00067EEF">
      <w:pPr>
        <w:pStyle w:val="ListParagraph"/>
        <w:numPr>
          <w:ilvl w:val="0"/>
          <w:numId w:val="34"/>
        </w:numPr>
        <w:spacing w:after="220" w:line="240" w:lineRule="auto"/>
        <w:rPr>
          <w:rFonts w:ascii="Times New Roman" w:eastAsia="Times New Roman" w:hAnsi="Times New Roman"/>
        </w:rPr>
      </w:pPr>
      <w:r w:rsidRPr="00BA5485">
        <w:rPr>
          <w:rFonts w:ascii="Times New Roman" w:eastAsia="Times New Roman" w:hAnsi="Times New Roman"/>
        </w:rPr>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(i) and (ii).</w:t>
      </w:r>
    </w:p>
    <w:p w14:paraId="402DF8D7" w14:textId="683899D7" w:rsidR="00CC2E32" w:rsidRPr="00BA5485" w:rsidRDefault="00CC2E32" w:rsidP="00600360">
      <w:pPr>
        <w:spacing w:after="220" w:line="240" w:lineRule="auto"/>
        <w:ind w:left="2160" w:hanging="720"/>
        <w:rPr>
          <w:rFonts w:ascii="Times New Roman" w:eastAsia="Times New Roman" w:hAnsi="Times New Roman"/>
        </w:rPr>
      </w:pPr>
    </w:p>
    <w:p w14:paraId="3EB01CFB" w14:textId="72BA1E35" w:rsidR="00CC2E32" w:rsidRDefault="007E286A" w:rsidP="00067EEF">
      <w:pPr>
        <w:pStyle w:val="ListParagraph"/>
        <w:numPr>
          <w:ilvl w:val="0"/>
          <w:numId w:val="35"/>
        </w:numPr>
        <w:spacing w:after="220" w:line="240" w:lineRule="auto"/>
        <w:ind w:left="2160" w:hanging="720"/>
        <w:rPr>
          <w:rFonts w:ascii="Times New Roman" w:eastAsia="Times New Roman" w:hAnsi="Times New Roman"/>
        </w:rPr>
      </w:pPr>
      <w:r w:rsidRPr="005A72E6">
        <w:rPr>
          <w:rFonts w:ascii="Times New Roman" w:eastAsia="Times New Roman" w:hAnsi="Times New Roman"/>
        </w:rPr>
        <w:t>If</w:t>
      </w:r>
      <w:r w:rsidR="00CC2E32" w:rsidRPr="005A72E6">
        <w:rPr>
          <w:rFonts w:ascii="Times New Roman" w:eastAsia="Times New Roman" w:hAnsi="Times New Roman"/>
        </w:rPr>
        <w:t xml:space="preserve"> the </w:t>
      </w:r>
      <w:r w:rsidR="00EC1A67" w:rsidRPr="005A72E6">
        <w:rPr>
          <w:rFonts w:ascii="Times New Roman" w:eastAsia="Times New Roman" w:hAnsi="Times New Roman"/>
        </w:rPr>
        <w:t xml:space="preserve">amount of </w:t>
      </w:r>
      <w:r w:rsidR="00CC2E32" w:rsidRPr="005A72E6">
        <w:rPr>
          <w:rFonts w:ascii="Times New Roman" w:eastAsia="Times New Roman" w:hAnsi="Times New Roman"/>
        </w:rPr>
        <w:t xml:space="preserve">initial general account assets </w:t>
      </w:r>
      <w:r w:rsidR="00E51827" w:rsidRPr="005A72E6">
        <w:rPr>
          <w:rFonts w:ascii="Times New Roman" w:eastAsia="Times New Roman" w:hAnsi="Times New Roman"/>
        </w:rPr>
        <w:t>is</w:t>
      </w:r>
      <w:r w:rsidR="00CC2E32" w:rsidRPr="005A72E6">
        <w:rPr>
          <w:rFonts w:ascii="Times New Roman" w:eastAsia="Times New Roman" w:hAnsi="Times New Roman"/>
        </w:rPr>
        <w:t xml:space="preserve"> negative, </w:t>
      </w:r>
      <w:r w:rsidRPr="005A72E6">
        <w:rPr>
          <w:rFonts w:ascii="Times New Roman" w:eastAsia="Times New Roman" w:hAnsi="Times New Roman"/>
        </w:rPr>
        <w:t>th</w:t>
      </w:r>
      <w:r w:rsidR="00E51827" w:rsidRPr="005A72E6">
        <w:rPr>
          <w:rFonts w:ascii="Times New Roman" w:eastAsia="Times New Roman" w:hAnsi="Times New Roman"/>
        </w:rPr>
        <w:t xml:space="preserve">e model should reflect </w:t>
      </w:r>
      <w:r w:rsidR="00CC2E32" w:rsidRPr="005A72E6">
        <w:rPr>
          <w:rFonts w:ascii="Times New Roman" w:eastAsia="Times New Roman" w:hAnsi="Times New Roman"/>
        </w:rPr>
        <w:t xml:space="preserve">a </w:t>
      </w:r>
      <w:r w:rsidR="00CC2E32" w:rsidRPr="005A72E6">
        <w:rPr>
          <w:rFonts w:ascii="Times New Roman" w:eastAsia="Times New Roman" w:hAnsi="Times New Roman"/>
        </w:rPr>
        <w:lastRenderedPageBreak/>
        <w:t>projected interest expense. General account assets chosen for use as described above shall be selected on a consistent basis from one reserve valuation hereunder to the next.</w:t>
      </w:r>
    </w:p>
    <w:p w14:paraId="3DA30B14" w14:textId="6925D548" w:rsidR="00256E9D" w:rsidRDefault="00256E9D" w:rsidP="00256E9D">
      <w:pPr>
        <w:pStyle w:val="ListParagraph"/>
        <w:spacing w:after="220" w:line="240" w:lineRule="auto"/>
        <w:ind w:left="2160"/>
        <w:rPr>
          <w:rFonts w:ascii="Times New Roman" w:eastAsia="Times New Roman" w:hAnsi="Times New Roman"/>
        </w:rPr>
      </w:pPr>
    </w:p>
    <w:p w14:paraId="62CFE628" w14:textId="6FCE5CAC" w:rsidR="00CC2E32" w:rsidRPr="0060001D" w:rsidRDefault="00CC2E32" w:rsidP="00067EEF">
      <w:pPr>
        <w:pStyle w:val="ListParagraph"/>
        <w:numPr>
          <w:ilvl w:val="0"/>
          <w:numId w:val="35"/>
        </w:numPr>
        <w:spacing w:after="220" w:line="240" w:lineRule="auto"/>
        <w:ind w:left="2160" w:hanging="720"/>
        <w:rPr>
          <w:rFonts w:ascii="Times New Roman" w:eastAsia="Times New Roman" w:hAnsi="Times New Roman"/>
        </w:rPr>
      </w:pPr>
      <w:r w:rsidRPr="0060001D">
        <w:rPr>
          <w:rFonts w:ascii="Times New Roman" w:eastAsia="Times New Roman" w:hAnsi="Times New Roman"/>
        </w:rPr>
        <w:t>To the extent the sum of the value of hedge assets</w:t>
      </w:r>
      <w:r w:rsidRPr="00067EEF">
        <w:t xml:space="preserve"> </w:t>
      </w:r>
      <w:r w:rsidRPr="0060001D">
        <w:rPr>
          <w:rFonts w:ascii="Times New Roman" w:eastAsia="Times New Roman" w:hAnsi="Times New Roman"/>
        </w:rPr>
        <w:t xml:space="preserve">, or cash or other general account assets in an amount equal to the aggregate market value of such hedge assets, and the value of separate account assets supporting the contracts is greater than the approximate value of statutory reserves as of the start of the projections, then the </w:t>
      </w:r>
      <w:r w:rsidR="00FA5FBF" w:rsidRPr="0060001D">
        <w:rPr>
          <w:rFonts w:ascii="Times New Roman" w:eastAsia="Times New Roman" w:hAnsi="Times New Roman"/>
        </w:rPr>
        <w:t>company</w:t>
      </w:r>
      <w:r w:rsidRPr="0060001D">
        <w:rPr>
          <w:rFonts w:ascii="Times New Roman" w:eastAsia="Times New Roman" w:hAnsi="Times New Roman"/>
        </w:rPr>
        <w:t xml:space="preserve"> shall include enough negative general account assets or cash such that the starting asset amount equals the approximate value of statutory reserves as of the start of the projections.</w:t>
      </w:r>
    </w:p>
    <w:p w14:paraId="5CBD708F" w14:textId="76AD7EA2" w:rsidR="00CC2E32" w:rsidRPr="00256E9D" w:rsidRDefault="00CC2E32" w:rsidP="00E87EFC">
      <w:pPr>
        <w:pStyle w:val="ListParagraph"/>
        <w:numPr>
          <w:ilvl w:val="0"/>
          <w:numId w:val="35"/>
        </w:numPr>
        <w:spacing w:after="220" w:line="240" w:lineRule="auto"/>
        <w:ind w:left="2250" w:hanging="810"/>
        <w:rPr>
          <w:rFonts w:ascii="Times New Roman" w:eastAsia="Times New Roman" w:hAnsi="Times New Roman"/>
        </w:rPr>
      </w:pPr>
      <w:r w:rsidRPr="00256E9D">
        <w:rPr>
          <w:rFonts w:ascii="Times New Roman" w:eastAsia="Times New Roman" w:hAnsi="Times New Roman"/>
        </w:rPr>
        <w:t>For an asset portfolio that supports</w:t>
      </w:r>
      <w:r w:rsidR="00256E9D">
        <w:rPr>
          <w:rFonts w:ascii="Times New Roman" w:eastAsia="Times New Roman" w:hAnsi="Times New Roman"/>
        </w:rPr>
        <w:t xml:space="preserve"> both</w:t>
      </w:r>
      <w:r w:rsidRPr="00256E9D">
        <w:rPr>
          <w:rFonts w:ascii="Times New Roman" w:eastAsia="Times New Roman" w:hAnsi="Times New Roman"/>
        </w:rPr>
        <w:t xml:space="preserve"> </w:t>
      </w:r>
      <w:r w:rsidR="00F71D15" w:rsidRPr="00256E9D">
        <w:rPr>
          <w:rFonts w:ascii="Times New Roman" w:eastAsia="Times New Roman" w:hAnsi="Times New Roman"/>
        </w:rPr>
        <w:t xml:space="preserve">policies and </w:t>
      </w:r>
      <w:r w:rsidR="009D310F" w:rsidRPr="00256E9D">
        <w:rPr>
          <w:rFonts w:ascii="Times New Roman" w:eastAsia="Times New Roman" w:hAnsi="Times New Roman"/>
        </w:rPr>
        <w:t>contracts</w:t>
      </w:r>
      <w:r w:rsidRPr="00256E9D">
        <w:rPr>
          <w:rFonts w:ascii="Times New Roman" w:eastAsia="Times New Roman" w:hAnsi="Times New Roman"/>
        </w:rPr>
        <w:t xml:space="preserve"> that are</w:t>
      </w:r>
      <w:r w:rsidR="00330606" w:rsidRPr="00256E9D">
        <w:rPr>
          <w:rFonts w:ascii="Times New Roman" w:eastAsia="Times New Roman" w:hAnsi="Times New Roman"/>
        </w:rPr>
        <w:t xml:space="preserve"> </w:t>
      </w:r>
      <w:r w:rsidRPr="00256E9D">
        <w:rPr>
          <w:rFonts w:ascii="Times New Roman" w:eastAsia="Times New Roman" w:hAnsi="Times New Roman"/>
        </w:rPr>
        <w:t xml:space="preserve">subject and not subject to these requirements, the </w:t>
      </w:r>
      <w:r w:rsidR="00543F27" w:rsidRPr="00256E9D">
        <w:rPr>
          <w:rFonts w:ascii="Times New Roman" w:eastAsia="Times New Roman" w:hAnsi="Times New Roman"/>
        </w:rPr>
        <w:t xml:space="preserve">company </w:t>
      </w:r>
      <w:r w:rsidRPr="00256E9D">
        <w:rPr>
          <w:rFonts w:ascii="Times New Roman" w:eastAsia="Times New Roman" w:hAnsi="Times New Roman"/>
        </w:rPr>
        <w:t xml:space="preserve">shall determine an equitable method to apportion the total amount of starting assets between </w:t>
      </w:r>
      <w:r w:rsidR="00256E9D">
        <w:rPr>
          <w:rFonts w:ascii="Times New Roman" w:eastAsia="Times New Roman" w:hAnsi="Times New Roman"/>
        </w:rPr>
        <w:t>the subject and non-subject policies and contracts</w:t>
      </w:r>
      <w:r w:rsidR="00330606" w:rsidRPr="00256E9D">
        <w:rPr>
          <w:rFonts w:ascii="Times New Roman" w:eastAsia="Times New Roman" w:hAnsi="Times New Roman"/>
        </w:rPr>
        <w:t xml:space="preserve">.  </w:t>
      </w:r>
    </w:p>
    <w:p w14:paraId="6A940A9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3290E4B7" w:rsidR="00CC2E32" w:rsidRDefault="00CC2E32" w:rsidP="00CC2E32">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w:t>
      </w:r>
      <w:r w:rsidR="00256E9D">
        <w:rPr>
          <w:rFonts w:ascii="Times New Roman" w:eastAsia="Times New Roman" w:hAnsi="Times New Roman"/>
        </w:rPr>
        <w:t>an appropriate manner elected</w:t>
      </w:r>
      <w:r w:rsidRPr="00622370">
        <w:rPr>
          <w:rFonts w:ascii="Times New Roman" w:eastAsia="Times New Roman" w:hAnsi="Times New Roman"/>
        </w:rPr>
        <w:t xml:space="preserve"> by the </w:t>
      </w:r>
      <w:r w:rsidR="00FA5FBF">
        <w:rPr>
          <w:rFonts w:ascii="Times New Roman" w:eastAsia="Times New Roman" w:hAnsi="Times New Roman"/>
        </w:rPr>
        <w:t>company</w:t>
      </w:r>
      <w:r w:rsidRPr="00622370">
        <w:rPr>
          <w:rFonts w:ascii="Times New Roman" w:eastAsia="Times New Roman" w:hAnsi="Times New Roman"/>
        </w:rPr>
        <w:t>.</w:t>
      </w:r>
    </w:p>
    <w:p w14:paraId="32B20F08" w14:textId="77777777" w:rsidR="00CC2E32" w:rsidRPr="00BA5485" w:rsidRDefault="00CC2E32" w:rsidP="00067EEF">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506A7CD9"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r w:rsidR="00DB59A3">
        <w:rPr>
          <w:rFonts w:ascii="Times New Roman" w:eastAsia="Times New Roman" w:hAnsi="Times New Roman"/>
        </w:rPr>
        <w:t>4</w:t>
      </w:r>
      <w:r>
        <w:rPr>
          <w:rFonts w:ascii="Times New Roman" w:eastAsia="Times New Roman" w:hAnsi="Times New Roman"/>
        </w:rPr>
        <w:t>.D.1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r w:rsidR="00DB59A3">
        <w:rPr>
          <w:rFonts w:ascii="Times New Roman" w:eastAsia="Times New Roman" w:hAnsi="Times New Roman"/>
        </w:rPr>
        <w:t>4</w:t>
      </w:r>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r w:rsidR="00FA5FBF">
        <w:rPr>
          <w:rFonts w:ascii="Times New Roman" w:eastAsia="Times New Roman" w:hAnsi="Times New Roman"/>
        </w:rPr>
        <w:t>company</w:t>
      </w:r>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r w:rsidR="00DB59A3">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7F82EEB3" w:rsidR="00CC2E32" w:rsidRPr="00BA5485" w:rsidRDefault="00A36744" w:rsidP="00067EEF">
      <w:pPr>
        <w:spacing w:after="220" w:line="240" w:lineRule="auto"/>
        <w:ind w:left="1800" w:hanging="36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CC2E32" w:rsidRPr="00BA5485">
        <w:rPr>
          <w:rFonts w:ascii="Times New Roman" w:eastAsia="Times New Roman" w:hAnsi="Times New Roman"/>
        </w:rPr>
        <w:t xml:space="preserve">General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r w:rsidR="00CC2E32" w:rsidRPr="00A468C5">
        <w:rPr>
          <w:rFonts w:ascii="Times New Roman" w:eastAsia="Times New Roman" w:hAnsi="Times New Roman"/>
        </w:rPr>
        <w:t>in a manner that is representative of and consistent with</w:t>
      </w:r>
      <w:r w:rsidR="00CC2E32" w:rsidRPr="00BA5485">
        <w:rPr>
          <w:rFonts w:ascii="Times New Roman" w:eastAsia="Times New Roman" w:hAnsi="Times New Roman"/>
        </w:rPr>
        <w:t xml:space="preserve"> the </w:t>
      </w:r>
      <w:r w:rsidR="00CC2E32">
        <w:rPr>
          <w:rFonts w:ascii="Times New Roman" w:eastAsia="Times New Roman" w:hAnsi="Times New Roman"/>
        </w:rPr>
        <w:t xml:space="preserve">company’s investment policy, subject to </w:t>
      </w:r>
      <w:r w:rsidR="00CC2E32" w:rsidRPr="00BA5485">
        <w:rPr>
          <w:rFonts w:ascii="Times New Roman" w:eastAsia="Times New Roman" w:hAnsi="Times New Roman"/>
        </w:rPr>
        <w:t>the following</w:t>
      </w:r>
      <w:r w:rsidR="00CC2E32">
        <w:rPr>
          <w:rFonts w:ascii="Times New Roman" w:eastAsia="Times New Roman" w:hAnsi="Times New Roman"/>
        </w:rPr>
        <w:t xml:space="preserve"> requirements</w:t>
      </w:r>
      <w:r w:rsidR="00CC2E32" w:rsidRPr="00BA5485">
        <w:rPr>
          <w:rFonts w:ascii="Times New Roman" w:eastAsia="Times New Roman" w:hAnsi="Times New Roman"/>
        </w:rPr>
        <w:t>:</w:t>
      </w:r>
    </w:p>
    <w:p w14:paraId="4F073B46" w14:textId="0AC28D8C" w:rsidR="00CC2E32" w:rsidRDefault="00CC2E32" w:rsidP="00B4207B">
      <w:pPr>
        <w:spacing w:after="220" w:line="240" w:lineRule="auto"/>
        <w:rPr>
          <w:rFonts w:ascii="Times New Roman" w:eastAsia="Times New Roman" w:hAnsi="Times New Roman"/>
        </w:rPr>
      </w:pPr>
    </w:p>
    <w:p w14:paraId="6379B987" w14:textId="2BCC8AEA" w:rsidR="00CC2E32" w:rsidRPr="00A468C5" w:rsidRDefault="00A36744" w:rsidP="007A4D29">
      <w:pPr>
        <w:spacing w:after="220" w:line="240" w:lineRule="auto"/>
        <w:ind w:left="2160" w:hanging="360"/>
        <w:rPr>
          <w:rFonts w:ascii="Times New Roman" w:eastAsia="Times New Roman" w:hAnsi="Times New Roman"/>
        </w:rPr>
      </w:pPr>
      <w:r>
        <w:rPr>
          <w:rFonts w:ascii="Times New Roman" w:eastAsia="Times New Roman" w:hAnsi="Times New Roman"/>
        </w:rPr>
        <w:t>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p>
    <w:p w14:paraId="4FCF6CB9" w14:textId="60F9ECA0" w:rsidR="00CC2E32" w:rsidRPr="00A468C5" w:rsidRDefault="00A36744" w:rsidP="007A4D29">
      <w:pPr>
        <w:spacing w:after="220" w:line="240" w:lineRule="auto"/>
        <w:ind w:left="2160" w:hanging="360"/>
        <w:rPr>
          <w:rFonts w:ascii="Times New Roman" w:eastAsia="Times New Roman" w:hAnsi="Times New Roman"/>
        </w:rPr>
      </w:pPr>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p>
    <w:p w14:paraId="638AD8A3" w14:textId="33EFDB2C" w:rsidR="00CC2E32" w:rsidRPr="00A468C5" w:rsidRDefault="00A36744" w:rsidP="007A4D29">
      <w:pPr>
        <w:spacing w:after="220" w:line="240" w:lineRule="auto"/>
        <w:ind w:left="2160" w:hanging="360"/>
        <w:rPr>
          <w:rFonts w:ascii="Times New Roman" w:eastAsia="Times New Roman" w:hAnsi="Times New Roman"/>
        </w:rPr>
      </w:pPr>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lastRenderedPageBreak/>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p>
    <w:p w14:paraId="60A5C07A" w14:textId="3A1DCC19" w:rsidR="00CC2E32" w:rsidRPr="00A468C5" w:rsidRDefault="00A36744" w:rsidP="007A4D29">
      <w:pPr>
        <w:spacing w:after="220" w:line="240" w:lineRule="auto"/>
        <w:ind w:left="2160" w:hanging="360"/>
        <w:rPr>
          <w:rFonts w:ascii="Times New Roman" w:eastAsia="Times New Roman" w:hAnsi="Times New Roman"/>
        </w:rPr>
      </w:pPr>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00CC2E32" w:rsidRPr="00A468C5">
        <w:rPr>
          <w:rFonts w:ascii="Times New Roman" w:eastAsia="Times New Roman" w:hAnsi="Times New Roman"/>
        </w:rPr>
        <w:t xml:space="preserve"> for interest rate swap spreads;</w:t>
      </w:r>
    </w:p>
    <w:p w14:paraId="51D5EB4D" w14:textId="4DC54CB9" w:rsidR="00CC2E32" w:rsidRPr="00A468C5" w:rsidRDefault="00A36744" w:rsidP="007A4D29">
      <w:pPr>
        <w:spacing w:after="220" w:line="240" w:lineRule="auto"/>
        <w:ind w:left="2160" w:hanging="360"/>
        <w:rPr>
          <w:rFonts w:ascii="Times New Roman" w:eastAsia="Times New Roman" w:hAnsi="Times New Roman"/>
        </w:rPr>
      </w:pPr>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p>
    <w:p w14:paraId="2A3C49D8" w14:textId="77777777" w:rsidR="005473E5" w:rsidRDefault="006176C4" w:rsidP="00E06E49">
      <w:pPr>
        <w:spacing w:after="220" w:line="240" w:lineRule="auto"/>
        <w:ind w:left="1800" w:hanging="360"/>
        <w:rPr>
          <w:rFonts w:ascii="Times New Roman" w:eastAsia="Times New Roman" w:hAnsi="Times New Roman"/>
        </w:rPr>
      </w:pPr>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p>
    <w:p w14:paraId="16B0C0CB" w14:textId="7B86E2F1" w:rsidR="00CC2E32" w:rsidRPr="00455EA5" w:rsidRDefault="005473E5" w:rsidP="007A4D29">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p>
    <w:p w14:paraId="2479DCF0" w14:textId="37F992C4" w:rsidR="003261C7" w:rsidRPr="00E119CC" w:rsidRDefault="003261C7" w:rsidP="007A4D29">
      <w:pPr>
        <w:spacing w:after="220" w:line="240" w:lineRule="auto"/>
        <w:ind w:left="2160"/>
        <w:rPr>
          <w:rFonts w:ascii="Times New Roman" w:eastAsia="Times New Roman" w:hAnsi="Times New Roman"/>
        </w:rPr>
      </w:pPr>
      <w:r w:rsidRPr="0060001D">
        <w:rPr>
          <w:rFonts w:ascii="Times New Roman" w:hAnsi="Times New Roman"/>
        </w:rPr>
        <w:t>Policy loans, equities and derivative instruments associated with the execution of a clearly defined hedging strategy are not affected by this requirement.</w:t>
      </w:r>
    </w:p>
    <w:p w14:paraId="34EEADB6" w14:textId="07D05EF0" w:rsidR="00390030" w:rsidRDefault="006176C4" w:rsidP="007A4D29">
      <w:pPr>
        <w:spacing w:after="220" w:line="240" w:lineRule="auto"/>
        <w:ind w:left="1800" w:hanging="360"/>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F62AD1">
        <w:rPr>
          <w:rFonts w:ascii="Times New Roman" w:eastAsia="Times New Roman" w:hAnsi="Times New Roman"/>
        </w:rPr>
        <w:t>, provided that the assumed cost of borrowing is not lower than the rate at which positive cash flows are reinvested in the same time period</w:t>
      </w:r>
      <w:r w:rsidR="00CC2E32" w:rsidRPr="00455EA5">
        <w:rPr>
          <w:rFonts w:ascii="Times New Roman" w:eastAsia="Times New Roman" w:hAnsi="Times New Roman"/>
        </w:rPr>
        <w:t xml:space="preserve">. Gross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p>
    <w:p w14:paraId="79ACAC85" w14:textId="77777777" w:rsidR="00DF20C2" w:rsidRPr="00455EA5" w:rsidRDefault="00DF20C2" w:rsidP="00DF20C2">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Pr>
          <w:rFonts w:ascii="Times New Roman" w:eastAsia="Times New Roman" w:hAnsi="Times New Roman"/>
        </w:rPr>
        <w:t xml:space="preserve">Drafting </w:t>
      </w:r>
      <w:r w:rsidRPr="00455EA5">
        <w:rPr>
          <w:rFonts w:ascii="Times New Roman" w:eastAsia="Times New Roman" w:hAnsi="Times New Roman"/>
        </w:rPr>
        <w:t>Note:  this limitation is being referred to LATF for review.</w:t>
      </w:r>
    </w:p>
    <w:p w14:paraId="6E33E723" w14:textId="77777777" w:rsidR="00CC2E32" w:rsidRDefault="00CC2E32" w:rsidP="00CC2E32">
      <w:pPr>
        <w:spacing w:after="220" w:line="240" w:lineRule="auto"/>
        <w:ind w:left="1440" w:hanging="720"/>
        <w:rPr>
          <w:rFonts w:ascii="Times New Roman" w:eastAsia="Times New Roman" w:hAnsi="Times New Roman"/>
        </w:rPr>
      </w:pPr>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p>
    <w:p w14:paraId="58371430" w14:textId="635ACC60" w:rsidR="00CC2E32" w:rsidRPr="00A468C5" w:rsidRDefault="004A11AA" w:rsidP="00695342">
      <w:pPr>
        <w:spacing w:after="220" w:line="240" w:lineRule="auto"/>
        <w:ind w:left="1800" w:hanging="36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p>
    <w:p w14:paraId="540E539F" w14:textId="42F59121" w:rsidR="00CC2E32" w:rsidRPr="004A11AA" w:rsidRDefault="00CC2E32" w:rsidP="00E87EFC">
      <w:pPr>
        <w:pStyle w:val="ListParagraph"/>
        <w:numPr>
          <w:ilvl w:val="1"/>
          <w:numId w:val="29"/>
        </w:numPr>
        <w:spacing w:after="220" w:line="240" w:lineRule="auto"/>
        <w:ind w:left="2520"/>
        <w:rPr>
          <w:rFonts w:ascii="Times New Roman" w:eastAsia="Times New Roman" w:hAnsi="Times New Roman"/>
        </w:rPr>
      </w:pPr>
      <w:r w:rsidRPr="004A11AA">
        <w:rPr>
          <w:rFonts w:ascii="Times New Roman" w:eastAsia="Times New Roman" w:hAnsi="Times New Roman"/>
        </w:rPr>
        <w:t>Model gross investment income and principal repayments in accordance with the contractual provisions of each asset and in a manner consistent with each scenario.</w:t>
      </w:r>
    </w:p>
    <w:p w14:paraId="44AAE0F7" w14:textId="3D9D7737" w:rsidR="00CC2E32" w:rsidRPr="004A11AA" w:rsidRDefault="00CC2E32" w:rsidP="00E87EFC">
      <w:pPr>
        <w:pStyle w:val="ListParagraph"/>
        <w:numPr>
          <w:ilvl w:val="1"/>
          <w:numId w:val="29"/>
        </w:numPr>
        <w:spacing w:after="220" w:line="240" w:lineRule="auto"/>
        <w:ind w:left="2520"/>
        <w:rPr>
          <w:rFonts w:ascii="Times New Roman" w:eastAsia="Times New Roman" w:hAnsi="Times New Roman"/>
        </w:rPr>
      </w:pPr>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p>
    <w:p w14:paraId="6A853447" w14:textId="6A2C423A" w:rsidR="00CC2E32" w:rsidRPr="004A11AA" w:rsidRDefault="00CC2E32" w:rsidP="00E87EFC">
      <w:pPr>
        <w:pStyle w:val="ListParagraph"/>
        <w:numPr>
          <w:ilvl w:val="1"/>
          <w:numId w:val="29"/>
        </w:numPr>
        <w:spacing w:after="220" w:line="240" w:lineRule="auto"/>
        <w:ind w:left="2520"/>
        <w:rPr>
          <w:rFonts w:ascii="Times New Roman" w:eastAsia="Times New Roman" w:hAnsi="Times New Roman"/>
        </w:rPr>
      </w:pPr>
      <w:r w:rsidRPr="004A11AA">
        <w:rPr>
          <w:rFonts w:ascii="Times New Roman" w:eastAsia="Times New Roman" w:hAnsi="Times New Roman"/>
        </w:rPr>
        <w:t>Model the proceeds arising from modeled asset sales and determine the portion representing any realized capital gains and losses.</w:t>
      </w:r>
    </w:p>
    <w:p w14:paraId="13336BC0" w14:textId="3DA54E29" w:rsidR="00CC2E32" w:rsidRPr="004A11AA" w:rsidRDefault="00CC2E32" w:rsidP="00E87EFC">
      <w:pPr>
        <w:pStyle w:val="ListParagraph"/>
        <w:numPr>
          <w:ilvl w:val="1"/>
          <w:numId w:val="29"/>
        </w:numPr>
        <w:spacing w:after="220" w:line="240" w:lineRule="auto"/>
        <w:ind w:left="2520"/>
        <w:rPr>
          <w:rFonts w:ascii="Times New Roman" w:eastAsia="Times New Roman" w:hAnsi="Times New Roman"/>
        </w:rPr>
      </w:pPr>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p>
    <w:p w14:paraId="36B96411" w14:textId="048F1412" w:rsidR="00CC2E32" w:rsidRPr="00A468C5" w:rsidRDefault="004A11AA" w:rsidP="007A4D29">
      <w:pPr>
        <w:spacing w:after="220" w:line="240" w:lineRule="auto"/>
        <w:ind w:left="1800" w:hanging="360"/>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p>
    <w:p w14:paraId="0140A650" w14:textId="0EB61CF2" w:rsidR="00CC2E32" w:rsidRPr="004A11AA"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4A11AA">
        <w:rPr>
          <w:rFonts w:ascii="Times New Roman" w:eastAsia="Times New Roman" w:hAnsi="Times New Roman"/>
        </w:rPr>
        <w:lastRenderedPageBreak/>
        <w:t xml:space="preserve">Determine the grouping for asset categories and the allocation of specific assets to each category in a manner that is consistent with that used for </w:t>
      </w:r>
      <w:r w:rsidR="00F62AD1">
        <w:rPr>
          <w:rFonts w:ascii="Times New Roman" w:eastAsia="Times New Roman" w:hAnsi="Times New Roman"/>
        </w:rPr>
        <w:t>s</w:t>
      </w:r>
      <w:r w:rsidRPr="004A11AA">
        <w:rPr>
          <w:rFonts w:ascii="Times New Roman" w:eastAsia="Times New Roman" w:hAnsi="Times New Roman"/>
        </w:rPr>
        <w:t xml:space="preserve">eparate </w:t>
      </w:r>
      <w:r w:rsidR="00F62AD1">
        <w:rPr>
          <w:rFonts w:ascii="Times New Roman" w:eastAsia="Times New Roman" w:hAnsi="Times New Roman"/>
        </w:rPr>
        <w:t>a</w:t>
      </w:r>
      <w:r w:rsidRPr="004A11AA">
        <w:rPr>
          <w:rFonts w:ascii="Times New Roman" w:eastAsia="Times New Roman" w:hAnsi="Times New Roman"/>
        </w:rPr>
        <w:t xml:space="preserve">ccount Assets, as discussed in Section </w:t>
      </w:r>
      <w:r w:rsidR="00A211B8">
        <w:rPr>
          <w:rFonts w:ascii="Times New Roman" w:eastAsia="Times New Roman" w:hAnsi="Times New Roman"/>
        </w:rPr>
        <w:t>4</w:t>
      </w:r>
      <w:r w:rsidRPr="004A11AA">
        <w:rPr>
          <w:rFonts w:ascii="Times New Roman" w:eastAsia="Times New Roman" w:hAnsi="Times New Roman"/>
        </w:rPr>
        <w:t>.A.2.</w:t>
      </w:r>
    </w:p>
    <w:p w14:paraId="2DA0C4C6" w14:textId="40221D0A" w:rsidR="00CC2E32" w:rsidRPr="004A11AA"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4A11AA">
        <w:rPr>
          <w:rFonts w:ascii="Times New Roman" w:eastAsia="Times New Roman" w:hAnsi="Times New Roman"/>
        </w:rPr>
        <w:t>Project the gross investment return including realized and unrealized capital gains in a manner that is consistent with the stochastically generated scenarios.</w:t>
      </w:r>
    </w:p>
    <w:p w14:paraId="0BA9A3DB" w14:textId="3B924697" w:rsidR="00CC2E32" w:rsidRPr="004A11AA"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p>
    <w:p w14:paraId="05FFC212" w14:textId="6B13A173" w:rsidR="00CC2E32" w:rsidRPr="00BA5485" w:rsidRDefault="00CC2E32" w:rsidP="00067EEF">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r w:rsidRPr="004827A5">
        <w:t xml:space="preserve"> </w:t>
      </w:r>
      <w:r w:rsidRPr="004827A5">
        <w:rPr>
          <w:rFonts w:ascii="Times New Roman" w:eastAsia="Times New Roman" w:hAnsi="Times New Roman"/>
        </w:rPr>
        <w:t>and GMWBs</w:t>
      </w:r>
      <w:r w:rsidRPr="00BA5485">
        <w:rPr>
          <w:rFonts w:ascii="Times New Roman" w:eastAsia="Times New Roman" w:hAnsi="Times New Roman"/>
        </w:rPr>
        <w:t>)</w:t>
      </w:r>
    </w:p>
    <w:p w14:paraId="3FC4DC8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6528860E"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For purposes of projecting annuitization benefits (including annuitizations stemming from the election of a GMIB)</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p>
    <w:p w14:paraId="1A3D963F" w14:textId="77777777" w:rsidR="00CC2E32" w:rsidRPr="00A716C0" w:rsidRDefault="00CC2E32" w:rsidP="00067EEF">
      <w:pPr>
        <w:spacing w:after="0" w:line="240" w:lineRule="auto"/>
        <w:ind w:left="2260"/>
        <w:rPr>
          <w:rFonts w:ascii="Times New Roman" w:hAnsi="Times New Roman"/>
          <w:sz w:val="20"/>
          <w:szCs w:val="20"/>
        </w:rPr>
      </w:pPr>
    </w:p>
    <w:p w14:paraId="47B9B698" w14:textId="46E07824" w:rsidR="00CC2E32" w:rsidRPr="0036322F" w:rsidRDefault="00CC2E32" w:rsidP="00067EEF">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w:t>
      </w:r>
      <w:r w:rsidR="005C48C2">
        <w:rPr>
          <w:rFonts w:ascii="Times New Roman" w:eastAsia="Times New Roman" w:hAnsi="Times New Roman"/>
        </w:rPr>
        <w:t xml:space="preserve">GMIBs, GMWBs </w:t>
      </w:r>
      <w:r w:rsidRPr="0036322F">
        <w:rPr>
          <w:rFonts w:ascii="Times New Roman" w:eastAsia="Times New Roman" w:hAnsi="Times New Roman"/>
        </w:rPr>
        <w:t xml:space="preserve">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B11BB9C" w:rsidR="00CC2E32" w:rsidRPr="0036322F" w:rsidRDefault="00DD7491" w:rsidP="00067EEF">
      <w:pPr>
        <w:tabs>
          <w:tab w:val="left" w:pos="9180"/>
          <w:tab w:val="left" w:pos="9720"/>
        </w:tabs>
        <w:spacing w:after="220" w:line="240" w:lineRule="auto"/>
        <w:ind w:left="1800" w:hanging="360"/>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rPr>
        <w:tab/>
      </w:r>
      <w:r w:rsidR="00CC2E32" w:rsidRPr="0036322F">
        <w:rPr>
          <w:rFonts w:ascii="Times New Roman" w:eastAsia="Times New Roman" w:hAnsi="Times New Roman"/>
        </w:rPr>
        <w:t>For contracts projected to elect annuitization options (including annuitizations stemming from the election of a GMIB)</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 xml:space="preserve">, the projections may assume one of the following at the </w:t>
      </w:r>
      <w:r w:rsidR="00FA5FBF">
        <w:rPr>
          <w:rFonts w:ascii="Times New Roman" w:eastAsia="Times New Roman" w:hAnsi="Times New Roman"/>
        </w:rPr>
        <w:t>compan</w:t>
      </w:r>
      <w:r w:rsidR="00FA5FBF" w:rsidRPr="0036322F">
        <w:rPr>
          <w:rFonts w:ascii="Times New Roman" w:eastAsia="Times New Roman" w:hAnsi="Times New Roman"/>
        </w:rPr>
        <w:t xml:space="preserve">y’s </w:t>
      </w:r>
      <w:r w:rsidR="00CC2E32" w:rsidRPr="0036322F">
        <w:rPr>
          <w:rFonts w:ascii="Times New Roman" w:eastAsia="Times New Roman" w:hAnsi="Times New Roman"/>
        </w:rPr>
        <w:t>option:</w:t>
      </w:r>
    </w:p>
    <w:p w14:paraId="761A5F5F" w14:textId="425705C5"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 xml:space="preserve">The contract is treated as if surrendered at an amount equal to the statutory reserve that would be required at such time </w:t>
      </w:r>
      <w:r w:rsidRPr="0060001D">
        <w:rPr>
          <w:rFonts w:ascii="Times New Roman" w:eastAsia="Times New Roman" w:hAnsi="Times New Roman"/>
        </w:rPr>
        <w:t xml:space="preserve">for </w:t>
      </w:r>
      <w:r w:rsidR="00E119CC" w:rsidRPr="0060001D">
        <w:rPr>
          <w:rFonts w:ascii="Times New Roman" w:eastAsia="Times New Roman" w:hAnsi="Times New Roman"/>
        </w:rPr>
        <w:t xml:space="preserve">a fixed </w:t>
      </w:r>
      <w:r w:rsidRPr="0060001D">
        <w:rPr>
          <w:rFonts w:ascii="Times New Roman" w:eastAsia="Times New Roman" w:hAnsi="Times New Roman"/>
        </w:rPr>
        <w:t>payout</w:t>
      </w:r>
      <w:r w:rsidRPr="0036322F">
        <w:rPr>
          <w:rFonts w:ascii="Times New Roman" w:eastAsia="Times New Roman" w:hAnsi="Times New Roman"/>
        </w:rPr>
        <w:t xml:space="preserve"> annuity benefit</w:t>
      </w:r>
      <w:r w:rsidR="004A11AA" w:rsidRPr="004A11AA">
        <w:rPr>
          <w:rFonts w:ascii="Times New Roman" w:eastAsia="Times New Roman" w:hAnsi="Times New Roman"/>
        </w:rPr>
        <w:t xml:space="preserve"> </w:t>
      </w:r>
      <w:r w:rsidR="004A11AA" w:rsidRPr="003160B2">
        <w:rPr>
          <w:rFonts w:ascii="Times New Roman" w:eastAsia="Times New Roman" w:hAnsi="Times New Roman"/>
        </w:rPr>
        <w:t xml:space="preserve">equivalent to the </w:t>
      </w:r>
      <w:r w:rsidR="00B31C82" w:rsidRPr="00B31C82">
        <w:rPr>
          <w:rFonts w:ascii="Times New Roman" w:eastAsia="Times New Roman" w:hAnsi="Times New Roman"/>
        </w:rPr>
        <w:t>guaranteed benefit amount (e.g. GMIB or GMWB benefit payments</w:t>
      </w:r>
      <w:r>
        <w:rPr>
          <w:rFonts w:ascii="Times New Roman" w:eastAsia="Times New Roman" w:hAnsi="Times New Roman"/>
        </w:rPr>
        <w:t>.</w:t>
      </w:r>
    </w:p>
    <w:p w14:paraId="6CC9A629" w14:textId="23C765B5"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r>
        <w:rPr>
          <w:rFonts w:ascii="Times New Roman" w:eastAsia="Times New Roman" w:hAnsi="Times New Roman"/>
        </w:rPr>
        <w:t xml:space="preserve"> and</w:t>
      </w:r>
      <w:r w:rsidRPr="0036322F">
        <w:rPr>
          <w:rFonts w:ascii="Times New Roman" w:eastAsia="Times New Roman" w:hAnsi="Times New Roman"/>
        </w:rPr>
        <w:t xml:space="preserve"> the projected periodic payments are paid</w:t>
      </w:r>
      <w:r>
        <w:rPr>
          <w:rFonts w:ascii="Times New Roman" w:eastAsia="Times New Roman" w:hAnsi="Times New Roman"/>
        </w:rPr>
        <w:t>.</w:t>
      </w:r>
    </w:p>
    <w:p w14:paraId="23A2D0AF" w14:textId="42B0A3DF" w:rsidR="00CC2E32" w:rsidRPr="00810D62" w:rsidRDefault="00CC2E32" w:rsidP="00067EEF">
      <w:pPr>
        <w:pStyle w:val="ListParagraph"/>
        <w:numPr>
          <w:ilvl w:val="1"/>
          <w:numId w:val="30"/>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r w:rsidR="00A211B8">
        <w:rPr>
          <w:rFonts w:ascii="Times New Roman" w:eastAsia="Times New Roman" w:hAnsi="Times New Roman"/>
        </w:rPr>
        <w:t>ii under Section 4.E.2.a above</w:t>
      </w:r>
      <w:r w:rsidRPr="00810D62">
        <w:rPr>
          <w:rFonts w:ascii="Times New Roman" w:eastAsia="Times New Roman" w:hAnsi="Times New Roman"/>
        </w:rPr>
        <w:t xml:space="preserve"> shall be used.</w:t>
      </w:r>
    </w:p>
    <w:p w14:paraId="0D056E32" w14:textId="3395A067" w:rsidR="00CC2E32" w:rsidRDefault="00DD7491" w:rsidP="00067EEF">
      <w:pPr>
        <w:widowControl w:val="0"/>
        <w:spacing w:after="220" w:line="240" w:lineRule="auto"/>
        <w:ind w:left="1800" w:hanging="360"/>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r>
      <w:r w:rsidR="00CC2E32" w:rsidRPr="0036322F">
        <w:rPr>
          <w:rFonts w:ascii="Times New Roman" w:eastAsia="Times New Roman" w:hAnsi="Times New Roman"/>
        </w:rPr>
        <w:t xml:space="preserve">Where mortality improvement is used to project future annuitization purchase rates, as discussed in </w:t>
      </w:r>
      <w:r>
        <w:rPr>
          <w:rFonts w:ascii="Times New Roman" w:eastAsia="Times New Roman" w:hAnsi="Times New Roman"/>
        </w:rPr>
        <w:t>Section 4.E.</w:t>
      </w:r>
      <w:r w:rsidR="00CC2E32" w:rsidRPr="0036322F">
        <w:rPr>
          <w:rFonts w:ascii="Times New Roman" w:eastAsia="Times New Roman" w:hAnsi="Times New Roman"/>
        </w:rPr>
        <w:t xml:space="preserve">1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r w:rsidR="00CB7F6A">
        <w:rPr>
          <w:rFonts w:ascii="Times New Roman" w:eastAsia="Times New Roman" w:hAnsi="Times New Roman"/>
        </w:rPr>
        <w:t>Section 4.E.2.a.</w:t>
      </w:r>
      <w:r>
        <w:rPr>
          <w:rFonts w:ascii="Times New Roman" w:eastAsia="Times New Roman" w:hAnsi="Times New Roman"/>
        </w:rPr>
        <w:t>i</w:t>
      </w:r>
      <w:r w:rsidR="00CC2E32" w:rsidRPr="0036322F">
        <w:rPr>
          <w:rFonts w:ascii="Times New Roman" w:eastAsia="Times New Roman" w:hAnsi="Times New Roman"/>
        </w:rPr>
        <w:t xml:space="preserve"> above or the projection of the periodic payments in </w:t>
      </w:r>
      <w:r w:rsidR="00CB7F6A">
        <w:rPr>
          <w:rFonts w:ascii="Times New Roman" w:eastAsia="Times New Roman" w:hAnsi="Times New Roman"/>
        </w:rPr>
        <w:t>Section 4.E.2.a.</w:t>
      </w:r>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rFonts w:ascii="Times New Roman" w:eastAsia="Times New Roman" w:hAnsi="Times New Roman"/>
        </w:rPr>
      </w:pPr>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p>
    <w:p w14:paraId="772B59DF" w14:textId="6D686A8D" w:rsidR="007C08AB" w:rsidRPr="00455EA5" w:rsidRDefault="00CC2E32" w:rsidP="00455EA5">
      <w:pPr>
        <w:widowControl w:val="0"/>
        <w:spacing w:after="220" w:line="240" w:lineRule="auto"/>
        <w:ind w:left="1440"/>
        <w:rPr>
          <w:rFonts w:ascii="Times New Roman" w:eastAsia="Times New Roman" w:hAnsi="Times New Roman"/>
        </w:rPr>
      </w:pPr>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 such that, in reflecting the projected statutory reserve of a payout annuity benefit in the future, the company must make a</w:t>
      </w:r>
      <w:r w:rsidR="00B31C82">
        <w:rPr>
          <w:rFonts w:ascii="Times New Roman" w:eastAsia="Times New Roman" w:hAnsi="Times New Roman"/>
        </w:rPr>
        <w:t xml:space="preserve"> reasonable and supportable</w:t>
      </w:r>
      <w:r w:rsidRPr="003160B2">
        <w:rPr>
          <w:rFonts w:ascii="Times New Roman" w:eastAsia="Times New Roman" w:hAnsi="Times New Roman"/>
        </w:rPr>
        <w:t xml:space="preserve"> assumption regarding this parameter.</w:t>
      </w:r>
    </w:p>
    <w:p w14:paraId="599111A8" w14:textId="1FFDF135" w:rsidR="00CC2E32" w:rsidRPr="0036322F" w:rsidRDefault="00CC2E32" w:rsidP="00067EEF">
      <w:pPr>
        <w:pStyle w:val="ListParagraph"/>
        <w:widowControl/>
        <w:spacing w:after="220" w:line="240" w:lineRule="auto"/>
        <w:ind w:hanging="720"/>
        <w:contextualSpacing w:val="0"/>
        <w:rPr>
          <w:rFonts w:ascii="Times New Roman" w:eastAsia="Times New Roman" w:hAnsi="Times New Roman"/>
        </w:rPr>
      </w:pPr>
    </w:p>
    <w:p w14:paraId="5288ACF7" w14:textId="0E376C7B" w:rsidR="007C08AB"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067EEF">
        <w:rPr>
          <w:rFonts w:ascii="Times New Roman" w:hAnsi="Times New Roman"/>
        </w:rPr>
        <w:t xml:space="preserve">Guidance Note: </w:t>
      </w:r>
    </w:p>
    <w:p w14:paraId="62AA1CB0" w14:textId="5591B990" w:rsidR="007C08AB" w:rsidRPr="007C08AB" w:rsidRDefault="007C08AB" w:rsidP="00067EEF">
      <w:pPr>
        <w:pBdr>
          <w:top w:val="single" w:sz="4" w:space="1" w:color="auto"/>
          <w:left w:val="single" w:sz="4" w:space="4" w:color="auto"/>
          <w:bottom w:val="single" w:sz="4" w:space="1" w:color="auto"/>
          <w:right w:val="single" w:sz="4" w:space="4" w:color="auto"/>
        </w:pBdr>
        <w:spacing w:after="0" w:line="240" w:lineRule="auto"/>
        <w:ind w:left="1440"/>
        <w:rPr>
          <w:rFonts w:ascii="Times New Roman" w:eastAsia="Times New Roman" w:hAnsi="Times New Roman"/>
        </w:rPr>
      </w:pPr>
      <w:r w:rsidRPr="007C08AB">
        <w:rPr>
          <w:rFonts w:ascii="Times New Roman" w:eastAsia="Times New Roman" w:hAnsi="Times New Roman"/>
        </w:rPr>
        <w:t>Relationship to RBC Requirements</w:t>
      </w:r>
    </w:p>
    <w:p w14:paraId="2D5F32AC" w14:textId="0BAA7EA0" w:rsidR="00CC2E32" w:rsidRPr="008D6861" w:rsidRDefault="00CC2E32" w:rsidP="00067EE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7C08AB">
        <w:rPr>
          <w:rFonts w:ascii="Times New Roman" w:eastAsia="Times New Roman" w:hAnsi="Times New Roman"/>
        </w:rPr>
        <w:t xml:space="preserve">These requirements anticipate that the projections described herein are used for the determination of RBC for all of the contracts falling within the scope of these requirements. These requirements and the RBC requirements for the topics covered within Section </w:t>
      </w:r>
      <w:r w:rsidR="00CB7F6A">
        <w:rPr>
          <w:rFonts w:ascii="Times New Roman" w:eastAsia="Times New Roman" w:hAnsi="Times New Roman"/>
        </w:rPr>
        <w:t>4</w:t>
      </w:r>
      <w:r w:rsidRPr="007C08AB">
        <w:rPr>
          <w:rFonts w:ascii="Times New Roman" w:eastAsia="Times New Roman" w:hAnsi="Times New Roman"/>
        </w:rPr>
        <w:t xml:space="preserve">.A to </w:t>
      </w:r>
      <w:r w:rsidR="00CB7F6A">
        <w:rPr>
          <w:rFonts w:ascii="Times New Roman" w:eastAsia="Times New Roman" w:hAnsi="Times New Roman"/>
        </w:rPr>
        <w:t>4</w:t>
      </w:r>
      <w:r w:rsidRPr="007C08AB">
        <w:rPr>
          <w:rFonts w:ascii="Times New Roman" w:eastAsia="Times New Roman" w:hAnsi="Times New Roman"/>
        </w:rPr>
        <w:t xml:space="preserve">.E are identical. However, </w:t>
      </w:r>
      <w:r w:rsidRPr="007C08AB">
        <w:rPr>
          <w:rFonts w:ascii="Times New Roman" w:eastAsia="Times New Roman" w:hAnsi="Times New Roman"/>
        </w:rPr>
        <w:lastRenderedPageBreak/>
        <w:t>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w:t>
      </w:r>
      <w:r w:rsidR="008D6861">
        <w:rPr>
          <w:rFonts w:ascii="Times New Roman" w:eastAsia="Times New Roman" w:hAnsi="Times New Roman"/>
        </w:rPr>
        <w:t xml:space="preserve"> </w:t>
      </w:r>
      <w:r w:rsidR="008D6861" w:rsidRPr="008D6861">
        <w:rPr>
          <w:rFonts w:ascii="Times New Roman" w:eastAsia="Times New Roman" w:hAnsi="Times New Roman"/>
        </w:rPr>
        <w:t>A company that has elected to calculate RBC requirements in this manner may not switch back to using a calculation that ignores the effect of federal income</w:t>
      </w:r>
      <w:r w:rsidR="008D6861">
        <w:rPr>
          <w:rFonts w:ascii="Times New Roman" w:eastAsia="Times New Roman" w:hAnsi="Times New Roman"/>
        </w:rPr>
        <w:t xml:space="preserve"> tax without approval from the </w:t>
      </w:r>
      <w:r w:rsidR="008D6861" w:rsidRPr="008D6861">
        <w:rPr>
          <w:rFonts w:ascii="Times New Roman" w:eastAsia="Times New Roman" w:hAnsi="Times New Roman"/>
        </w:rPr>
        <w:t>domiciliary commissioner.</w:t>
      </w:r>
    </w:p>
    <w:p w14:paraId="00A29857" w14:textId="6A4EA3B4" w:rsidR="00CC2E32" w:rsidRPr="002D0170" w:rsidRDefault="004159E3" w:rsidP="00067EEF">
      <w:pPr>
        <w:spacing w:after="220" w:line="240" w:lineRule="auto"/>
        <w:ind w:left="100"/>
        <w:rPr>
          <w:rFonts w:ascii="Times New Roman" w:eastAsia="Times New Roman" w:hAnsi="Times New Roman"/>
        </w:rPr>
      </w:pPr>
      <w:r>
        <w:rPr>
          <w:rFonts w:ascii="Times New Roman" w:eastAsia="Times New Roman" w:hAnsi="Times New Roman"/>
        </w:rPr>
        <w:t>F.</w:t>
      </w:r>
      <w:r>
        <w:rPr>
          <w:rFonts w:ascii="Times New Roman" w:eastAsia="Times New Roman" w:hAnsi="Times New Roman"/>
        </w:rPr>
        <w:tab/>
      </w:r>
      <w:r w:rsidR="00CC2E32" w:rsidRPr="002D0170">
        <w:rPr>
          <w:rFonts w:ascii="Times New Roman" w:eastAsia="Times New Roman" w:hAnsi="Times New Roman"/>
        </w:rPr>
        <w:t>Compliance with ASOPs</w:t>
      </w:r>
    </w:p>
    <w:p w14:paraId="78BADF46" w14:textId="15E5EE89"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the </w:t>
      </w:r>
      <w:r w:rsidR="006E6F7F">
        <w:rPr>
          <w:rFonts w:ascii="Times New Roman" w:eastAsia="Times New Roman" w:hAnsi="Times New Roman"/>
        </w:rPr>
        <w:t>stochastic reserve</w:t>
      </w:r>
      <w:r w:rsidRPr="0036322F">
        <w:rPr>
          <w:rFonts w:ascii="Times New Roman" w:eastAsia="Times New Roman" w:hAnsi="Times New Roman"/>
        </w:rPr>
        <w:t xml:space="preserve"> using projections,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r>
        <w:rPr>
          <w:rFonts w:ascii="Times New Roman" w:eastAsia="Times New Roman" w:hAnsi="Times New Roman"/>
        </w:rPr>
        <w:t>ASOP</w:t>
      </w:r>
      <w:r w:rsidR="004A11AA">
        <w:rPr>
          <w:rFonts w:ascii="Times New Roman" w:eastAsia="Times New Roman" w:hAnsi="Times New Roman"/>
        </w:rPr>
        <w:t>s</w:t>
      </w:r>
      <w:r w:rsidRPr="0036322F">
        <w:rPr>
          <w:rFonts w:ascii="Times New Roman" w:eastAsia="Times New Roman" w:hAnsi="Times New Roman"/>
        </w:rPr>
        <w:t xml:space="preserve"> as promulgated from time to time by the </w:t>
      </w:r>
      <w:r w:rsidR="0035799C" w:rsidRPr="00FC591F">
        <w:rPr>
          <w:rFonts w:ascii="Times New Roman" w:eastAsia="Times New Roman" w:hAnsi="Times New Roman"/>
        </w:rPr>
        <w:t>ASB</w:t>
      </w:r>
      <w:r w:rsidRPr="0036322F">
        <w:rPr>
          <w:rFonts w:ascii="Times New Roman" w:eastAsia="Times New Roman" w:hAnsi="Times New Roman"/>
        </w:rPr>
        <w:t>.</w:t>
      </w:r>
    </w:p>
    <w:p w14:paraId="34147DF0" w14:textId="1099284E" w:rsidR="00CC2E32" w:rsidRPr="0036322F" w:rsidRDefault="00CC2E32" w:rsidP="00067EE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r w:rsidR="0031448A">
        <w:rPr>
          <w:rFonts w:ascii="Times New Roman" w:eastAsia="Times New Roman" w:hAnsi="Times New Roman"/>
        </w:rPr>
        <w:t>an</w:t>
      </w:r>
      <w:r w:rsidRPr="0036322F">
        <w:rPr>
          <w:rFonts w:ascii="Times New Roman" w:eastAsia="Times New Roman" w:hAnsi="Times New Roman"/>
        </w:rPr>
        <w:t xml:space="preserve"> actuary </w:t>
      </w:r>
      <w:r w:rsidR="0031448A">
        <w:rPr>
          <w:rFonts w:ascii="Times New Roman" w:eastAsia="Times New Roman" w:hAnsi="Times New Roman"/>
        </w:rPr>
        <w:t>will</w:t>
      </w:r>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w:t>
      </w:r>
      <w:r>
        <w:rPr>
          <w:rFonts w:ascii="Times New Roman" w:eastAsia="Times New Roman" w:hAnsi="Times New Roman"/>
        </w:rPr>
        <w:t>ASOP</w:t>
      </w:r>
      <w:r w:rsidR="00DD7491">
        <w:rPr>
          <w:rFonts w:ascii="Times New Roman" w:eastAsia="Times New Roman" w:hAnsi="Times New Roman"/>
        </w:rPr>
        <w:t>s</w:t>
      </w:r>
      <w:r w:rsidR="002D23AC">
        <w:rPr>
          <w:rFonts w:ascii="Times New Roman" w:eastAsia="Times New Roman" w:hAnsi="Times New Roman"/>
        </w:rPr>
        <w:t>.</w:t>
      </w:r>
    </w:p>
    <w:p w14:paraId="7F99CDF5" w14:textId="6B5CD7EF" w:rsidR="00CC2E32" w:rsidRPr="0036322F" w:rsidRDefault="00CC2E32" w:rsidP="00BF03C2">
      <w:pPr>
        <w:widowControl w:val="0"/>
        <w:spacing w:after="220" w:line="240" w:lineRule="auto"/>
        <w:ind w:left="720" w:hanging="720"/>
        <w:rPr>
          <w:rFonts w:ascii="Times New Roman" w:eastAsia="Times New Roman" w:hAnsi="Times New Roman"/>
        </w:rPr>
      </w:pPr>
      <w:r w:rsidRPr="0036322F">
        <w:rPr>
          <w:rFonts w:ascii="Times New Roman" w:eastAsia="Times New Roman" w:hAnsi="Times New Roman"/>
        </w:rPr>
        <w:t>.</w:t>
      </w:r>
    </w:p>
    <w:p w14:paraId="4A7F2484" w14:textId="0C8672C6" w:rsidR="00CC2E32" w:rsidRPr="0036322F" w:rsidRDefault="00CC2E32" w:rsidP="00CC2E32">
      <w:pPr>
        <w:pStyle w:val="Heading3"/>
        <w:keepNext/>
        <w:spacing w:after="220"/>
        <w:jc w:val="left"/>
        <w:rPr>
          <w:sz w:val="22"/>
          <w:szCs w:val="22"/>
        </w:rPr>
      </w:pPr>
      <w:bookmarkStart w:id="5" w:name="_Section_4._Reinsurance"/>
      <w:bookmarkEnd w:id="5"/>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p>
    <w:p w14:paraId="0AA8C72E" w14:textId="77777777" w:rsidR="00CC2E32" w:rsidRPr="0036322F"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31A723D4" w:rsidR="00CC2E32" w:rsidRPr="0036322F"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r w:rsidR="00CC0F00">
        <w:rPr>
          <w:rFonts w:ascii="Times New Roman" w:eastAsia="Times New Roman" w:hAnsi="Times New Roman"/>
        </w:rPr>
        <w:t>Pre-</w:t>
      </w:r>
      <w:r w:rsidRPr="0036322F">
        <w:rPr>
          <w:rFonts w:ascii="Times New Roman" w:eastAsia="Times New Roman" w:hAnsi="Times New Roman"/>
        </w:rPr>
        <w:t xml:space="preserve"> and </w:t>
      </w:r>
      <w:r w:rsidR="00CC0F00">
        <w:rPr>
          <w:rFonts w:ascii="Times New Roman" w:eastAsia="Times New Roman" w:hAnsi="Times New Roman"/>
        </w:rPr>
        <w:t>Post-</w:t>
      </w:r>
      <w:r w:rsidRPr="0036322F">
        <w:rPr>
          <w:rFonts w:ascii="Times New Roman" w:eastAsia="Times New Roman" w:hAnsi="Times New Roman"/>
        </w:rPr>
        <w:t xml:space="preserve"> Reinsurance Ceded</w:t>
      </w:r>
    </w:p>
    <w:p w14:paraId="4BC71EE5" w14:textId="186974A1" w:rsidR="00CC2E32" w:rsidRPr="0036322F"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r w:rsidR="00466EA5">
        <w:rPr>
          <w:rFonts w:ascii="Times New Roman" w:eastAsia="Times New Roman" w:hAnsi="Times New Roman"/>
        </w:rPr>
        <w:t>3</w:t>
      </w:r>
      <w:r w:rsidRPr="0036322F">
        <w:rPr>
          <w:rFonts w:ascii="Times New Roman" w:eastAsia="Times New Roman" w:hAnsi="Times New Roman"/>
        </w:rPr>
        <w:t xml:space="preserve">.B,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r w:rsidR="0031448A">
        <w:rPr>
          <w:rFonts w:ascii="Times New Roman" w:eastAsia="Times New Roman" w:hAnsi="Times New Roman"/>
        </w:rPr>
        <w:t>post</w:t>
      </w:r>
      <w:r w:rsidR="00456184">
        <w:rPr>
          <w:rFonts w:ascii="Times New Roman" w:eastAsia="Times New Roman" w:hAnsi="Times New Roman"/>
        </w:rPr>
        <w:t>-</w:t>
      </w:r>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(i.e., the </w:t>
      </w:r>
      <w:r>
        <w:rPr>
          <w:rFonts w:ascii="Times New Roman" w:eastAsia="Times New Roman" w:hAnsi="Times New Roman"/>
        </w:rPr>
        <w:t>additional s</w:t>
      </w:r>
      <w:r w:rsidRPr="0036322F">
        <w:rPr>
          <w:rFonts w:ascii="Times New Roman" w:eastAsia="Times New Roman" w:hAnsi="Times New Roman"/>
        </w:rPr>
        <w:t xml:space="preserve">tandard </w:t>
      </w:r>
      <w:r>
        <w:rPr>
          <w:rFonts w:ascii="Times New Roman" w:eastAsia="Times New Roman" w:hAnsi="Times New Roman"/>
        </w:rPr>
        <w:t>projection</w:t>
      </w:r>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the </w:t>
      </w:r>
      <w:r w:rsidR="006E6F7F">
        <w:rPr>
          <w:rFonts w:ascii="Times New Roman" w:eastAsia="Times New Roman" w:hAnsi="Times New Roman"/>
        </w:rPr>
        <w:t>stochastic reserve</w:t>
      </w:r>
      <w:r w:rsidRPr="0036322F">
        <w:rPr>
          <w:rFonts w:ascii="Times New Roman" w:eastAsia="Times New Roman" w:hAnsi="Times New Roman"/>
        </w:rPr>
        <w:t xml:space="preserve"> determined using projections </w:t>
      </w:r>
      <w:r w:rsidR="00CC0F00">
        <w:rPr>
          <w:rFonts w:ascii="Times New Roman" w:eastAsia="Times New Roman" w:hAnsi="Times New Roman"/>
        </w:rPr>
        <w:t>and/</w:t>
      </w:r>
      <w:r w:rsidRPr="0036322F">
        <w:rPr>
          <w:rFonts w:ascii="Times New Roman" w:eastAsia="Times New Roman" w:hAnsi="Times New Roman"/>
        </w:rPr>
        <w:t xml:space="preserve">or the </w:t>
      </w:r>
      <w:r w:rsidR="006E6F7F">
        <w:rPr>
          <w:rFonts w:ascii="Times New Roman" w:eastAsia="Times New Roman" w:hAnsi="Times New Roman"/>
        </w:rPr>
        <w:t>reserve</w:t>
      </w:r>
      <w:r w:rsidRPr="0036322F">
        <w:rPr>
          <w:rFonts w:ascii="Times New Roman" w:eastAsia="Times New Roman" w:hAnsi="Times New Roman"/>
        </w:rPr>
        <w:t xml:space="preserve"> determined using the Alternative Methodology) on a </w:t>
      </w:r>
      <w:r w:rsidR="0031448A">
        <w:rPr>
          <w:rFonts w:ascii="Times New Roman" w:eastAsia="Times New Roman" w:hAnsi="Times New Roman"/>
        </w:rPr>
        <w:t>post</w:t>
      </w:r>
      <w:r w:rsidR="00456184">
        <w:rPr>
          <w:rFonts w:ascii="Times New Roman" w:eastAsia="Times New Roman" w:hAnsi="Times New Roman"/>
        </w:rPr>
        <w:t>-</w:t>
      </w:r>
      <w:r w:rsidRPr="0036322F">
        <w:rPr>
          <w:rFonts w:ascii="Times New Roman" w:eastAsia="Times New Roman" w:hAnsi="Times New Roman"/>
        </w:rPr>
        <w:t xml:space="preserve">reinsurance </w:t>
      </w:r>
      <w:r w:rsidR="00042FCD">
        <w:rPr>
          <w:rFonts w:ascii="Times New Roman" w:eastAsia="Times New Roman" w:hAnsi="Times New Roman"/>
        </w:rPr>
        <w:t xml:space="preserve">ceded </w:t>
      </w:r>
      <w:r w:rsidRPr="0036322F">
        <w:rPr>
          <w:rFonts w:ascii="Times New Roman" w:eastAsia="Times New Roman" w:hAnsi="Times New Roman"/>
        </w:rPr>
        <w:t xml:space="preserve">basis. In addition, as noted in Section </w:t>
      </w:r>
      <w:r w:rsidR="00466EA5">
        <w:rPr>
          <w:rFonts w:ascii="Times New Roman" w:eastAsia="Times New Roman" w:hAnsi="Times New Roman"/>
        </w:rPr>
        <w:t>3</w:t>
      </w:r>
      <w:r w:rsidRPr="0036322F">
        <w:rPr>
          <w:rFonts w:ascii="Times New Roman" w:eastAsia="Times New Roman" w:hAnsi="Times New Roman"/>
        </w:rPr>
        <w:t xml:space="preserve">.B, it </w:t>
      </w:r>
      <w:r>
        <w:rPr>
          <w:rFonts w:ascii="Times New Roman" w:eastAsia="Times New Roman" w:hAnsi="Times New Roman"/>
        </w:rPr>
        <w:t>is</w:t>
      </w:r>
      <w:r w:rsidRPr="0036322F">
        <w:rPr>
          <w:rFonts w:ascii="Times New Roman" w:eastAsia="Times New Roman" w:hAnsi="Times New Roman"/>
        </w:rPr>
        <w:t xml:space="preserve"> necessary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determined on a </w:t>
      </w:r>
      <w:r w:rsidR="0031448A">
        <w:rPr>
          <w:rFonts w:ascii="Times New Roman" w:eastAsia="Times New Roman" w:hAnsi="Times New Roman"/>
        </w:rPr>
        <w:t>pre-</w:t>
      </w:r>
      <w:r w:rsidRPr="0036322F">
        <w:rPr>
          <w:rFonts w:ascii="Times New Roman" w:eastAsia="Times New Roman" w:hAnsi="Times New Roman"/>
        </w:rPr>
        <w:t>reinsurance ceded</w:t>
      </w:r>
      <w:r w:rsidR="0031448A">
        <w:rPr>
          <w:rFonts w:ascii="Times New Roman" w:eastAsia="Times New Roman" w:hAnsi="Times New Roman"/>
        </w:rPr>
        <w:t xml:space="preserve"> basis</w:t>
      </w:r>
      <w:r w:rsidRPr="0036322F">
        <w:rPr>
          <w:rFonts w:ascii="Times New Roman" w:eastAsia="Times New Roman" w:hAnsi="Times New Roman"/>
        </w:rPr>
        <w:t xml:space="preserve">. Where this is needed, each of these components shall be </w:t>
      </w:r>
      <w:r w:rsidRPr="00F077FC">
        <w:rPr>
          <w:rFonts w:ascii="Times New Roman" w:eastAsia="Times New Roman" w:hAnsi="Times New Roman"/>
        </w:rPr>
        <w:t xml:space="preserve">determined ignoring the effect of </w:t>
      </w:r>
      <w:r w:rsidRPr="0036322F">
        <w:rPr>
          <w:rFonts w:ascii="Times New Roman" w:eastAsia="Times New Roman" w:hAnsi="Times New Roman"/>
        </w:rPr>
        <w:t>reinsurance</w:t>
      </w:r>
      <w:r w:rsidR="00042FCD">
        <w:rPr>
          <w:rFonts w:ascii="Times New Roman" w:eastAsia="Times New Roman" w:hAnsi="Times New Roman"/>
        </w:rPr>
        <w:t xml:space="preserve"> ceded</w:t>
      </w:r>
      <w:r w:rsidRPr="0036322F">
        <w:rPr>
          <w:rFonts w:ascii="Times New Roman" w:eastAsia="Times New Roman" w:hAnsi="Times New Roman"/>
        </w:rPr>
        <w:t xml:space="preserve">. Section </w:t>
      </w:r>
      <w:r w:rsidR="00456184">
        <w:rPr>
          <w:rFonts w:ascii="Times New Roman" w:eastAsia="Times New Roman" w:hAnsi="Times New Roman"/>
        </w:rPr>
        <w:t>5</w:t>
      </w:r>
      <w:r>
        <w:rPr>
          <w:rFonts w:ascii="Times New Roman" w:eastAsia="Times New Roman" w:hAnsi="Times New Roman"/>
        </w:rPr>
        <w:t>.</w:t>
      </w:r>
      <w:r w:rsidRPr="0036322F">
        <w:rPr>
          <w:rFonts w:ascii="Times New Roman" w:eastAsia="Times New Roman" w:hAnsi="Times New Roman"/>
        </w:rPr>
        <w:t xml:space="preserve">A.2 through </w:t>
      </w:r>
      <w:r>
        <w:rPr>
          <w:rFonts w:ascii="Times New Roman" w:eastAsia="Times New Roman" w:hAnsi="Times New Roman"/>
        </w:rPr>
        <w:t xml:space="preserve">Section </w:t>
      </w:r>
      <w:r w:rsidR="00456184">
        <w:rPr>
          <w:rFonts w:ascii="Times New Roman" w:eastAsia="Times New Roman" w:hAnsi="Times New Roman"/>
        </w:rPr>
        <w:t>5</w:t>
      </w:r>
      <w:r>
        <w:rPr>
          <w:rFonts w:ascii="Times New Roman" w:eastAsia="Times New Roman" w:hAnsi="Times New Roman"/>
        </w:rPr>
        <w:t>.</w:t>
      </w:r>
      <w:r w:rsidRPr="0036322F">
        <w:rPr>
          <w:rFonts w:ascii="Times New Roman" w:eastAsia="Times New Roman" w:hAnsi="Times New Roman"/>
        </w:rPr>
        <w:t xml:space="preserve">A.4 discuss </w:t>
      </w:r>
      <w:r w:rsidR="00456184">
        <w:rPr>
          <w:rFonts w:ascii="Times New Roman" w:eastAsia="Times New Roman" w:hAnsi="Times New Roman"/>
        </w:rPr>
        <w:t xml:space="preserve">adjustments to inputs </w:t>
      </w:r>
      <w:r w:rsidRPr="0036322F">
        <w:rPr>
          <w:rFonts w:ascii="Times New Roman" w:eastAsia="Times New Roman" w:hAnsi="Times New Roman"/>
        </w:rPr>
        <w:t xml:space="preserve">necessary to determine these components on both a </w:t>
      </w:r>
      <w:r w:rsidR="0031448A">
        <w:rPr>
          <w:rFonts w:ascii="Times New Roman" w:eastAsia="Times New Roman" w:hAnsi="Times New Roman"/>
        </w:rPr>
        <w:t>post-</w:t>
      </w:r>
      <w:r w:rsidRPr="0036322F">
        <w:rPr>
          <w:rFonts w:ascii="Times New Roman" w:eastAsia="Times New Roman" w:hAnsi="Times New Roman"/>
        </w:rPr>
        <w:t xml:space="preserve">reinsurance </w:t>
      </w:r>
      <w:r w:rsidR="00042FCD">
        <w:rPr>
          <w:rFonts w:ascii="Times New Roman" w:eastAsia="Times New Roman" w:hAnsi="Times New Roman"/>
        </w:rPr>
        <w:t xml:space="preserve">ceded </w:t>
      </w:r>
      <w:r w:rsidRPr="0036322F">
        <w:rPr>
          <w:rFonts w:ascii="Times New Roman" w:eastAsia="Times New Roman" w:hAnsi="Times New Roman"/>
        </w:rPr>
        <w:t xml:space="preserve">and a </w:t>
      </w:r>
      <w:r w:rsidR="0031448A">
        <w:rPr>
          <w:rFonts w:ascii="Times New Roman" w:eastAsia="Times New Roman" w:hAnsi="Times New Roman"/>
        </w:rPr>
        <w:t>pre-</w:t>
      </w:r>
      <w:r w:rsidRPr="0036322F">
        <w:rPr>
          <w:rFonts w:ascii="Times New Roman" w:eastAsia="Times New Roman" w:hAnsi="Times New Roman"/>
        </w:rPr>
        <w:t>reinsurance</w:t>
      </w:r>
      <w:r w:rsidR="00042FCD">
        <w:rPr>
          <w:rFonts w:ascii="Times New Roman" w:eastAsia="Times New Roman" w:hAnsi="Times New Roman"/>
        </w:rPr>
        <w:t xml:space="preserve"> ceded</w:t>
      </w:r>
      <w:r w:rsidRPr="0036322F">
        <w:rPr>
          <w:rFonts w:ascii="Times New Roman" w:eastAsia="Times New Roman" w:hAnsi="Times New Roman"/>
        </w:rPr>
        <w:t xml:space="preserve"> basis. Note that due allowance for reasonable approximations may be used where appropriate.</w:t>
      </w:r>
    </w:p>
    <w:p w14:paraId="30F90F9C" w14:textId="04C6DD31"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r w:rsidR="004B5D3F">
        <w:rPr>
          <w:rFonts w:ascii="Times New Roman" w:eastAsia="Times New Roman" w:hAnsi="Times New Roman"/>
        </w:rPr>
        <w:t>Stochastic Reserve</w:t>
      </w:r>
      <w:r w:rsidRPr="0036322F">
        <w:rPr>
          <w:rFonts w:ascii="Times New Roman" w:eastAsia="Times New Roman" w:hAnsi="Times New Roman"/>
        </w:rPr>
        <w:t xml:space="preserve"> Determined </w:t>
      </w:r>
      <w:r>
        <w:rPr>
          <w:rFonts w:ascii="Times New Roman" w:eastAsia="Times New Roman" w:hAnsi="Times New Roman"/>
        </w:rPr>
        <w:t>U</w:t>
      </w:r>
      <w:r w:rsidRPr="0036322F">
        <w:rPr>
          <w:rFonts w:ascii="Times New Roman" w:eastAsia="Times New Roman" w:hAnsi="Times New Roman"/>
        </w:rPr>
        <w:t>sing Projections</w:t>
      </w:r>
    </w:p>
    <w:p w14:paraId="5DD89409" w14:textId="03926597"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r w:rsidR="0031448A">
        <w:rPr>
          <w:rFonts w:ascii="Times New Roman" w:eastAsia="Times New Roman" w:hAnsi="Times New Roman"/>
        </w:rPr>
        <w:t>post</w:t>
      </w:r>
      <w:r w:rsidR="00456184">
        <w:rPr>
          <w:rFonts w:ascii="Times New Roman" w:eastAsia="Times New Roman" w:hAnsi="Times New Roman"/>
        </w:rPr>
        <w:t>-</w:t>
      </w:r>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reserves </w:t>
      </w:r>
      <w:r w:rsidRPr="0036322F">
        <w:rPr>
          <w:rFonts w:ascii="Times New Roman" w:eastAsia="Times New Roman" w:hAnsi="Times New Roman"/>
        </w:rPr>
        <w:t xml:space="preserve">and the resulting </w:t>
      </w:r>
      <w:r w:rsidR="009623D8">
        <w:rPr>
          <w:rFonts w:ascii="Times New Roman" w:eastAsia="Times New Roman" w:hAnsi="Times New Roman"/>
        </w:rPr>
        <w:t xml:space="preserve">stochastic 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r>
        <w:rPr>
          <w:rFonts w:ascii="Times New Roman" w:eastAsia="Times New Roman" w:hAnsi="Times New Roman"/>
        </w:rPr>
        <w:t>statutory accounting</w:t>
      </w:r>
      <w:r w:rsidRPr="0036322F">
        <w:rPr>
          <w:rFonts w:ascii="Times New Roman" w:eastAsia="Times New Roman" w:hAnsi="Times New Roman"/>
        </w:rPr>
        <w:t>.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0D7DF180"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scenario reserves</w:t>
      </w:r>
      <w:r w:rsidRPr="0036322F">
        <w:rPr>
          <w:rFonts w:ascii="Times New Roman" w:eastAsia="Times New Roman" w:hAnsi="Times New Roman"/>
        </w:rPr>
        <w:t xml:space="preserve"> and the resulting </w:t>
      </w:r>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r w:rsidR="00042FCD">
        <w:rPr>
          <w:rFonts w:ascii="Times New Roman" w:eastAsia="Times New Roman" w:hAnsi="Times New Roman"/>
        </w:rPr>
        <w:t xml:space="preserve">ceded </w:t>
      </w:r>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r w:rsidR="00042FCD">
        <w:rPr>
          <w:rFonts w:ascii="Times New Roman" w:eastAsia="Times New Roman" w:hAnsi="Times New Roman"/>
        </w:rPr>
        <w:t>post-</w:t>
      </w:r>
      <w:r w:rsidRPr="0036322F">
        <w:rPr>
          <w:rFonts w:ascii="Times New Roman" w:eastAsia="Times New Roman" w:hAnsi="Times New Roman"/>
        </w:rPr>
        <w:t xml:space="preserve">reinsurance </w:t>
      </w:r>
      <w:r w:rsidR="00042FCD">
        <w:rPr>
          <w:rFonts w:ascii="Times New Roman" w:eastAsia="Times New Roman" w:hAnsi="Times New Roman"/>
        </w:rPr>
        <w:t xml:space="preserve">ceded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167196A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r w:rsidR="008D6861">
        <w:rPr>
          <w:rFonts w:ascii="Times New Roman" w:eastAsia="Times New Roman" w:hAnsi="Times New Roman"/>
        </w:rPr>
        <w:t>Reserve</w:t>
      </w:r>
      <w:r w:rsidRPr="0036322F">
        <w:rPr>
          <w:rFonts w:ascii="Times New Roman" w:eastAsia="Times New Roman" w:hAnsi="Times New Roman"/>
        </w:rPr>
        <w:t xml:space="preserve"> Determined using the Alternative Methodology</w:t>
      </w:r>
      <w:r w:rsidR="00042FCD">
        <w:rPr>
          <w:rFonts w:ascii="Times New Roman" w:eastAsia="Times New Roman" w:hAnsi="Times New Roman"/>
        </w:rPr>
        <w:t xml:space="preserve"> (to be reviewed)</w:t>
      </w:r>
    </w:p>
    <w:p w14:paraId="38957238" w14:textId="6AE4C9A2"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lastRenderedPageBreak/>
        <w:t xml:space="preserve">If a company chooses to use the Alternative Methodology, as allowed in Section </w:t>
      </w:r>
      <w:r w:rsidR="00DE5A16">
        <w:rPr>
          <w:rFonts w:ascii="Times New Roman" w:eastAsia="Times New Roman" w:hAnsi="Times New Roman"/>
        </w:rPr>
        <w:t>3</w:t>
      </w:r>
      <w:r w:rsidRPr="0036322F">
        <w:rPr>
          <w:rFonts w:ascii="Times New Roman" w:eastAsia="Times New Roman" w:hAnsi="Times New Roman"/>
        </w:rPr>
        <w:t>.E, it is important to note that the methodology produces reserves on a pr</w:t>
      </w:r>
      <w:r w:rsidR="00DE5A16">
        <w:rPr>
          <w:rFonts w:ascii="Times New Roman" w:eastAsia="Times New Roman" w:hAnsi="Times New Roman"/>
        </w:rPr>
        <w:t>e-</w:t>
      </w:r>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post-</w:t>
      </w:r>
      <w:r w:rsidRPr="0036322F">
        <w:rPr>
          <w:rFonts w:ascii="Times New Roman" w:eastAsia="Times New Roman" w:hAnsi="Times New Roman"/>
        </w:rPr>
        <w:t>reinsurance</w:t>
      </w:r>
      <w:r w:rsidR="00DE5A16">
        <w:rPr>
          <w:rFonts w:ascii="Times New Roman" w:eastAsia="Times New Roman" w:hAnsi="Times New Roman"/>
        </w:rPr>
        <w:t xml:space="preserve"> ceded</w:t>
      </w:r>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pre-</w:t>
      </w:r>
      <w:r w:rsidRPr="0036322F">
        <w:rPr>
          <w:rFonts w:ascii="Times New Roman" w:eastAsia="Times New Roman" w:hAnsi="Times New Roman"/>
        </w:rPr>
        <w:t>reinsurance</w:t>
      </w:r>
      <w:r w:rsidR="00DE5A16">
        <w:rPr>
          <w:rFonts w:ascii="Times New Roman" w:eastAsia="Times New Roman" w:hAnsi="Times New Roman"/>
        </w:rPr>
        <w:t xml:space="preserve"> ceded</w:t>
      </w:r>
      <w:r w:rsidRPr="0036322F">
        <w:rPr>
          <w:rFonts w:ascii="Times New Roman" w:eastAsia="Times New Roman" w:hAnsi="Times New Roman"/>
        </w:rPr>
        <w:t>.</w:t>
      </w:r>
    </w:p>
    <w:p w14:paraId="584BA230" w14:textId="66182E3B"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r>
        <w:rPr>
          <w:rFonts w:ascii="Times New Roman" w:eastAsia="Times New Roman" w:hAnsi="Times New Roman"/>
        </w:rPr>
        <w:t xml:space="preserve">Additional </w:t>
      </w:r>
      <w:r w:rsidRPr="0036322F">
        <w:rPr>
          <w:rFonts w:ascii="Times New Roman" w:eastAsia="Times New Roman" w:hAnsi="Times New Roman"/>
        </w:rPr>
        <w:t xml:space="preserve">Standard </w:t>
      </w:r>
      <w:r>
        <w:rPr>
          <w:rFonts w:ascii="Times New Roman" w:eastAsia="Times New Roman" w:hAnsi="Times New Roman"/>
        </w:rPr>
        <w:t>Projection</w:t>
      </w:r>
      <w:r w:rsidRPr="0036322F">
        <w:rPr>
          <w:rFonts w:ascii="Times New Roman" w:eastAsia="Times New Roman" w:hAnsi="Times New Roman"/>
        </w:rPr>
        <w:t xml:space="preserve"> Amount</w:t>
      </w:r>
    </w:p>
    <w:p w14:paraId="6899EF17" w14:textId="28CF5125"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Where reinsurance is ceded, the </w:t>
      </w:r>
      <w:r>
        <w:rPr>
          <w:rFonts w:ascii="Times New Roman" w:eastAsia="Times New Roman" w:hAnsi="Times New Roman"/>
        </w:rPr>
        <w:t>additional s</w:t>
      </w:r>
      <w:r w:rsidRPr="0036322F">
        <w:rPr>
          <w:rFonts w:ascii="Times New Roman" w:eastAsia="Times New Roman" w:hAnsi="Times New Roman"/>
        </w:rPr>
        <w:t xml:space="preserve">tandard </w:t>
      </w:r>
      <w:r>
        <w:rPr>
          <w:rFonts w:ascii="Times New Roman" w:eastAsia="Times New Roman" w:hAnsi="Times New Roman"/>
        </w:rPr>
        <w:t>projection</w:t>
      </w:r>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r w:rsidR="009623D8">
        <w:rPr>
          <w:rFonts w:ascii="Times New Roman" w:eastAsia="Times New Roman" w:hAnsi="Times New Roman"/>
        </w:rPr>
        <w:t>6</w:t>
      </w:r>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additional s</w:t>
      </w:r>
      <w:r w:rsidRPr="0036322F">
        <w:rPr>
          <w:rFonts w:ascii="Times New Roman" w:eastAsia="Times New Roman" w:hAnsi="Times New Roman"/>
        </w:rPr>
        <w:t xml:space="preserve">tandard </w:t>
      </w:r>
      <w:r>
        <w:rPr>
          <w:rFonts w:ascii="Times New Roman" w:eastAsia="Times New Roman" w:hAnsi="Times New Roman"/>
        </w:rPr>
        <w:t>projection</w:t>
      </w:r>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w:t>
      </w:r>
      <w:r>
        <w:rPr>
          <w:rFonts w:ascii="Times New Roman" w:eastAsia="Times New Roman" w:hAnsi="Times New Roman"/>
        </w:rPr>
        <w:t xml:space="preserve">also </w:t>
      </w:r>
      <w:r w:rsidRPr="0036322F">
        <w:rPr>
          <w:rFonts w:ascii="Times New Roman" w:eastAsia="Times New Roman" w:hAnsi="Times New Roman"/>
        </w:rPr>
        <w:t xml:space="preserve">calculated </w:t>
      </w:r>
      <w:r w:rsidR="00042FCD">
        <w:rPr>
          <w:rFonts w:ascii="Times New Roman" w:eastAsia="Times New Roman" w:hAnsi="Times New Roman"/>
        </w:rPr>
        <w:t>pre-</w:t>
      </w:r>
      <w:r w:rsidRPr="0036322F">
        <w:rPr>
          <w:rFonts w:ascii="Times New Roman" w:eastAsia="Times New Roman" w:hAnsi="Times New Roman"/>
        </w:rPr>
        <w:t xml:space="preserve">reinsurance ceded using the methods described in Section </w:t>
      </w:r>
      <w:r w:rsidR="009623D8">
        <w:rPr>
          <w:rFonts w:ascii="Times New Roman" w:eastAsia="Times New Roman" w:hAnsi="Times New Roman"/>
        </w:rPr>
        <w:t>6</w:t>
      </w:r>
      <w:r w:rsidRPr="0036322F">
        <w:rPr>
          <w:rFonts w:ascii="Times New Roman" w:eastAsia="Times New Roman" w:hAnsi="Times New Roman"/>
        </w:rPr>
        <w:t>, but ignoring the effects of the reinsurance ceded.</w:t>
      </w:r>
    </w:p>
    <w:p w14:paraId="69DAEDCE" w14:textId="3468C5B2" w:rsidR="003129FE" w:rsidRDefault="003129FE">
      <w:pPr>
        <w:rPr>
          <w:rFonts w:ascii="Times New Roman" w:eastAsia="Times New Roman" w:hAnsi="Times New Roman"/>
        </w:rPr>
      </w:pPr>
      <w:bookmarkStart w:id="6" w:name="_VM-25:_HEALTH_INSURANCE"/>
      <w:bookmarkStart w:id="7" w:name="_VM-22:__MAXIMUM"/>
      <w:bookmarkStart w:id="8" w:name="_Section_5._Standard"/>
      <w:bookmarkStart w:id="9" w:name="_Section_6._Alternative"/>
      <w:bookmarkStart w:id="10" w:name="_Section_7._Scenario"/>
      <w:bookmarkStart w:id="11" w:name="_Section_8._Allocation"/>
      <w:bookmarkStart w:id="12" w:name="_Section_9._Modeling"/>
      <w:bookmarkStart w:id="13" w:name="_Section_10._Certification"/>
      <w:bookmarkStart w:id="14" w:name="_Section_11._Contractholder"/>
      <w:bookmarkStart w:id="15" w:name="_Section_12._Specific"/>
      <w:bookmarkStart w:id="16" w:name="_APPENDIX_1_–"/>
      <w:bookmarkEnd w:id="2"/>
      <w:bookmarkEnd w:id="3"/>
      <w:bookmarkEnd w:id="6"/>
      <w:bookmarkEnd w:id="7"/>
      <w:bookmarkEnd w:id="8"/>
      <w:bookmarkEnd w:id="9"/>
      <w:bookmarkEnd w:id="10"/>
      <w:bookmarkEnd w:id="11"/>
      <w:bookmarkEnd w:id="12"/>
      <w:bookmarkEnd w:id="13"/>
      <w:bookmarkEnd w:id="14"/>
      <w:bookmarkEnd w:id="15"/>
      <w:bookmarkEnd w:id="16"/>
      <w:r>
        <w:rPr>
          <w:rFonts w:ascii="Times New Roman" w:eastAsia="Times New Roman" w:hAnsi="Times New Roman"/>
        </w:rPr>
        <w:br w:type="page"/>
      </w:r>
    </w:p>
    <w:p w14:paraId="274F67A6" w14:textId="164FDC41" w:rsidR="003129FE" w:rsidRPr="0036322F" w:rsidRDefault="003129FE" w:rsidP="004E4618">
      <w:pPr>
        <w:pStyle w:val="Heading3"/>
        <w:spacing w:after="220"/>
        <w:jc w:val="left"/>
        <w:rPr>
          <w:sz w:val="22"/>
          <w:szCs w:val="22"/>
        </w:rPr>
      </w:pPr>
      <w:r w:rsidRPr="0036322F">
        <w:rPr>
          <w:sz w:val="22"/>
          <w:szCs w:val="22"/>
        </w:rPr>
        <w:lastRenderedPageBreak/>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p>
    <w:p w14:paraId="2C482273" w14:textId="230BD88E" w:rsidR="003129FE" w:rsidRPr="0036322F" w:rsidRDefault="003129FE" w:rsidP="00067EEF">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665E52C4" w14:textId="0AB06837" w:rsidR="003129FE" w:rsidRPr="0036322F" w:rsidRDefault="003129FE" w:rsidP="004E4618">
      <w:pPr>
        <w:spacing w:after="220" w:line="240" w:lineRule="auto"/>
        <w:ind w:left="1440" w:hanging="720"/>
        <w:rPr>
          <w:rFonts w:ascii="Times New Roman" w:eastAsia="Times New Roman" w:hAnsi="Times New Roman"/>
        </w:rPr>
      </w:pPr>
      <w:r w:rsidRPr="0036322F">
        <w:rPr>
          <w:rFonts w:ascii="Times New Roman" w:eastAsia="Times New Roman" w:hAnsi="Times New Roman"/>
        </w:rPr>
        <w:t>1.</w:t>
      </w:r>
      <w:r w:rsidRPr="0036322F">
        <w:rPr>
          <w:rFonts w:ascii="Times New Roman" w:eastAsia="Times New Roman" w:hAnsi="Times New Roman"/>
        </w:rPr>
        <w:tab/>
        <w:t>Determin</w:t>
      </w:r>
      <w:r>
        <w:rPr>
          <w:rFonts w:ascii="Times New Roman" w:eastAsia="Times New Roman" w:hAnsi="Times New Roman"/>
        </w:rPr>
        <w:t>ing the Additional Standard Projection Amount</w:t>
      </w:r>
    </w:p>
    <w:p w14:paraId="4B9A23DC" w14:textId="24F1C2FB" w:rsidR="003129FE" w:rsidRPr="0036322F" w:rsidRDefault="003129FE" w:rsidP="00067EEF">
      <w:pPr>
        <w:spacing w:after="220" w:line="240" w:lineRule="auto"/>
        <w:ind w:left="1440"/>
        <w:rPr>
          <w:rFonts w:ascii="Times New Roman" w:eastAsia="Times New Roman" w:hAnsi="Times New Roman"/>
        </w:rPr>
      </w:pPr>
      <w:r>
        <w:rPr>
          <w:rFonts w:ascii="Times New Roman" w:eastAsia="Times New Roman" w:hAnsi="Times New Roman"/>
        </w:rPr>
        <w:t>a.  The additional</w:t>
      </w:r>
      <w:r w:rsidRPr="0036322F">
        <w:rPr>
          <w:rFonts w:ascii="Times New Roman" w:eastAsia="Times New Roman" w:hAnsi="Times New Roman"/>
        </w:rPr>
        <w:t xml:space="preserve"> </w:t>
      </w:r>
      <w:r>
        <w:rPr>
          <w:rFonts w:ascii="Times New Roman" w:eastAsia="Times New Roman" w:hAnsi="Times New Roman"/>
        </w:rPr>
        <w:t>s</w:t>
      </w:r>
      <w:r w:rsidRPr="0036322F">
        <w:rPr>
          <w:rFonts w:ascii="Times New Roman" w:eastAsia="Times New Roman" w:hAnsi="Times New Roman"/>
        </w:rPr>
        <w:t xml:space="preserve">tandard </w:t>
      </w:r>
      <w:r>
        <w:rPr>
          <w:rFonts w:ascii="Times New Roman" w:eastAsia="Times New Roman" w:hAnsi="Times New Roman"/>
        </w:rPr>
        <w:t>projection amount</w:t>
      </w:r>
      <w:r w:rsidRPr="0036322F">
        <w:rPr>
          <w:rFonts w:ascii="Times New Roman" w:eastAsia="Times New Roman" w:hAnsi="Times New Roman"/>
        </w:rPr>
        <w:t xml:space="preserve"> shall be determined</w:t>
      </w:r>
      <w:r>
        <w:rPr>
          <w:rFonts w:ascii="Times New Roman" w:eastAsia="Times New Roman" w:hAnsi="Times New Roman"/>
        </w:rPr>
        <w:t xml:space="preserve"> in aggregate</w:t>
      </w:r>
      <w:r w:rsidRPr="0036322F">
        <w:rPr>
          <w:rFonts w:ascii="Times New Roman" w:eastAsia="Times New Roman" w:hAnsi="Times New Roman"/>
        </w:rPr>
        <w:t xml:space="preserve"> for </w:t>
      </w:r>
      <w:r>
        <w:rPr>
          <w:rFonts w:ascii="Times New Roman" w:eastAsia="Times New Roman" w:hAnsi="Times New Roman"/>
        </w:rPr>
        <w:t>all</w:t>
      </w:r>
      <w:r w:rsidRPr="0036322F">
        <w:rPr>
          <w:rFonts w:ascii="Times New Roman" w:eastAsia="Times New Roman" w:hAnsi="Times New Roman"/>
        </w:rPr>
        <w:t xml:space="preserve"> contracts falling under the scope of these requirements</w:t>
      </w:r>
      <w:r>
        <w:rPr>
          <w:rFonts w:ascii="Times New Roman" w:eastAsia="Times New Roman" w:hAnsi="Times New Roman"/>
        </w:rPr>
        <w:t>,</w:t>
      </w:r>
      <w:r w:rsidRPr="0036322F">
        <w:rPr>
          <w:rFonts w:ascii="Times New Roman" w:eastAsia="Times New Roman" w:hAnsi="Times New Roman"/>
        </w:rPr>
        <w:t xml:space="preserve"> </w:t>
      </w:r>
      <w:r>
        <w:rPr>
          <w:rFonts w:ascii="Times New Roman" w:eastAsia="Times New Roman" w:hAnsi="Times New Roman"/>
        </w:rPr>
        <w:t xml:space="preserve">excluding </w:t>
      </w:r>
      <w:r w:rsidRPr="0036322F">
        <w:rPr>
          <w:rFonts w:ascii="Times New Roman" w:eastAsia="Times New Roman" w:hAnsi="Times New Roman"/>
        </w:rPr>
        <w:t>those contracts to which the Alternative Methodology is applied</w:t>
      </w:r>
      <w:r>
        <w:rPr>
          <w:rFonts w:ascii="Times New Roman" w:eastAsia="Times New Roman" w:hAnsi="Times New Roman"/>
        </w:rPr>
        <w:t xml:space="preserve">, </w:t>
      </w:r>
      <w:r w:rsidRPr="00AC3B71">
        <w:rPr>
          <w:rFonts w:ascii="Times New Roman" w:eastAsia="Times New Roman" w:hAnsi="Times New Roman"/>
        </w:rPr>
        <w:t xml:space="preserve">by calculating the </w:t>
      </w:r>
      <w:r>
        <w:rPr>
          <w:rFonts w:ascii="Times New Roman" w:eastAsia="Times New Roman" w:hAnsi="Times New Roman"/>
        </w:rPr>
        <w:t>Prescribed Projections Amount</w:t>
      </w:r>
      <w:r w:rsidRPr="00AC3B71">
        <w:rPr>
          <w:rFonts w:ascii="Times New Roman" w:eastAsia="Times New Roman" w:hAnsi="Times New Roman"/>
        </w:rPr>
        <w:t xml:space="preserve"> by one of two methods, Unfloored CTE70(adjusted) and Unfloored CTE65(adjusted), and then combining them as defined below</w:t>
      </w:r>
      <w:r w:rsidRPr="0036322F">
        <w:rPr>
          <w:rFonts w:ascii="Times New Roman" w:eastAsia="Times New Roman" w:hAnsi="Times New Roman"/>
        </w:rPr>
        <w:t>.</w:t>
      </w:r>
    </w:p>
    <w:p w14:paraId="0EAE3BA0" w14:textId="04D0B44B" w:rsidR="003129FE" w:rsidRDefault="003129FE" w:rsidP="004E4618">
      <w:pPr>
        <w:spacing w:after="220" w:line="240" w:lineRule="auto"/>
        <w:ind w:left="1440"/>
        <w:rPr>
          <w:rFonts w:ascii="Times New Roman" w:eastAsia="Times New Roman" w:hAnsi="Times New Roman"/>
        </w:rPr>
      </w:pPr>
      <w:r>
        <w:rPr>
          <w:rFonts w:ascii="Times New Roman" w:eastAsia="Times New Roman" w:hAnsi="Times New Roman"/>
        </w:rPr>
        <w:t xml:space="preserve">b.  </w:t>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Pr>
          <w:rFonts w:ascii="Times New Roman" w:eastAsia="Times New Roman" w:hAnsi="Times New Roman"/>
        </w:rPr>
        <w:t>stochastic reserve</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p>
    <w:p w14:paraId="4D321BB3" w14:textId="55A166DA" w:rsidR="003129FE" w:rsidRPr="0036322F" w:rsidRDefault="003129FE" w:rsidP="004E4618">
      <w:pPr>
        <w:spacing w:after="220" w:line="240" w:lineRule="auto"/>
        <w:ind w:left="1440" w:hanging="720"/>
        <w:rPr>
          <w:rFonts w:ascii="Times New Roman" w:eastAsia="Times New Roman" w:hAnsi="Times New Roman"/>
        </w:rPr>
      </w:pPr>
      <w:r>
        <w:rPr>
          <w:rFonts w:ascii="Times New Roman" w:eastAsia="Times New Roman" w:hAnsi="Times New Roman"/>
        </w:rPr>
        <w:t>2</w:t>
      </w:r>
      <w:r w:rsidRPr="0036322F">
        <w:rPr>
          <w:rFonts w:ascii="Times New Roman" w:eastAsia="Times New Roman" w:hAnsi="Times New Roman"/>
        </w:rPr>
        <w:t>.</w:t>
      </w:r>
      <w:r w:rsidRPr="0036322F">
        <w:rPr>
          <w:rFonts w:ascii="Times New Roman" w:eastAsia="Times New Roman" w:hAnsi="Times New Roman"/>
        </w:rPr>
        <w:tab/>
      </w:r>
      <w:r w:rsidR="00DD29B3" w:rsidRPr="00B81732">
        <w:rPr>
          <w:rFonts w:ascii="Times New Roman" w:eastAsia="Times New Roman" w:hAnsi="Times New Roman"/>
        </w:rPr>
        <w:t>In force</w:t>
      </w:r>
      <w:r w:rsidRPr="00B81732">
        <w:rPr>
          <w:rFonts w:ascii="Times New Roman" w:eastAsia="Times New Roman" w:hAnsi="Times New Roman"/>
        </w:rPr>
        <w:t xml:space="preserve"> Used </w:t>
      </w:r>
      <w:r>
        <w:rPr>
          <w:rFonts w:ascii="Times New Roman" w:eastAsia="Times New Roman" w:hAnsi="Times New Roman"/>
        </w:rPr>
        <w:t>for</w:t>
      </w:r>
      <w:r w:rsidRPr="00B81732">
        <w:rPr>
          <w:rFonts w:ascii="Times New Roman" w:eastAsia="Times New Roman" w:hAnsi="Times New Roman"/>
        </w:rPr>
        <w:t xml:space="preserve"> the </w:t>
      </w:r>
      <w:r>
        <w:rPr>
          <w:rFonts w:ascii="Times New Roman" w:eastAsia="Times New Roman" w:hAnsi="Times New Roman"/>
        </w:rPr>
        <w:t xml:space="preserve">Additional </w:t>
      </w:r>
      <w:r w:rsidRPr="00B81732">
        <w:rPr>
          <w:rFonts w:ascii="Times New Roman" w:eastAsia="Times New Roman" w:hAnsi="Times New Roman"/>
        </w:rPr>
        <w:t>Standard Projection</w:t>
      </w:r>
      <w:r>
        <w:rPr>
          <w:rFonts w:ascii="Times New Roman" w:eastAsia="Times New Roman" w:hAnsi="Times New Roman"/>
        </w:rPr>
        <w:t xml:space="preserve"> Amount</w:t>
      </w:r>
    </w:p>
    <w:p w14:paraId="6A62262A" w14:textId="4C865C4D" w:rsidR="003129FE" w:rsidRPr="004847FE" w:rsidRDefault="003129FE" w:rsidP="00067EEF">
      <w:pPr>
        <w:spacing w:after="220" w:line="240" w:lineRule="auto"/>
        <w:ind w:left="1440"/>
        <w:rPr>
          <w:rFonts w:ascii="Times New Roman" w:hAnsi="Times New Roman"/>
        </w:rPr>
      </w:pPr>
      <w:r w:rsidRPr="0036322F">
        <w:rPr>
          <w:rFonts w:ascii="Times New Roman" w:eastAsia="Times New Roman" w:hAnsi="Times New Roman"/>
        </w:rPr>
        <w:t xml:space="preserve">If the </w:t>
      </w:r>
      <w:r>
        <w:rPr>
          <w:rFonts w:ascii="Times New Roman" w:eastAsia="Times New Roman" w:hAnsi="Times New Roman"/>
        </w:rPr>
        <w:t>stochastic reserve</w:t>
      </w:r>
      <w:r w:rsidRPr="0036322F">
        <w:rPr>
          <w:rFonts w:ascii="Times New Roman" w:eastAsia="Times New Roman" w:hAnsi="Times New Roman"/>
        </w:rPr>
        <w:t xml:space="preserve"> is determined by the use of a model office, which is a grouping of contracts into representative cells, </w:t>
      </w:r>
      <w:r>
        <w:rPr>
          <w:rFonts w:ascii="Times New Roman" w:eastAsia="Times New Roman" w:hAnsi="Times New Roman"/>
        </w:rPr>
        <w:t xml:space="preserve">the model office </w:t>
      </w:r>
      <w:r w:rsidRPr="0036322F">
        <w:rPr>
          <w:rFonts w:ascii="Times New Roman" w:eastAsia="Times New Roman" w:hAnsi="Times New Roman"/>
        </w:rPr>
        <w:t xml:space="preserve">shall be </w:t>
      </w:r>
      <w:r>
        <w:rPr>
          <w:rFonts w:ascii="Times New Roman" w:eastAsia="Times New Roman" w:hAnsi="Times New Roman"/>
        </w:rPr>
        <w:t>replaced with a seriatim</w:t>
      </w:r>
      <w:r w:rsidRPr="0036322F">
        <w:rPr>
          <w:rFonts w:ascii="Times New Roman" w:eastAsia="Times New Roman" w:hAnsi="Times New Roman"/>
        </w:rPr>
        <w:t xml:space="preserve"> in</w:t>
      </w:r>
      <w:r>
        <w:rPr>
          <w:rFonts w:ascii="Times New Roman" w:eastAsia="Times New Roman" w:hAnsi="Times New Roman"/>
        </w:rPr>
        <w:t xml:space="preserve"> </w:t>
      </w:r>
      <w:r w:rsidRPr="0036322F">
        <w:rPr>
          <w:rFonts w:ascii="Times New Roman" w:eastAsia="Times New Roman" w:hAnsi="Times New Roman"/>
        </w:rPr>
        <w:t xml:space="preserve">force </w:t>
      </w:r>
      <w:r>
        <w:rPr>
          <w:rFonts w:ascii="Times New Roman" w:eastAsia="Times New Roman" w:hAnsi="Times New Roman"/>
        </w:rPr>
        <w:t xml:space="preserve">prior </w:t>
      </w:r>
      <w:r w:rsidRPr="0036322F">
        <w:rPr>
          <w:rFonts w:ascii="Times New Roman" w:eastAsia="Times New Roman" w:hAnsi="Times New Roman"/>
        </w:rPr>
        <w:t xml:space="preserve">to the projection </w:t>
      </w:r>
      <w:r>
        <w:rPr>
          <w:rFonts w:ascii="Times New Roman" w:eastAsia="Times New Roman" w:hAnsi="Times New Roman"/>
        </w:rPr>
        <w:t xml:space="preserve">needed to calculate the additional standard projection amount if the CSMP method described in Section 6.B.2.a is used.  If the company elects to calculate the additional standard projection amount using the CTEPA method described in Section 6.B.2.b, it may continue to use the same model office grouping of contracts, or one that is no less granular than the grouping that was used to determine the stochastic reserve, provided that, using such a grouped </w:t>
      </w:r>
      <w:r w:rsidR="00DD29B3">
        <w:rPr>
          <w:rFonts w:ascii="Times New Roman" w:eastAsia="Times New Roman" w:hAnsi="Times New Roman"/>
        </w:rPr>
        <w:t>in force</w:t>
      </w:r>
      <w:r>
        <w:rPr>
          <w:rFonts w:ascii="Times New Roman" w:eastAsia="Times New Roman" w:hAnsi="Times New Roman"/>
        </w:rPr>
        <w:t xml:space="preserve"> does not materially reduce the additional standard projection amount</w:t>
      </w:r>
      <w:r w:rsidRPr="004847FE">
        <w:rPr>
          <w:rFonts w:ascii="Times New Roman" w:hAnsi="Times New Roman"/>
        </w:rPr>
        <w:t xml:space="preserve"> that </w:t>
      </w:r>
      <w:r>
        <w:rPr>
          <w:rFonts w:ascii="Times New Roman" w:eastAsia="Times New Roman" w:hAnsi="Times New Roman"/>
        </w:rPr>
        <w:t xml:space="preserve">would result from using a seriatim </w:t>
      </w:r>
      <w:r w:rsidR="00DD29B3">
        <w:rPr>
          <w:rFonts w:ascii="Times New Roman" w:eastAsia="Times New Roman" w:hAnsi="Times New Roman"/>
        </w:rPr>
        <w:t>in force</w:t>
      </w:r>
      <w:r w:rsidRPr="004847FE">
        <w:rPr>
          <w:rFonts w:ascii="Times New Roman" w:hAnsi="Times New Roman"/>
        </w:rPr>
        <w:t>.</w:t>
      </w:r>
    </w:p>
    <w:p w14:paraId="4EA9FB36" w14:textId="3E266D92" w:rsidR="003129FE" w:rsidRPr="00812CAC" w:rsidRDefault="003129FE" w:rsidP="004E4618">
      <w:pPr>
        <w:spacing w:after="220" w:line="240" w:lineRule="auto"/>
        <w:rPr>
          <w:rFonts w:ascii="Times New Roman" w:eastAsia="Times New Roman" w:hAnsi="Times New Roman"/>
        </w:rPr>
      </w:pPr>
    </w:p>
    <w:p w14:paraId="01DE32D9" w14:textId="24F58B04" w:rsidR="003129FE" w:rsidRPr="00812CAC" w:rsidRDefault="003129FE" w:rsidP="004E4618">
      <w:pPr>
        <w:spacing w:after="220" w:line="240" w:lineRule="auto"/>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445154F8" w14:textId="77777777" w:rsidR="003129FE" w:rsidRPr="00812CAC" w:rsidRDefault="003129FE" w:rsidP="00067EEF">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7F359964" w14:textId="5C5DF5CD" w:rsidR="003129FE" w:rsidRDefault="003129FE" w:rsidP="00067EEF">
      <w:pPr>
        <w:spacing w:after="220" w:line="240" w:lineRule="auto"/>
        <w:ind w:left="1440"/>
        <w:rPr>
          <w:rFonts w:ascii="Times New Roman" w:eastAsia="Times New Roman" w:hAnsi="Times New Roman"/>
        </w:rPr>
      </w:pPr>
      <w:r w:rsidRPr="00812CAC">
        <w:rPr>
          <w:rFonts w:ascii="Times New Roman" w:eastAsia="Times New Roman" w:hAnsi="Times New Roman"/>
        </w:rPr>
        <w:t xml:space="preserve">Where not inconsistent with the guidance given here, the process and methods used to determine the </w:t>
      </w:r>
      <w:r>
        <w:rPr>
          <w:rFonts w:ascii="Times New Roman" w:eastAsia="Times New Roman" w:hAnsi="Times New Roman"/>
        </w:rPr>
        <w:t xml:space="preserve">Additional </w:t>
      </w:r>
      <w:r w:rsidRPr="00812CAC">
        <w:rPr>
          <w:rFonts w:ascii="Times New Roman" w:eastAsia="Times New Roman" w:hAnsi="Times New Roman"/>
        </w:rPr>
        <w:t xml:space="preserve">Standard </w:t>
      </w:r>
      <w:r>
        <w:rPr>
          <w:rFonts w:ascii="Times New Roman" w:eastAsia="Times New Roman" w:hAnsi="Times New Roman"/>
        </w:rPr>
        <w:t>Projection Amount</w:t>
      </w:r>
      <w:r w:rsidRPr="00812CAC">
        <w:rPr>
          <w:rFonts w:ascii="Times New Roman" w:eastAsia="Times New Roman" w:hAnsi="Times New Roman"/>
        </w:rPr>
        <w:t xml:space="preserve"> under </w:t>
      </w:r>
      <w:r>
        <w:rPr>
          <w:rFonts w:ascii="Times New Roman" w:eastAsia="Times New Roman" w:hAnsi="Times New Roman"/>
        </w:rPr>
        <w:t>either the CSMP method or the CTEPA method</w:t>
      </w:r>
      <w:r w:rsidRPr="00812CAC">
        <w:rPr>
          <w:rFonts w:ascii="Times New Roman" w:eastAsia="Times New Roman" w:hAnsi="Times New Roman"/>
        </w:rPr>
        <w:t xml:space="preserve"> shall be the same as required in the calculation of the </w:t>
      </w:r>
      <w:r>
        <w:rPr>
          <w:rFonts w:ascii="Times New Roman" w:eastAsia="Times New Roman" w:hAnsi="Times New Roman"/>
        </w:rPr>
        <w:t>stochastic reserve</w:t>
      </w:r>
      <w:r w:rsidRPr="00812CAC">
        <w:rPr>
          <w:rFonts w:ascii="Times New Roman" w:eastAsia="Times New Roman" w:hAnsi="Times New Roman"/>
        </w:rPr>
        <w:t xml:space="preserve"> as described in Section </w:t>
      </w:r>
      <w:r>
        <w:rPr>
          <w:rFonts w:ascii="Times New Roman" w:eastAsia="Times New Roman" w:hAnsi="Times New Roman"/>
        </w:rPr>
        <w:t>3.D</w:t>
      </w:r>
      <w:r w:rsidRPr="00812CAC">
        <w:rPr>
          <w:rFonts w:ascii="Times New Roman" w:eastAsia="Times New Roman" w:hAnsi="Times New Roman"/>
        </w:rPr>
        <w:t xml:space="preserve"> of these requirements. Any additional assumptions needed to determine the </w:t>
      </w:r>
      <w:r>
        <w:rPr>
          <w:rFonts w:ascii="Times New Roman" w:eastAsia="Times New Roman" w:hAnsi="Times New Roman"/>
        </w:rPr>
        <w:t>additional s</w:t>
      </w:r>
      <w:r w:rsidRPr="00812CAC">
        <w:rPr>
          <w:rFonts w:ascii="Times New Roman" w:eastAsia="Times New Roman" w:hAnsi="Times New Roman"/>
        </w:rPr>
        <w:t xml:space="preserve">tandard </w:t>
      </w:r>
      <w:r>
        <w:rPr>
          <w:rFonts w:ascii="Times New Roman" w:eastAsia="Times New Roman" w:hAnsi="Times New Roman"/>
        </w:rPr>
        <w:t>projection amount</w:t>
      </w:r>
      <w:r w:rsidRPr="00812CAC">
        <w:rPr>
          <w:rFonts w:ascii="Times New Roman" w:eastAsia="Times New Roman" w:hAnsi="Times New Roman"/>
        </w:rPr>
        <w:t xml:space="preserve"> shall be explicitly documented.</w:t>
      </w:r>
    </w:p>
    <w:p w14:paraId="464A865E" w14:textId="2469A5C2" w:rsidR="003129FE" w:rsidRPr="00812CAC" w:rsidRDefault="003129FE" w:rsidP="00067EEF">
      <w:pPr>
        <w:spacing w:after="220" w:line="240" w:lineRule="auto"/>
        <w:ind w:left="720"/>
        <w:rPr>
          <w:rFonts w:ascii="Times New Roman" w:eastAsia="Times New Roman" w:hAnsi="Times New Roman"/>
        </w:rPr>
      </w:pPr>
      <w:r w:rsidRPr="00812CAC">
        <w:rPr>
          <w:rFonts w:ascii="Times New Roman" w:eastAsia="Times New Roman" w:hAnsi="Times New Roman"/>
        </w:rPr>
        <w:t>2.</w:t>
      </w:r>
      <w:r w:rsidRPr="00812CAC">
        <w:rPr>
          <w:rFonts w:ascii="Times New Roman" w:eastAsia="Times New Roman" w:hAnsi="Times New Roman"/>
        </w:rPr>
        <w:tab/>
        <w:t xml:space="preserve">Standard </w:t>
      </w:r>
      <w:r>
        <w:rPr>
          <w:rFonts w:ascii="Times New Roman" w:eastAsia="Times New Roman" w:hAnsi="Times New Roman"/>
        </w:rPr>
        <w:t>Projection</w:t>
      </w:r>
      <w:r w:rsidRPr="00812CAC">
        <w:rPr>
          <w:rFonts w:ascii="Times New Roman" w:eastAsia="Times New Roman" w:hAnsi="Times New Roman"/>
        </w:rPr>
        <w:t xml:space="preserve"> Method</w:t>
      </w:r>
    </w:p>
    <w:p w14:paraId="34119380" w14:textId="77777777" w:rsidR="003129FE" w:rsidRPr="00812CAC" w:rsidRDefault="003129FE" w:rsidP="004E4618">
      <w:pPr>
        <w:spacing w:after="220" w:line="240" w:lineRule="auto"/>
        <w:ind w:left="1440"/>
        <w:rPr>
          <w:rFonts w:ascii="Times New Roman" w:eastAsia="Times New Roman" w:hAnsi="Times New Roman"/>
        </w:rPr>
      </w:pPr>
      <w:r>
        <w:rPr>
          <w:rFonts w:ascii="Times New Roman" w:eastAsia="Times New Roman" w:hAnsi="Times New Roman"/>
        </w:rPr>
        <w:t>T</w:t>
      </w:r>
      <w:r w:rsidRPr="00812CAC">
        <w:rPr>
          <w:rFonts w:ascii="Times New Roman" w:eastAsia="Times New Roman" w:hAnsi="Times New Roman"/>
        </w:rPr>
        <w:t>he</w:t>
      </w:r>
      <w:r>
        <w:rPr>
          <w:rFonts w:ascii="Times New Roman" w:eastAsia="Times New Roman" w:hAnsi="Times New Roman"/>
        </w:rPr>
        <w:t xml:space="preserve"> company shall determine the Prescribed Projections Amount</w:t>
      </w:r>
      <w:r w:rsidRPr="004665D7">
        <w:rPr>
          <w:rFonts w:ascii="Times New Roman" w:eastAsia="Times New Roman" w:hAnsi="Times New Roman"/>
        </w:rPr>
        <w:t xml:space="preserve"> </w:t>
      </w:r>
      <w:r>
        <w:rPr>
          <w:rFonts w:ascii="Times New Roman" w:eastAsia="Times New Roman" w:hAnsi="Times New Roman"/>
        </w:rPr>
        <w:t xml:space="preserve">by following </w:t>
      </w:r>
      <w:r w:rsidRPr="00C256BB">
        <w:rPr>
          <w:rFonts w:ascii="Times New Roman" w:eastAsia="Times New Roman" w:hAnsi="Times New Roman"/>
        </w:rPr>
        <w:t>either</w:t>
      </w:r>
      <w:r>
        <w:rPr>
          <w:rFonts w:ascii="Times New Roman" w:eastAsia="Times New Roman" w:hAnsi="Times New Roman"/>
        </w:rPr>
        <w:t xml:space="preserve"> the Company-Specific Market Path (CSMP) Method or the CTE with Prescribed Assumptions (CTEPA) Method below.  A company may not change the method used from one valuation to the next without approval of the domiciliary commissioner.</w:t>
      </w:r>
    </w:p>
    <w:p w14:paraId="58922765" w14:textId="42B53C23" w:rsidR="003129FE" w:rsidRDefault="003129FE" w:rsidP="00CC2E32">
      <w:pPr>
        <w:spacing w:after="220" w:line="240" w:lineRule="auto"/>
        <w:ind w:left="2160" w:hanging="72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CSMP Method:</w:t>
      </w:r>
    </w:p>
    <w:p w14:paraId="79FE41FA"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The company shall apply this method to a seriatim in-force; </w:t>
      </w:r>
    </w:p>
    <w:p w14:paraId="2A36106D" w14:textId="77777777" w:rsidR="003129FE" w:rsidRPr="00812CAC"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ii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Calculate the </w:t>
      </w:r>
      <w:r w:rsidRPr="004665D7">
        <w:rPr>
          <w:rFonts w:ascii="Times New Roman" w:eastAsia="Times New Roman" w:hAnsi="Times New Roman"/>
        </w:rPr>
        <w:t xml:space="preserve">scenario </w:t>
      </w:r>
      <w:r>
        <w:rPr>
          <w:rFonts w:ascii="Times New Roman" w:eastAsia="Times New Roman" w:hAnsi="Times New Roman"/>
        </w:rPr>
        <w:t>reserve</w:t>
      </w:r>
      <w:r w:rsidRPr="004665D7">
        <w:rPr>
          <w:rFonts w:ascii="Times New Roman" w:eastAsia="Times New Roman" w:hAnsi="Times New Roman"/>
        </w:rPr>
        <w:t xml:space="preserve">, as defined in </w:t>
      </w:r>
      <w:r>
        <w:rPr>
          <w:rFonts w:ascii="Times New Roman" w:eastAsia="Times New Roman" w:hAnsi="Times New Roman"/>
        </w:rPr>
        <w:t>VM-01</w:t>
      </w:r>
      <w:r w:rsidRPr="004665D7">
        <w:rPr>
          <w:rFonts w:ascii="Times New Roman" w:eastAsia="Times New Roman" w:hAnsi="Times New Roman"/>
        </w:rPr>
        <w:t xml:space="preserve"> and discussed further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4</w:t>
      </w:r>
      <w:r w:rsidRPr="004665D7">
        <w:rPr>
          <w:rFonts w:ascii="Times New Roman" w:eastAsia="Times New Roman" w:hAnsi="Times New Roman"/>
        </w:rPr>
        <w:t xml:space="preserve">.B, for each of the prescribed </w:t>
      </w:r>
      <w:r>
        <w:rPr>
          <w:rFonts w:ascii="Times New Roman" w:eastAsia="Times New Roman" w:hAnsi="Times New Roman"/>
        </w:rPr>
        <w:t>market paths</w:t>
      </w:r>
      <w:r w:rsidRPr="004665D7">
        <w:rPr>
          <w:rFonts w:ascii="Times New Roman" w:eastAsia="Times New Roman" w:hAnsi="Times New Roman"/>
        </w:rPr>
        <w:t xml:space="preserve">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6.B.5</w:t>
      </w:r>
      <w:r w:rsidRPr="004665D7">
        <w:rPr>
          <w:rFonts w:ascii="Times New Roman" w:eastAsia="Times New Roman" w:hAnsi="Times New Roman"/>
        </w:rPr>
        <w:t xml:space="preserve"> using the </w:t>
      </w:r>
      <w:r w:rsidRPr="004665D7">
        <w:rPr>
          <w:rFonts w:ascii="Times New Roman" w:eastAsia="Times New Roman" w:hAnsi="Times New Roman"/>
        </w:rPr>
        <w:lastRenderedPageBreak/>
        <w:t xml:space="preserve">same method and assumptions as those that the company uses to calculate scenario </w:t>
      </w:r>
      <w:r>
        <w:rPr>
          <w:rFonts w:ascii="Times New Roman" w:eastAsia="Times New Roman" w:hAnsi="Times New Roman"/>
        </w:rPr>
        <w:t xml:space="preserve">reserves </w:t>
      </w:r>
      <w:r w:rsidRPr="004665D7">
        <w:rPr>
          <w:rFonts w:ascii="Times New Roman" w:eastAsia="Times New Roman" w:hAnsi="Times New Roman"/>
        </w:rPr>
        <w:t>for purposes of determining the CTE</w:t>
      </w:r>
      <w:r>
        <w:rPr>
          <w:rFonts w:ascii="Times New Roman" w:eastAsia="Times New Roman" w:hAnsi="Times New Roman"/>
        </w:rPr>
        <w:t xml:space="preserve">70 </w:t>
      </w:r>
      <w:r w:rsidRPr="004665D7">
        <w:rPr>
          <w:rFonts w:ascii="Times New Roman" w:eastAsia="Times New Roman" w:hAnsi="Times New Roman"/>
        </w:rPr>
        <w:t>(adjusted)</w:t>
      </w:r>
      <w:r w:rsidRPr="000A5678">
        <w:rPr>
          <w:rStyle w:val="FootnoteReference"/>
          <w:rFonts w:ascii="Times New Roman" w:eastAsia="Times New Roman" w:hAnsi="Times New Roman"/>
        </w:rPr>
        <w:t xml:space="preserve"> </w:t>
      </w:r>
      <w:r>
        <w:rPr>
          <w:rStyle w:val="FootnoteReference"/>
          <w:rFonts w:ascii="Times New Roman" w:eastAsia="Times New Roman" w:hAnsi="Times New Roman"/>
        </w:rPr>
        <w:footnoteReference w:id="3"/>
      </w:r>
      <w:r w:rsidRPr="004665D7">
        <w:rPr>
          <w:rFonts w:ascii="Times New Roman" w:eastAsia="Times New Roman" w:hAnsi="Times New Roman"/>
        </w:rPr>
        <w:t xml:space="preserve">, as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9.C</w:t>
      </w:r>
      <w:r w:rsidRPr="004665D7">
        <w:rPr>
          <w:rFonts w:ascii="Times New Roman" w:eastAsia="Times New Roman" w:hAnsi="Times New Roman"/>
        </w:rPr>
        <w:t xml:space="preserve">. These scenario </w:t>
      </w:r>
      <w:r>
        <w:rPr>
          <w:rFonts w:ascii="Times New Roman" w:eastAsia="Times New Roman" w:hAnsi="Times New Roman"/>
        </w:rPr>
        <w:t>reserves</w:t>
      </w:r>
      <w:r w:rsidRPr="004665D7">
        <w:rPr>
          <w:rFonts w:ascii="Times New Roman" w:eastAsia="Times New Roman" w:hAnsi="Times New Roman"/>
        </w:rPr>
        <w:t xml:space="preserve"> shall collectively be referred to as Company Standard Projection Set;</w:t>
      </w:r>
    </w:p>
    <w:p w14:paraId="77210222" w14:textId="0408BC20" w:rsidR="003129FE" w:rsidRPr="00812CAC"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iii</w:t>
      </w:r>
      <w:r w:rsidRPr="00812CAC">
        <w:rPr>
          <w:rFonts w:ascii="Times New Roman" w:eastAsia="Times New Roman" w:hAnsi="Times New Roman"/>
        </w:rPr>
        <w:t>.</w:t>
      </w:r>
      <w:r w:rsidRPr="00812CAC">
        <w:rPr>
          <w:rFonts w:ascii="Times New Roman" w:eastAsia="Times New Roman" w:hAnsi="Times New Roman"/>
        </w:rPr>
        <w:tab/>
      </w:r>
      <w:r w:rsidRPr="00660E0F">
        <w:rPr>
          <w:rFonts w:ascii="Times New Roman" w:eastAsia="Times New Roman" w:hAnsi="Times New Roman"/>
        </w:rPr>
        <w:t xml:space="preserve">Recalculate all of 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Company Standard Projection Set using the same </w:t>
      </w:r>
      <w:r>
        <w:rPr>
          <w:rFonts w:ascii="Times New Roman" w:eastAsia="Times New Roman" w:hAnsi="Times New Roman"/>
        </w:rPr>
        <w:t>method</w:t>
      </w:r>
      <w:r w:rsidRPr="00660E0F">
        <w:rPr>
          <w:rFonts w:ascii="Times New Roman" w:eastAsia="Times New Roman" w:hAnsi="Times New Roman"/>
        </w:rPr>
        <w:t xml:space="preserve"> as that outlined in step </w:t>
      </w:r>
      <w:r>
        <w:rPr>
          <w:rFonts w:ascii="Times New Roman" w:eastAsia="Times New Roman" w:hAnsi="Times New Roman"/>
        </w:rPr>
        <w:t>(a</w:t>
      </w:r>
      <w:r w:rsidRPr="00660E0F">
        <w:rPr>
          <w:rFonts w:ascii="Times New Roman" w:eastAsia="Times New Roman" w:hAnsi="Times New Roman"/>
        </w:rPr>
        <w:t xml:space="preserve">) above, but </w:t>
      </w:r>
      <w:r>
        <w:rPr>
          <w:rFonts w:ascii="Times New Roman" w:eastAsia="Times New Roman" w:hAnsi="Times New Roman"/>
        </w:rPr>
        <w:t>substituting</w:t>
      </w:r>
      <w:r w:rsidRPr="00660E0F">
        <w:rPr>
          <w:rFonts w:ascii="Times New Roman" w:eastAsia="Times New Roman" w:hAnsi="Times New Roman"/>
        </w:rPr>
        <w:t xml:space="preserve"> the assumptions prescribed by </w:t>
      </w:r>
      <w:r>
        <w:rPr>
          <w:rFonts w:ascii="Times New Roman" w:eastAsia="Times New Roman" w:hAnsi="Times New Roman"/>
        </w:rPr>
        <w:t>S</w:t>
      </w:r>
      <w:r w:rsidRPr="00660E0F">
        <w:rPr>
          <w:rFonts w:ascii="Times New Roman" w:eastAsia="Times New Roman" w:hAnsi="Times New Roman"/>
        </w:rPr>
        <w:t>ection</w:t>
      </w:r>
      <w:r>
        <w:rPr>
          <w:rFonts w:ascii="Times New Roman" w:eastAsia="Times New Roman" w:hAnsi="Times New Roman"/>
        </w:rPr>
        <w:t xml:space="preserve"> 6.C</w:t>
      </w:r>
      <w:r w:rsidRPr="00660E0F">
        <w:rPr>
          <w:rFonts w:ascii="Times New Roman" w:eastAsia="Times New Roman" w:hAnsi="Times New Roman"/>
        </w:rPr>
        <w:t xml:space="preserve"> and </w:t>
      </w:r>
      <w:r>
        <w:rPr>
          <w:rFonts w:ascii="Times New Roman" w:eastAsia="Times New Roman" w:hAnsi="Times New Roman"/>
        </w:rPr>
        <w:t>using</w:t>
      </w:r>
      <w:r w:rsidRPr="00660E0F">
        <w:rPr>
          <w:rFonts w:ascii="Times New Roman" w:eastAsia="Times New Roman" w:hAnsi="Times New Roman"/>
        </w:rPr>
        <w:t xml:space="preserve"> the modeled </w:t>
      </w:r>
      <w:r w:rsidR="00DD29B3" w:rsidRPr="00660E0F">
        <w:rPr>
          <w:rFonts w:ascii="Times New Roman" w:eastAsia="Times New Roman" w:hAnsi="Times New Roman"/>
        </w:rPr>
        <w:t>in force</w:t>
      </w:r>
      <w:r w:rsidRPr="00660E0F">
        <w:rPr>
          <w:rFonts w:ascii="Times New Roman" w:eastAsia="Times New Roman" w:hAnsi="Times New Roman"/>
        </w:rPr>
        <w:t xml:space="preserve"> prescribed by </w:t>
      </w:r>
      <w:r>
        <w:rPr>
          <w:rFonts w:ascii="Times New Roman" w:eastAsia="Times New Roman" w:hAnsi="Times New Roman"/>
        </w:rPr>
        <w:t>S</w:t>
      </w:r>
      <w:r w:rsidRPr="00660E0F">
        <w:rPr>
          <w:rFonts w:ascii="Times New Roman" w:eastAsia="Times New Roman" w:hAnsi="Times New Roman"/>
        </w:rPr>
        <w:t>ection</w:t>
      </w:r>
      <w:r>
        <w:rPr>
          <w:rFonts w:ascii="Times New Roman" w:eastAsia="Times New Roman" w:hAnsi="Times New Roman"/>
        </w:rPr>
        <w:t xml:space="preserve"> 6.A.2</w:t>
      </w:r>
      <w:r w:rsidRPr="00660E0F">
        <w:rPr>
          <w:rFonts w:ascii="Times New Roman" w:eastAsia="Times New Roman" w:hAnsi="Times New Roman"/>
        </w:rPr>
        <w:t xml:space="preserve">. These recalculated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shall collectively be referred to as Prescribed Standard Projection Set;</w:t>
      </w:r>
    </w:p>
    <w:p w14:paraId="485BB8B4" w14:textId="77777777" w:rsidR="003129FE" w:rsidRPr="00812CAC"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Identify</w:t>
      </w:r>
      <w:r w:rsidRPr="00D93A80">
        <w:rPr>
          <w:rFonts w:ascii="Times New Roman" w:eastAsia="Times New Roman" w:hAnsi="Times New Roman"/>
        </w:rPr>
        <w:t xml:space="preserve"> the </w:t>
      </w:r>
      <w:r>
        <w:rPr>
          <w:rFonts w:ascii="Times New Roman" w:eastAsia="Times New Roman" w:hAnsi="Times New Roman"/>
        </w:rPr>
        <w:t xml:space="preserve">market </w:t>
      </w:r>
      <w:r w:rsidRPr="00D93A80">
        <w:rPr>
          <w:rFonts w:ascii="Times New Roman" w:eastAsia="Times New Roman" w:hAnsi="Times New Roman"/>
        </w:rPr>
        <w:t xml:space="preserve">path </w:t>
      </w:r>
      <w:r>
        <w:rPr>
          <w:rFonts w:ascii="Times New Roman" w:eastAsia="Times New Roman" w:hAnsi="Times New Roman"/>
        </w:rPr>
        <w:t>from the Company Standard Projection Set such that</w:t>
      </w:r>
      <w:r w:rsidRPr="00D93A80">
        <w:rPr>
          <w:rFonts w:ascii="Times New Roman" w:eastAsia="Times New Roman" w:hAnsi="Times New Roman"/>
        </w:rPr>
        <w:t xml:space="preserve"> </w:t>
      </w:r>
      <w:r>
        <w:rPr>
          <w:rFonts w:ascii="Times New Roman" w:eastAsia="Times New Roman" w:hAnsi="Times New Roman"/>
        </w:rPr>
        <w:t>the scenario reserve</w:t>
      </w:r>
      <w:r w:rsidRPr="00D93A80">
        <w:rPr>
          <w:rFonts w:ascii="Times New Roman" w:eastAsia="Times New Roman" w:hAnsi="Times New Roman"/>
        </w:rPr>
        <w:t xml:space="preserve"> is closest to</w:t>
      </w:r>
      <w:r>
        <w:rPr>
          <w:rFonts w:ascii="Times New Roman" w:eastAsia="Times New Roman" w:hAnsi="Times New Roman"/>
        </w:rPr>
        <w:t xml:space="preserve"> the CTE70 (adjusted</w:t>
      </w:r>
      <w:r w:rsidRPr="00D93A80">
        <w:rPr>
          <w:rFonts w:ascii="Times New Roman" w:eastAsia="Times New Roman" w:hAnsi="Times New Roman"/>
        </w:rPr>
        <w:t xml:space="preserve">), designated </w:t>
      </w:r>
      <w:r>
        <w:rPr>
          <w:rFonts w:ascii="Times New Roman" w:eastAsia="Times New Roman" w:hAnsi="Times New Roman"/>
        </w:rPr>
        <w:t>as</w:t>
      </w:r>
      <w:r w:rsidRPr="00D93A80">
        <w:rPr>
          <w:rFonts w:ascii="Times New Roman" w:eastAsia="Times New Roman" w:hAnsi="Times New Roman"/>
        </w:rPr>
        <w:t xml:space="preserve"> Path</w:t>
      </w:r>
      <w:r>
        <w:rPr>
          <w:rFonts w:ascii="Times New Roman" w:eastAsia="Times New Roman" w:hAnsi="Times New Roman"/>
        </w:rPr>
        <w:t xml:space="preserve"> A.  This scenario reserve shall be referred to as Company Amount A</w:t>
      </w:r>
      <w:r w:rsidRPr="00660E0F">
        <w:rPr>
          <w:rFonts w:ascii="Times New Roman" w:eastAsia="Times New Roman" w:hAnsi="Times New Roman"/>
        </w:rPr>
        <w:t>;</w:t>
      </w:r>
    </w:p>
    <w:p w14:paraId="01C9B007" w14:textId="77777777" w:rsidR="003129FE" w:rsidRPr="00704B3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v</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w:t>
      </w:r>
      <w:r w:rsidRPr="00704B3B">
        <w:rPr>
          <w:rFonts w:ascii="Times New Roman" w:eastAsia="Times New Roman" w:hAnsi="Times New Roman"/>
        </w:rPr>
        <w:t xml:space="preserve">dentify the following </w:t>
      </w:r>
      <w:r>
        <w:rPr>
          <w:rFonts w:ascii="Times New Roman" w:eastAsia="Times New Roman" w:hAnsi="Times New Roman"/>
        </w:rPr>
        <w:t>four</w:t>
      </w:r>
      <w:r w:rsidRPr="00704B3B">
        <w:rPr>
          <w:rFonts w:ascii="Times New Roman" w:eastAsia="Times New Roman" w:hAnsi="Times New Roman"/>
        </w:rPr>
        <w:t xml:space="preserve"> market paths:</w:t>
      </w:r>
    </w:p>
    <w:p w14:paraId="3172BFD4" w14:textId="77777777" w:rsidR="003129FE" w:rsidRDefault="003129FE" w:rsidP="004E4618">
      <w:pPr>
        <w:spacing w:after="220" w:line="240" w:lineRule="auto"/>
        <w:ind w:left="2160"/>
        <w:rPr>
          <w:rFonts w:ascii="Times New Roman" w:eastAsia="Times New Roman" w:hAnsi="Times New Roman"/>
        </w:rPr>
      </w:pPr>
      <w:r w:rsidRPr="00704B3B">
        <w:rPr>
          <w:rFonts w:ascii="Times New Roman" w:eastAsia="Times New Roman" w:hAnsi="Times New Roman"/>
        </w:rPr>
        <w:t xml:space="preserve">- </w:t>
      </w:r>
      <w:r>
        <w:rPr>
          <w:rFonts w:ascii="Times New Roman" w:eastAsia="Times New Roman" w:hAnsi="Times New Roman"/>
        </w:rPr>
        <w:t>two</w:t>
      </w:r>
      <w:r w:rsidRPr="00704B3B">
        <w:rPr>
          <w:rFonts w:ascii="Times New Roman" w:eastAsia="Times New Roman" w:hAnsi="Times New Roman"/>
        </w:rPr>
        <w:t xml:space="preserve"> paths with </w:t>
      </w:r>
      <w:r>
        <w:rPr>
          <w:rFonts w:ascii="Times New Roman" w:eastAsia="Times New Roman" w:hAnsi="Times New Roman"/>
        </w:rPr>
        <w:t xml:space="preserve">the </w:t>
      </w:r>
      <w:r w:rsidRPr="00704B3B">
        <w:rPr>
          <w:rFonts w:ascii="Times New Roman" w:eastAsia="Times New Roman" w:hAnsi="Times New Roman"/>
        </w:rPr>
        <w:t xml:space="preserve">same </w:t>
      </w:r>
      <w:r>
        <w:rPr>
          <w:rFonts w:ascii="Times New Roman" w:eastAsia="Times New Roman" w:hAnsi="Times New Roman"/>
        </w:rPr>
        <w:t>starting interest rate</w:t>
      </w:r>
      <w:r w:rsidRPr="00704B3B">
        <w:rPr>
          <w:rFonts w:ascii="Times New Roman" w:eastAsia="Times New Roman" w:hAnsi="Times New Roman"/>
        </w:rPr>
        <w:t xml:space="preserve"> as Path</w:t>
      </w:r>
      <w:r>
        <w:rPr>
          <w:rFonts w:ascii="Times New Roman" w:eastAsia="Times New Roman" w:hAnsi="Times New Roman"/>
        </w:rPr>
        <w:t xml:space="preserve"> A</w:t>
      </w:r>
      <w:r w:rsidRPr="00704B3B">
        <w:rPr>
          <w:rFonts w:ascii="Times New Roman" w:eastAsia="Times New Roman" w:hAnsi="Times New Roman"/>
        </w:rPr>
        <w:t xml:space="preserve"> but equity shocks</w:t>
      </w:r>
      <w:r>
        <w:rPr>
          <w:rFonts w:ascii="Times New Roman" w:eastAsia="Times New Roman" w:hAnsi="Times New Roman"/>
        </w:rPr>
        <w:t xml:space="preserve"> +/- 5% from that of Path A, and.</w:t>
      </w:r>
      <w:r w:rsidRPr="00704B3B">
        <w:rPr>
          <w:rFonts w:ascii="Times New Roman" w:eastAsia="Times New Roman" w:hAnsi="Times New Roman"/>
        </w:rPr>
        <w:t xml:space="preserve"> </w:t>
      </w:r>
    </w:p>
    <w:p w14:paraId="1A360635" w14:textId="77777777" w:rsidR="003129FE" w:rsidRDefault="003129FE" w:rsidP="004E4618">
      <w:pPr>
        <w:spacing w:after="220" w:line="240" w:lineRule="auto"/>
        <w:ind w:left="2160"/>
        <w:rPr>
          <w:rFonts w:ascii="Times New Roman" w:eastAsia="Times New Roman" w:hAnsi="Times New Roman"/>
        </w:rPr>
      </w:pPr>
      <w:r w:rsidRPr="000A10D6">
        <w:rPr>
          <w:rFonts w:ascii="Times New Roman" w:eastAsia="Times New Roman" w:hAnsi="Times New Roman"/>
        </w:rPr>
        <w:t>- two paths with the same equity fund returns as Path</w:t>
      </w:r>
      <w:r>
        <w:rPr>
          <w:rFonts w:ascii="Times New Roman" w:eastAsia="Times New Roman" w:hAnsi="Times New Roman"/>
        </w:rPr>
        <w:t xml:space="preserve"> A</w:t>
      </w:r>
      <w:r w:rsidRPr="000A10D6">
        <w:rPr>
          <w:rFonts w:ascii="Times New Roman" w:eastAsia="Times New Roman" w:hAnsi="Times New Roman"/>
        </w:rPr>
        <w:t xml:space="preserve"> but </w:t>
      </w:r>
      <w:r>
        <w:rPr>
          <w:rFonts w:ascii="Times New Roman" w:eastAsia="Times New Roman" w:hAnsi="Times New Roman"/>
        </w:rPr>
        <w:t xml:space="preserve">the next higher and next lower </w:t>
      </w:r>
      <w:r w:rsidRPr="000A10D6">
        <w:rPr>
          <w:rFonts w:ascii="Times New Roman" w:eastAsia="Times New Roman" w:hAnsi="Times New Roman"/>
        </w:rPr>
        <w:t>interest rate shocks</w:t>
      </w:r>
      <w:r>
        <w:rPr>
          <w:rFonts w:ascii="Times New Roman" w:eastAsia="Times New Roman" w:hAnsi="Times New Roman"/>
        </w:rPr>
        <w:t>.</w:t>
      </w:r>
    </w:p>
    <w:p w14:paraId="2598CFBC" w14:textId="77777777" w:rsidR="003129FE" w:rsidRPr="00C47622" w:rsidRDefault="003129FE" w:rsidP="004E4618">
      <w:pPr>
        <w:spacing w:after="220" w:line="240" w:lineRule="auto"/>
        <w:ind w:left="2160"/>
        <w:rPr>
          <w:rFonts w:ascii="Times New Roman" w:eastAsia="Times New Roman" w:hAnsi="Times New Roman"/>
        </w:rPr>
      </w:pPr>
      <w:r w:rsidRPr="00C47622">
        <w:rPr>
          <w:rFonts w:ascii="Times New Roman" w:eastAsia="Times New Roman" w:hAnsi="Times New Roman"/>
        </w:rPr>
        <w:t>From the four paths, identify the path whose reserve value is</w:t>
      </w:r>
      <w:r w:rsidRPr="004256DF">
        <w:rPr>
          <w:rFonts w:ascii="Times New Roman" w:eastAsia="Times New Roman" w:hAnsi="Times New Roman"/>
        </w:rPr>
        <w:t>:</w:t>
      </w:r>
    </w:p>
    <w:p w14:paraId="726626C7" w14:textId="77777777" w:rsidR="003129FE" w:rsidRPr="00C47622" w:rsidRDefault="003129FE" w:rsidP="00E87EFC">
      <w:pPr>
        <w:pStyle w:val="ListParagraph"/>
        <w:numPr>
          <w:ilvl w:val="0"/>
          <w:numId w:val="38"/>
        </w:numPr>
        <w:spacing w:after="220" w:line="240" w:lineRule="auto"/>
        <w:rPr>
          <w:rFonts w:ascii="Times New Roman" w:eastAsia="Times New Roman" w:hAnsi="Times New Roman"/>
        </w:rPr>
      </w:pPr>
      <w:r w:rsidRPr="00C47622">
        <w:rPr>
          <w:rFonts w:ascii="Times New Roman" w:eastAsia="Times New Roman" w:hAnsi="Times New Roman"/>
        </w:rPr>
        <w:t xml:space="preserve">If Company Amount A is lower than CTE70 (adjusted), the smallest reserve value that is greater than CTE70 (adjusted); </w:t>
      </w:r>
    </w:p>
    <w:p w14:paraId="53EA8512" w14:textId="77777777" w:rsidR="003129FE" w:rsidRPr="00C47622" w:rsidRDefault="003129FE" w:rsidP="00E87EFC">
      <w:pPr>
        <w:pStyle w:val="ListParagraph"/>
        <w:numPr>
          <w:ilvl w:val="0"/>
          <w:numId w:val="38"/>
        </w:numPr>
        <w:spacing w:after="220" w:line="240" w:lineRule="auto"/>
        <w:rPr>
          <w:rFonts w:ascii="Times New Roman" w:eastAsia="Times New Roman" w:hAnsi="Times New Roman"/>
        </w:rPr>
      </w:pPr>
      <w:r w:rsidRPr="00C47622">
        <w:rPr>
          <w:rFonts w:ascii="Times New Roman" w:eastAsia="Times New Roman" w:hAnsi="Times New Roman"/>
        </w:rPr>
        <w:t>If Company Amount A is greater that CTE70 (adjusted), the greatest reserve value that is less than CTE70 (adjusted).</w:t>
      </w:r>
    </w:p>
    <w:p w14:paraId="66FFE937" w14:textId="77777777" w:rsidR="003129FE" w:rsidRDefault="003129FE" w:rsidP="004E4618">
      <w:pPr>
        <w:spacing w:after="220" w:line="240" w:lineRule="auto"/>
        <w:ind w:left="2520"/>
        <w:rPr>
          <w:rFonts w:ascii="Times New Roman" w:eastAsia="Times New Roman" w:hAnsi="Times New Roman"/>
        </w:rPr>
      </w:pPr>
      <w:r w:rsidRPr="00857959">
        <w:rPr>
          <w:rFonts w:ascii="Times New Roman" w:eastAsia="Times New Roman" w:hAnsi="Times New Roman"/>
        </w:rPr>
        <w:t>If none of the 4 paths satisfy the stated condition, discard the identified Path A, and redo steps iii and iv using the scenario next closer to CT</w:t>
      </w:r>
      <w:r>
        <w:rPr>
          <w:rFonts w:ascii="Times New Roman" w:eastAsia="Times New Roman" w:hAnsi="Times New Roman"/>
        </w:rPr>
        <w:t>E70 (adjusted) to be Path A in step iii.</w:t>
      </w:r>
    </w:p>
    <w:p w14:paraId="02A2CF7B" w14:textId="77777777" w:rsidR="003129FE" w:rsidRPr="000A10D6" w:rsidRDefault="003129FE" w:rsidP="004E4618">
      <w:pPr>
        <w:spacing w:after="220" w:line="240" w:lineRule="auto"/>
        <w:ind w:left="2520"/>
        <w:rPr>
          <w:rFonts w:ascii="Times New Roman" w:eastAsia="Times New Roman" w:hAnsi="Times New Roman"/>
        </w:rPr>
      </w:pPr>
      <w:r>
        <w:rPr>
          <w:rFonts w:ascii="Times New Roman" w:eastAsia="Times New Roman" w:hAnsi="Times New Roman"/>
        </w:rPr>
        <w:t xml:space="preserve">The path so identified shall be designated as Path B, and the </w:t>
      </w:r>
      <w:r w:rsidRPr="000A10D6">
        <w:rPr>
          <w:rFonts w:ascii="Times New Roman" w:eastAsia="Times New Roman" w:hAnsi="Times New Roman"/>
        </w:rPr>
        <w:t xml:space="preserve">scenario </w:t>
      </w:r>
      <w:r>
        <w:rPr>
          <w:rFonts w:ascii="Times New Roman" w:eastAsia="Times New Roman" w:hAnsi="Times New Roman"/>
        </w:rPr>
        <w:t>reserve</w:t>
      </w:r>
      <w:r w:rsidRPr="000A10D6">
        <w:rPr>
          <w:rFonts w:ascii="Times New Roman" w:eastAsia="Times New Roman" w:hAnsi="Times New Roman"/>
        </w:rPr>
        <w:t xml:space="preserve"> shall be referred to as Company Amount B;</w:t>
      </w:r>
    </w:p>
    <w:p w14:paraId="3AFE55C2" w14:textId="77777777" w:rsidR="003129FE" w:rsidRPr="00812CAC"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r w:rsidRPr="00660E0F">
        <w:rPr>
          <w:rFonts w:ascii="Times New Roman" w:eastAsia="Times New Roman" w:hAnsi="Times New Roman"/>
        </w:rPr>
        <w:t xml:space="preserve">Identify 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Prescribed Standard Projection Set that are derived from </w:t>
      </w:r>
      <w:r>
        <w:rPr>
          <w:rFonts w:ascii="Times New Roman" w:eastAsia="Times New Roman" w:hAnsi="Times New Roman"/>
        </w:rPr>
        <w:t>Path</w:t>
      </w:r>
      <w:r w:rsidRPr="00660E0F">
        <w:rPr>
          <w:rFonts w:ascii="Times New Roman" w:eastAsia="Times New Roman" w:hAnsi="Times New Roman"/>
        </w:rPr>
        <w:t xml:space="preserve"> </w:t>
      </w:r>
      <w:r>
        <w:rPr>
          <w:rFonts w:ascii="Times New Roman" w:eastAsia="Times New Roman" w:hAnsi="Times New Roman"/>
        </w:rPr>
        <w:t>A and Path B.</w:t>
      </w:r>
      <w:r w:rsidRPr="00660E0F">
        <w:rPr>
          <w:rFonts w:ascii="Times New Roman" w:eastAsia="Times New Roman" w:hAnsi="Times New Roman"/>
        </w:rPr>
        <w:t xml:space="preserve"> These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Prescribed Standard Projection Set shall be referred to as Prescribed Amount A and Prescribed Amount B, respectively;</w:t>
      </w:r>
    </w:p>
    <w:p w14:paraId="4A2CD689" w14:textId="77777777" w:rsidR="003129FE" w:rsidRPr="00660E0F" w:rsidRDefault="003129FE" w:rsidP="004E4618">
      <w:pPr>
        <w:keepNext/>
        <w:spacing w:after="220" w:line="240" w:lineRule="auto"/>
        <w:ind w:left="2160"/>
        <w:rPr>
          <w:rFonts w:ascii="Times New Roman" w:eastAsia="Times New Roman" w:hAnsi="Times New Roman"/>
        </w:rPr>
      </w:pPr>
      <w:r>
        <w:rPr>
          <w:rFonts w:ascii="Times New Roman" w:eastAsia="Times New Roman" w:hAnsi="Times New Roman"/>
        </w:rPr>
        <w:lastRenderedPageBreak/>
        <w:t>vii</w:t>
      </w:r>
      <w:r w:rsidRPr="00812CAC">
        <w:rPr>
          <w:rFonts w:ascii="Times New Roman" w:eastAsia="Times New Roman" w:hAnsi="Times New Roman"/>
        </w:rPr>
        <w:t>.</w:t>
      </w:r>
      <w:r w:rsidRPr="00812CAC">
        <w:rPr>
          <w:rFonts w:ascii="Times New Roman" w:eastAsia="Times New Roman" w:hAnsi="Times New Roman"/>
        </w:rPr>
        <w:tab/>
      </w:r>
      <w:r w:rsidRPr="00660E0F">
        <w:rPr>
          <w:rFonts w:ascii="Times New Roman" w:eastAsia="Times New Roman" w:hAnsi="Times New Roman"/>
        </w:rPr>
        <w:t xml:space="preserve">Calculate the </w:t>
      </w:r>
      <w:r>
        <w:rPr>
          <w:rFonts w:ascii="Times New Roman" w:eastAsia="Times New Roman" w:hAnsi="Times New Roman"/>
        </w:rPr>
        <w:t>Prescribed Projections Amount</w:t>
      </w:r>
      <w:r w:rsidRPr="00660E0F">
        <w:rPr>
          <w:rFonts w:ascii="Times New Roman" w:eastAsia="Times New Roman" w:hAnsi="Times New Roman"/>
        </w:rPr>
        <w:t xml:space="preserve"> as:</w:t>
      </w:r>
    </w:p>
    <w:p w14:paraId="352F1532" w14:textId="77777777" w:rsidR="003129FE" w:rsidRDefault="003129FE" w:rsidP="004E4618">
      <w:pPr>
        <w:keepNext/>
        <w:spacing w:after="220" w:line="240" w:lineRule="auto"/>
        <w:ind w:left="2160"/>
        <w:rPr>
          <w:rFonts w:ascii="Times New Roman" w:eastAsia="Times New Roman" w:hAnsi="Times New Roman"/>
        </w:rPr>
      </w:pPr>
      <w:r>
        <w:rPr>
          <w:rFonts w:ascii="Times New Roman" w:eastAsia="Times New Roman" w:hAnsi="Times New Roman"/>
        </w:rPr>
        <w:t>Prescribed Projections Amount</w:t>
      </w:r>
    </w:p>
    <w:p w14:paraId="6A4CE751" w14:textId="77777777" w:rsidR="003129FE" w:rsidRDefault="003129FE" w:rsidP="004E4618">
      <w:pPr>
        <w:keepNext/>
        <w:spacing w:after="220" w:line="240" w:lineRule="auto"/>
        <w:ind w:left="2160"/>
        <w:rPr>
          <w:rFonts w:ascii="Times New Roman" w:eastAsia="Times New Roman" w:hAnsi="Times New Roman"/>
        </w:rPr>
      </w:pPr>
      <w:r w:rsidRPr="00660E0F">
        <w:rPr>
          <w:rFonts w:ascii="Times New Roman" w:eastAsia="Times New Roman" w:hAnsi="Times New Roman"/>
        </w:rPr>
        <w:t>=Prescribed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CTE</w:t>
      </w:r>
      <w:r>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p>
    <w:p w14:paraId="23530B8F" w14:textId="3DAF6520" w:rsidR="003129FE" w:rsidRPr="00812CAC" w:rsidRDefault="003129FE" w:rsidP="004E4618">
      <w:pPr>
        <w:keepNext/>
        <w:spacing w:after="220" w:line="240" w:lineRule="auto"/>
        <w:ind w:left="2160" w:firstLine="720"/>
        <w:rPr>
          <w:rFonts w:ascii="Times New Roman" w:eastAsia="Times New Roman" w:hAnsi="Times New Roman"/>
        </w:rPr>
      </w:pPr>
      <w:r w:rsidRPr="00B5363C">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p>
    <w:p w14:paraId="43EF2D76" w14:textId="77777777" w:rsidR="003129FE" w:rsidRPr="00483E7E" w:rsidRDefault="003129FE" w:rsidP="004E4618">
      <w:pPr>
        <w:keepNext/>
        <w:spacing w:after="220" w:line="240" w:lineRule="auto"/>
        <w:ind w:left="1440" w:hanging="630"/>
        <w:rPr>
          <w:rFonts w:ascii="Times New Roman" w:eastAsia="Times New Roman" w:hAnsi="Times New Roman"/>
        </w:rPr>
      </w:pPr>
      <w:r w:rsidRPr="00025951">
        <w:rPr>
          <w:rFonts w:ascii="Times New Roman" w:eastAsia="Times New Roman" w:hAnsi="Times New Roman"/>
        </w:rPr>
        <w:t>b.</w:t>
      </w:r>
      <w:r>
        <w:rPr>
          <w:rFonts w:ascii="Times New Roman" w:eastAsia="Times New Roman" w:hAnsi="Times New Roman"/>
        </w:rPr>
        <w:tab/>
      </w:r>
      <w:r w:rsidRPr="00483E7E">
        <w:rPr>
          <w:rFonts w:ascii="Times New Roman" w:eastAsia="Times New Roman" w:hAnsi="Times New Roman"/>
        </w:rPr>
        <w:t xml:space="preserve">CTEPA </w:t>
      </w:r>
      <w:r>
        <w:rPr>
          <w:rFonts w:ascii="Times New Roman" w:eastAsia="Times New Roman" w:hAnsi="Times New Roman"/>
        </w:rPr>
        <w:t>Method</w:t>
      </w:r>
      <w:r w:rsidRPr="00483E7E">
        <w:rPr>
          <w:rFonts w:ascii="Times New Roman" w:eastAsia="Times New Roman" w:hAnsi="Times New Roman"/>
        </w:rPr>
        <w:t>:</w:t>
      </w:r>
    </w:p>
    <w:p w14:paraId="49AFF0C4" w14:textId="77777777" w:rsidR="003129FE" w:rsidRPr="00CA510F" w:rsidRDefault="003129FE" w:rsidP="004E4618">
      <w:pPr>
        <w:keepNext/>
        <w:spacing w:after="220" w:line="240" w:lineRule="auto"/>
        <w:ind w:left="1440"/>
        <w:rPr>
          <w:rFonts w:ascii="Times New Roman" w:eastAsia="Times New Roman" w:hAnsi="Times New Roman"/>
        </w:rPr>
      </w:pPr>
      <w:r w:rsidRPr="00C256BB">
        <w:rPr>
          <w:rFonts w:ascii="Times New Roman" w:eastAsiaTheme="minorHAnsi" w:hAnsi="Times New Roman"/>
        </w:rPr>
        <w:t>Calculate the</w:t>
      </w:r>
      <w:r w:rsidRPr="00CA510F">
        <w:rPr>
          <w:rFonts w:ascii="Times New Roman" w:eastAsiaTheme="minorHAnsi" w:hAnsi="Times New Roman"/>
        </w:rPr>
        <w:t xml:space="preserve"> </w:t>
      </w:r>
      <w:r>
        <w:rPr>
          <w:rFonts w:ascii="Times New Roman" w:eastAsiaTheme="minorHAnsi" w:hAnsi="Times New Roman"/>
        </w:rPr>
        <w:t>Prescribed Projections Amount</w:t>
      </w:r>
      <w:r w:rsidRPr="00CA510F">
        <w:rPr>
          <w:rFonts w:ascii="Times New Roman" w:eastAsiaTheme="minorHAnsi" w:hAnsi="Times New Roman"/>
        </w:rPr>
        <w:t xml:space="preserve"> as the CTE70 (adjusted) using the same </w:t>
      </w:r>
      <w:r>
        <w:rPr>
          <w:rFonts w:ascii="Times New Roman" w:eastAsiaTheme="minorHAnsi" w:hAnsi="Times New Roman"/>
        </w:rPr>
        <w:t>method</w:t>
      </w:r>
      <w:r w:rsidRPr="00CA510F">
        <w:rPr>
          <w:rFonts w:ascii="Times New Roman" w:eastAsiaTheme="minorHAnsi" w:hAnsi="Times New Roman"/>
        </w:rPr>
        <w:t xml:space="preserve"> as that outlined in Section 9.C</w:t>
      </w:r>
      <w:r>
        <w:rPr>
          <w:rFonts w:ascii="Times New Roman" w:eastAsiaTheme="minorHAnsi" w:hAnsi="Times New Roman"/>
        </w:rPr>
        <w:t xml:space="preserve"> (or the stochastic reserves following Section 4.A.4.a for a company that does not have a CDHS)</w:t>
      </w:r>
      <w:r w:rsidRPr="00CA510F">
        <w:rPr>
          <w:rFonts w:ascii="Times New Roman" w:eastAsiaTheme="minorHAnsi" w:hAnsi="Times New Roman"/>
        </w:rPr>
        <w:t xml:space="preserve"> but </w:t>
      </w:r>
      <w:r>
        <w:rPr>
          <w:rFonts w:ascii="Times New Roman" w:eastAsiaTheme="minorHAnsi" w:hAnsi="Times New Roman"/>
        </w:rPr>
        <w:t>substituting</w:t>
      </w:r>
      <w:r w:rsidRPr="00CA510F">
        <w:rPr>
          <w:rFonts w:ascii="Times New Roman" w:eastAsiaTheme="minorHAnsi" w:hAnsi="Times New Roman"/>
        </w:rPr>
        <w:t xml:space="preserve"> the assumptions prescribed by Section 6.</w:t>
      </w:r>
      <w:r>
        <w:rPr>
          <w:rFonts w:ascii="Times New Roman" w:eastAsiaTheme="minorHAnsi" w:hAnsi="Times New Roman"/>
        </w:rPr>
        <w:t>C.</w:t>
      </w:r>
      <w:r w:rsidRPr="00CA510F">
        <w:rPr>
          <w:rFonts w:ascii="Times New Roman" w:eastAsiaTheme="minorHAnsi" w:hAnsi="Times New Roman"/>
        </w:rPr>
        <w:t xml:space="preserve"> The calculation of this </w:t>
      </w:r>
      <w:r>
        <w:rPr>
          <w:rFonts w:ascii="Times New Roman" w:eastAsiaTheme="minorHAnsi" w:hAnsi="Times New Roman"/>
        </w:rPr>
        <w:t>Prescribed Projections Amount</w:t>
      </w:r>
      <w:r w:rsidRPr="00CA510F">
        <w:rPr>
          <w:rFonts w:ascii="Times New Roman" w:eastAsiaTheme="minorHAnsi" w:hAnsi="Times New Roman"/>
        </w:rPr>
        <w:t xml:space="preserve"> also requires that the </w:t>
      </w:r>
      <w:r w:rsidRPr="00CA510F">
        <w:rPr>
          <w:rFonts w:ascii="Times New Roman" w:eastAsia="Times New Roman" w:hAnsi="Times New Roman"/>
        </w:rPr>
        <w:t xml:space="preserve">scenario </w:t>
      </w:r>
      <w:r>
        <w:rPr>
          <w:rFonts w:ascii="Times New Roman" w:eastAsia="Times New Roman" w:hAnsi="Times New Roman"/>
        </w:rPr>
        <w:t>reserve</w:t>
      </w:r>
      <w:r w:rsidRPr="00CA510F">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7DB4746E" w14:textId="246696A8" w:rsidR="003129FE" w:rsidRDefault="00B518AF" w:rsidP="00B518AF">
      <w:pPr>
        <w:keepNext/>
        <w:spacing w:after="220" w:line="240" w:lineRule="auto"/>
        <w:ind w:left="1440" w:hanging="720"/>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3129FE">
        <w:rPr>
          <w:rFonts w:ascii="Times New Roman" w:eastAsia="Times New Roman" w:hAnsi="Times New Roman"/>
        </w:rPr>
        <w:t>Once the Prescribed Projections Amount</w:t>
      </w:r>
      <w:r w:rsidR="003129FE" w:rsidRPr="00C47622">
        <w:rPr>
          <w:rFonts w:ascii="Times New Roman" w:eastAsia="Times New Roman" w:hAnsi="Times New Roman"/>
        </w:rPr>
        <w:t xml:space="preserve"> is determined by one of the two methodologies above, then the company shall:</w:t>
      </w:r>
    </w:p>
    <w:p w14:paraId="0EE38904" w14:textId="12166AAD" w:rsidR="003129FE" w:rsidRPr="00812CAC" w:rsidRDefault="00B518AF" w:rsidP="004E4618">
      <w:pPr>
        <w:keepNext/>
        <w:spacing w:after="220" w:line="240" w:lineRule="auto"/>
        <w:ind w:left="1440" w:hanging="720"/>
        <w:rPr>
          <w:rFonts w:ascii="Times New Roman" w:eastAsia="Times New Roman" w:hAnsi="Times New Roman"/>
        </w:rPr>
      </w:pPr>
      <w:r>
        <w:rPr>
          <w:rFonts w:ascii="Times New Roman" w:eastAsia="Times New Roman" w:hAnsi="Times New Roman"/>
        </w:rPr>
        <w:t>d</w:t>
      </w:r>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Pr>
          <w:rFonts w:ascii="Times New Roman" w:eastAsia="Times New Roman" w:hAnsi="Times New Roman"/>
        </w:rPr>
        <w:t>Reduce</w:t>
      </w:r>
      <w:r w:rsidR="003129FE" w:rsidRPr="005B633D">
        <w:rPr>
          <w:rFonts w:ascii="Times New Roman" w:eastAsia="Times New Roman" w:hAnsi="Times New Roman"/>
        </w:rPr>
        <w:t xml:space="preserve"> the </w:t>
      </w:r>
      <w:r w:rsidR="003129FE">
        <w:rPr>
          <w:rFonts w:ascii="Times New Roman" w:eastAsia="Times New Roman" w:hAnsi="Times New Roman"/>
        </w:rPr>
        <w:t>Prescribed Projections Amount</w:t>
      </w:r>
      <w:r w:rsidR="003129FE" w:rsidRPr="005B633D">
        <w:rPr>
          <w:rFonts w:ascii="Times New Roman" w:eastAsia="Times New Roman" w:hAnsi="Times New Roman"/>
        </w:rPr>
        <w:t xml:space="preserve"> by the </w:t>
      </w:r>
      <w:r w:rsidR="003129FE">
        <w:rPr>
          <w:rFonts w:ascii="Times New Roman" w:eastAsia="Times New Roman" w:hAnsi="Times New Roman"/>
        </w:rPr>
        <w:t>C</w:t>
      </w:r>
      <w:r w:rsidR="003129FE" w:rsidRPr="005B633D">
        <w:rPr>
          <w:rFonts w:ascii="Times New Roman" w:eastAsia="Times New Roman" w:hAnsi="Times New Roman"/>
        </w:rPr>
        <w:t>ompany’s CTE</w:t>
      </w:r>
      <w:r w:rsidR="003129FE">
        <w:rPr>
          <w:rFonts w:ascii="Times New Roman" w:eastAsia="Times New Roman" w:hAnsi="Times New Roman"/>
        </w:rPr>
        <w:t>70</w:t>
      </w:r>
      <w:r w:rsidR="003129FE" w:rsidRPr="005B633D">
        <w:rPr>
          <w:rFonts w:ascii="Times New Roman" w:eastAsia="Times New Roman" w:hAnsi="Times New Roman"/>
        </w:rPr>
        <w:t xml:space="preserve"> (adjusted). The difference shall be referred to as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Standard Projection Amount;</w:t>
      </w:r>
    </w:p>
    <w:p w14:paraId="4A0C050A" w14:textId="01071C2F" w:rsidR="003129FE" w:rsidRDefault="00B518AF" w:rsidP="004E4618">
      <w:pPr>
        <w:keepNext/>
        <w:spacing w:after="220" w:line="240" w:lineRule="auto"/>
        <w:ind w:left="1440" w:hanging="720"/>
        <w:rPr>
          <w:rFonts w:ascii="Times New Roman" w:eastAsia="Times New Roman" w:hAnsi="Times New Roman"/>
        </w:rPr>
      </w:pPr>
      <w:r>
        <w:rPr>
          <w:rFonts w:ascii="Times New Roman" w:eastAsia="Times New Roman" w:hAnsi="Times New Roman"/>
        </w:rPr>
        <w:t>e</w:t>
      </w:r>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sidRPr="005B633D">
        <w:rPr>
          <w:rFonts w:ascii="Times New Roman" w:eastAsia="Times New Roman" w:hAnsi="Times New Roman"/>
        </w:rPr>
        <w:t xml:space="preserve">Reduce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 xml:space="preserve">Standard Projection Amount by an amount equal to the difference between </w:t>
      </w:r>
      <w:r w:rsidR="003129FE">
        <w:rPr>
          <w:rFonts w:ascii="Times New Roman" w:eastAsia="Times New Roman" w:hAnsi="Times New Roman"/>
        </w:rPr>
        <w:t>i</w:t>
      </w:r>
      <w:r w:rsidR="003129FE" w:rsidRPr="005B633D">
        <w:rPr>
          <w:rFonts w:ascii="Times New Roman" w:eastAsia="Times New Roman" w:hAnsi="Times New Roman"/>
        </w:rPr>
        <w:t xml:space="preserve"> and </w:t>
      </w:r>
      <w:r w:rsidR="003129FE">
        <w:rPr>
          <w:rFonts w:ascii="Times New Roman" w:eastAsia="Times New Roman" w:hAnsi="Times New Roman"/>
        </w:rPr>
        <w:t>ii</w:t>
      </w:r>
      <w:r w:rsidR="003129FE" w:rsidRPr="005B633D">
        <w:rPr>
          <w:rFonts w:ascii="Times New Roman" w:eastAsia="Times New Roman" w:hAnsi="Times New Roman"/>
        </w:rPr>
        <w:t xml:space="preserve">, where </w:t>
      </w:r>
      <w:r w:rsidR="003129FE">
        <w:rPr>
          <w:rFonts w:ascii="Times New Roman" w:eastAsia="Times New Roman" w:hAnsi="Times New Roman"/>
        </w:rPr>
        <w:t>i and ii</w:t>
      </w:r>
      <w:r w:rsidR="003129FE" w:rsidRPr="005B633D">
        <w:rPr>
          <w:rFonts w:ascii="Times New Roman" w:eastAsia="Times New Roman" w:hAnsi="Times New Roman"/>
        </w:rPr>
        <w:t xml:space="preserve"> are calculated in the following manner:</w:t>
      </w:r>
    </w:p>
    <w:p w14:paraId="4A2A3F60" w14:textId="23826054" w:rsidR="003129FE" w:rsidRDefault="003129FE" w:rsidP="00500FC3">
      <w:pPr>
        <w:pStyle w:val="ListParagraph"/>
        <w:numPr>
          <w:ilvl w:val="0"/>
          <w:numId w:val="48"/>
        </w:numPr>
        <w:tabs>
          <w:tab w:val="num" w:pos="2250"/>
        </w:tabs>
        <w:ind w:hanging="630"/>
        <w:rPr>
          <w:rFonts w:ascii="Times New Roman" w:hAnsi="Times New Roman"/>
        </w:rPr>
      </w:pPr>
      <w:r w:rsidRPr="00437570">
        <w:rPr>
          <w:rFonts w:ascii="Times New Roman" w:hAnsi="Times New Roman"/>
        </w:rPr>
        <w:t>Calculate the Unfloored CTE70</w:t>
      </w:r>
      <w:r w:rsidR="00500FC3">
        <w:rPr>
          <w:rFonts w:ascii="Times New Roman" w:hAnsi="Times New Roman"/>
        </w:rPr>
        <w:t xml:space="preserve"> </w:t>
      </w:r>
      <w:r w:rsidRPr="00437570">
        <w:rPr>
          <w:rFonts w:ascii="Times New Roman" w:hAnsi="Times New Roman"/>
        </w:rPr>
        <w:t>(adjusted), using the same procedure as CTE70(adjusted) but without requiring that the scenario reserve for any scenario be no less than the cash surrender value in aggregate on the valuation date</w:t>
      </w:r>
    </w:p>
    <w:p w14:paraId="51CE318C" w14:textId="05D07FF2" w:rsidR="003129FE" w:rsidRPr="00437570" w:rsidRDefault="003129FE" w:rsidP="00E87EFC">
      <w:pPr>
        <w:pStyle w:val="ListParagraph"/>
        <w:numPr>
          <w:ilvl w:val="0"/>
          <w:numId w:val="48"/>
        </w:numPr>
        <w:tabs>
          <w:tab w:val="num" w:pos="360"/>
        </w:tabs>
        <w:ind w:left="2250"/>
        <w:rPr>
          <w:rFonts w:ascii="Times New Roman" w:hAnsi="Times New Roman"/>
        </w:rPr>
      </w:pPr>
      <w:r w:rsidRPr="00437570">
        <w:rPr>
          <w:rFonts w:ascii="Times New Roman" w:hAnsi="Times New Roman"/>
        </w:rPr>
        <w:t>Calculate the Unfloored CTE65</w:t>
      </w:r>
      <w:r w:rsidR="00500FC3">
        <w:rPr>
          <w:rFonts w:ascii="Times New Roman" w:hAnsi="Times New Roman"/>
        </w:rPr>
        <w:t xml:space="preserve"> </w:t>
      </w:r>
      <w:r w:rsidRPr="00437570">
        <w:rPr>
          <w:rFonts w:ascii="Times New Roman" w:hAnsi="Times New Roman"/>
        </w:rPr>
        <w:t>(adjusted), which is calculated in the same way as Unfloored CTE70</w:t>
      </w:r>
      <w:r w:rsidR="00500FC3">
        <w:rPr>
          <w:rFonts w:ascii="Times New Roman" w:hAnsi="Times New Roman"/>
        </w:rPr>
        <w:t xml:space="preserve"> </w:t>
      </w:r>
      <w:r w:rsidRPr="00437570">
        <w:rPr>
          <w:rFonts w:ascii="Times New Roman" w:hAnsi="Times New Roman"/>
        </w:rPr>
        <w:t>(adjusted) but averaging the 35 percent (instead of 30 percent) largest values</w:t>
      </w:r>
    </w:p>
    <w:p w14:paraId="6E4FA25F" w14:textId="77777777" w:rsidR="003129FE" w:rsidRPr="005B633D" w:rsidRDefault="003129FE" w:rsidP="00067EEF">
      <w:pPr>
        <w:keepNext/>
        <w:spacing w:after="220" w:line="240" w:lineRule="auto"/>
        <w:ind w:left="1440" w:hanging="720"/>
        <w:rPr>
          <w:rFonts w:ascii="Times New Roman" w:eastAsia="Times New Roman" w:hAnsi="Times New Roman"/>
        </w:rPr>
      </w:pPr>
    </w:p>
    <w:p w14:paraId="0015008A" w14:textId="4A646171" w:rsidR="003129FE" w:rsidRPr="00694551" w:rsidRDefault="00B518AF" w:rsidP="00B518AF">
      <w:pPr>
        <w:autoSpaceDE w:val="0"/>
        <w:autoSpaceDN w:val="0"/>
        <w:adjustRightInd w:val="0"/>
        <w:spacing w:after="0" w:line="240" w:lineRule="auto"/>
        <w:ind w:left="1440" w:hanging="720"/>
        <w:rPr>
          <w:rFonts w:ascii="Times New Roman" w:hAnsi="Times New Roman"/>
        </w:rPr>
      </w:pPr>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Additional Standard Projection Amount shall subsequently be the larger of the quantity calculated in </w:t>
      </w:r>
      <w:r w:rsidR="003129FE">
        <w:rPr>
          <w:rFonts w:ascii="Times New Roman" w:hAnsi="Times New Roman"/>
        </w:rPr>
        <w:t xml:space="preserve">Section 6.B.2.d </w:t>
      </w:r>
      <w:r w:rsidR="003129FE" w:rsidRPr="00694551">
        <w:rPr>
          <w:rFonts w:ascii="Times New Roman" w:hAnsi="Times New Roman"/>
        </w:rPr>
        <w:t xml:space="preserve">and zero. </w:t>
      </w:r>
    </w:p>
    <w:p w14:paraId="40C26282" w14:textId="77777777" w:rsidR="003129FE" w:rsidRPr="005B633D" w:rsidRDefault="003129FE" w:rsidP="00CC2E32">
      <w:pPr>
        <w:autoSpaceDE w:val="0"/>
        <w:autoSpaceDN w:val="0"/>
        <w:adjustRightInd w:val="0"/>
        <w:spacing w:after="0" w:line="240" w:lineRule="auto"/>
        <w:ind w:left="1440"/>
        <w:rPr>
          <w:rFonts w:ascii="Times New Roman" w:eastAsiaTheme="minorHAnsi" w:hAnsi="Times New Roman"/>
          <w:color w:val="000000"/>
        </w:rPr>
      </w:pPr>
    </w:p>
    <w:p w14:paraId="7C49EDCA" w14:textId="77777777" w:rsidR="003129FE" w:rsidRPr="00812CAC" w:rsidRDefault="003129FE" w:rsidP="004E4618">
      <w:pPr>
        <w:keepNext/>
        <w:spacing w:after="220" w:line="240" w:lineRule="auto"/>
        <w:ind w:left="720" w:hanging="720"/>
        <w:rPr>
          <w:rFonts w:ascii="Times New Roman" w:eastAsia="Times New Roman" w:hAnsi="Times New Roman"/>
        </w:rPr>
      </w:pPr>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p>
    <w:p w14:paraId="3B3460AF" w14:textId="77777777" w:rsidR="003129FE" w:rsidRPr="00812CAC" w:rsidRDefault="003129FE" w:rsidP="004E4618">
      <w:pPr>
        <w:spacing w:after="220" w:line="240" w:lineRule="auto"/>
        <w:ind w:left="720"/>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r>
        <w:rPr>
          <w:rFonts w:ascii="Times New Roman" w:eastAsia="Times New Roman" w:hAnsi="Times New Roman"/>
          <w:spacing w:val="-2"/>
        </w:rPr>
        <w:t>stochastic reserve as described in Section 3</w:t>
      </w:r>
      <w:r w:rsidRPr="00CF35A9">
        <w:rPr>
          <w:rFonts w:ascii="Times New Roman" w:eastAsia="Times New Roman" w:hAnsi="Times New Roman"/>
          <w:spacing w:val="-2"/>
        </w:rPr>
        <w:t xml:space="preserve"> of </w:t>
      </w:r>
      <w:r>
        <w:rPr>
          <w:rFonts w:ascii="Times New Roman" w:eastAsia="Times New Roman" w:hAnsi="Times New Roman"/>
          <w:spacing w:val="-2"/>
        </w:rPr>
        <w:t>these requirements</w:t>
      </w:r>
      <w:r w:rsidRPr="00CF35A9">
        <w:rPr>
          <w:rFonts w:ascii="Times New Roman" w:eastAsia="Times New Roman" w:hAnsi="Times New Roman"/>
          <w:spacing w:val="-2"/>
        </w:rPr>
        <w:t>.</w:t>
      </w:r>
    </w:p>
    <w:p w14:paraId="636DEE9E" w14:textId="77777777" w:rsidR="003129FE" w:rsidRPr="00812CAC" w:rsidRDefault="003129FE" w:rsidP="004E4618">
      <w:pPr>
        <w:keepNext/>
        <w:spacing w:after="220" w:line="240" w:lineRule="auto"/>
        <w:ind w:left="720" w:hanging="720"/>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p>
    <w:p w14:paraId="0B680376" w14:textId="77777777" w:rsidR="003129FE" w:rsidRPr="00AA18C7" w:rsidRDefault="003129FE" w:rsidP="004E4618">
      <w:pPr>
        <w:spacing w:after="220" w:line="240" w:lineRule="auto"/>
        <w:ind w:left="720"/>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4.A.4.a for a company without a CDHS</w:t>
      </w:r>
      <w:r>
        <w:rPr>
          <w:rFonts w:ascii="Times New Roman" w:eastAsia="Times New Roman" w:hAnsi="Times New Roman"/>
        </w:rPr>
        <w:t>.</w:t>
      </w:r>
    </w:p>
    <w:p w14:paraId="30597419" w14:textId="77777777" w:rsidR="003129FE" w:rsidRPr="00812CAC" w:rsidRDefault="003129FE" w:rsidP="004E4618">
      <w:pPr>
        <w:keepNext/>
        <w:spacing w:after="220" w:line="240" w:lineRule="auto"/>
        <w:ind w:left="720" w:hanging="720"/>
        <w:rPr>
          <w:rFonts w:ascii="Times New Roman" w:eastAsia="Times New Roman" w:hAnsi="Times New Roman"/>
        </w:rPr>
      </w:pPr>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Market Paths for CSMP Method</w:t>
      </w:r>
    </w:p>
    <w:p w14:paraId="72C7BFB1" w14:textId="77777777" w:rsidR="003129FE" w:rsidRPr="00AA18C7" w:rsidRDefault="003129FE" w:rsidP="004E4618">
      <w:pPr>
        <w:spacing w:after="220" w:line="240" w:lineRule="auto"/>
        <w:ind w:left="720"/>
        <w:rPr>
          <w:rFonts w:ascii="Times New Roman" w:eastAsia="Times New Roman" w:hAnsi="Times New Roman"/>
        </w:rPr>
      </w:pPr>
      <w:r>
        <w:rPr>
          <w:rFonts w:ascii="Times New Roman" w:eastAsia="Times New Roman" w:hAnsi="Times New Roman"/>
        </w:rPr>
        <w:t>If the company elects the CSMP method described in Section 6.B.2.a, t</w:t>
      </w:r>
      <w:r w:rsidRPr="00AA18C7">
        <w:rPr>
          <w:rFonts w:ascii="Times New Roman" w:eastAsia="Times New Roman" w:hAnsi="Times New Roman"/>
        </w:rPr>
        <w:t xml:space="preserve">he Additional Standard Projection Amount shall be determined from the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reserves</w:t>
      </w:r>
      <w:r w:rsidRPr="00AA18C7">
        <w:rPr>
          <w:rFonts w:ascii="Times New Roman" w:eastAsia="Times New Roman" w:hAnsi="Times New Roman"/>
        </w:rPr>
        <w:t xml:space="preserve"> calculated for the prescribed </w:t>
      </w:r>
      <w:r>
        <w:rPr>
          <w:rFonts w:ascii="Times New Roman" w:eastAsia="Times New Roman" w:hAnsi="Times New Roman"/>
        </w:rPr>
        <w:t>market paths</w:t>
      </w:r>
      <w:r w:rsidRPr="00AA18C7">
        <w:rPr>
          <w:rFonts w:ascii="Times New Roman" w:eastAsia="Times New Roman" w:hAnsi="Times New Roman"/>
        </w:rPr>
        <w:t xml:space="preserve"> defined below. Each prescribed </w:t>
      </w:r>
      <w:r>
        <w:rPr>
          <w:rFonts w:ascii="Times New Roman" w:eastAsia="Times New Roman" w:hAnsi="Times New Roman"/>
        </w:rPr>
        <w:t>market path</w:t>
      </w:r>
      <w:r w:rsidRPr="00AA18C7">
        <w:rPr>
          <w:rFonts w:ascii="Times New Roman" w:eastAsia="Times New Roman" w:hAnsi="Times New Roman"/>
        </w:rPr>
        <w:t xml:space="preserve"> shall be defined by an initial equity fund stress and an initial interest </w:t>
      </w:r>
      <w:r w:rsidRPr="00AA18C7">
        <w:rPr>
          <w:rFonts w:ascii="Times New Roman" w:eastAsia="Times New Roman" w:hAnsi="Times New Roman"/>
        </w:rPr>
        <w:lastRenderedPageBreak/>
        <w:t>rate stress, after which equity fund returns steadily recover</w:t>
      </w:r>
      <w:r>
        <w:rPr>
          <w:rFonts w:ascii="Times New Roman" w:eastAsia="Times New Roman" w:hAnsi="Times New Roman"/>
        </w:rPr>
        <w:t xml:space="preserve"> and interest rates revert to the same long term mean</w:t>
      </w:r>
      <w:r w:rsidRPr="00AA18C7">
        <w:rPr>
          <w:rFonts w:ascii="Times New Roman" w:eastAsia="Times New Roman" w:hAnsi="Times New Roman"/>
        </w:rPr>
        <w:t>.</w:t>
      </w:r>
    </w:p>
    <w:p w14:paraId="7411D69E" w14:textId="77777777" w:rsidR="003129FE" w:rsidRDefault="003129FE" w:rsidP="004E4618">
      <w:pPr>
        <w:spacing w:after="220" w:line="240" w:lineRule="auto"/>
        <w:ind w:left="720"/>
        <w:rPr>
          <w:rFonts w:ascii="Times New Roman" w:eastAsia="Times New Roman" w:hAnsi="Times New Roman"/>
        </w:rPr>
      </w:pPr>
      <w:r w:rsidRPr="00AA18C7">
        <w:rPr>
          <w:rFonts w:ascii="Times New Roman" w:eastAsia="Times New Roman" w:hAnsi="Times New Roman"/>
        </w:rPr>
        <w:t xml:space="preserve">All combinations of prescribed equity fund return scenarios and interest rate scenarios shall be considered prescribed Standard Projection </w:t>
      </w:r>
      <w:r>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 xml:space="preserve">reserves </w:t>
      </w:r>
      <w:r w:rsidRPr="00AA18C7">
        <w:rPr>
          <w:rFonts w:ascii="Times New Roman" w:eastAsia="Times New Roman" w:hAnsi="Times New Roman"/>
        </w:rPr>
        <w:t xml:space="preserve">for a minimum of 40 </w:t>
      </w:r>
      <w:r>
        <w:rPr>
          <w:rFonts w:ascii="Times New Roman" w:eastAsia="Times New Roman" w:hAnsi="Times New Roman"/>
        </w:rPr>
        <w:t>market paths</w:t>
      </w:r>
      <w:r w:rsidRPr="00AA18C7">
        <w:rPr>
          <w:rFonts w:ascii="Times New Roman" w:eastAsia="Times New Roman" w:hAnsi="Times New Roman"/>
        </w:rPr>
        <w:t>.</w:t>
      </w:r>
    </w:p>
    <w:p w14:paraId="6B636C33" w14:textId="77777777" w:rsidR="003129FE" w:rsidRPr="00AA18C7" w:rsidRDefault="003129FE" w:rsidP="004E4618">
      <w:pPr>
        <w:spacing w:after="220" w:line="240" w:lineRule="auto"/>
        <w:ind w:left="1440" w:hanging="720"/>
        <w:rPr>
          <w:rFonts w:ascii="Times New Roman" w:eastAsia="Times New Roman" w:hAnsi="Times New Roman"/>
        </w:rPr>
      </w:pPr>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w:t>
      </w:r>
      <w:proofErr w:type="gramStart"/>
      <w:r w:rsidRPr="00AA18C7">
        <w:rPr>
          <w:rFonts w:ascii="Times New Roman" w:eastAsia="Times New Roman" w:hAnsi="Times New Roman"/>
        </w:rPr>
        <w:t>fund</w:t>
      </w:r>
      <w:proofErr w:type="gramEnd"/>
      <w:r w:rsidRPr="00AA18C7">
        <w:rPr>
          <w:rFonts w:ascii="Times New Roman" w:eastAsia="Times New Roman" w:hAnsi="Times New Roman"/>
        </w:rPr>
        <w:t xml:space="preserve"> return </w:t>
      </w:r>
      <w:r>
        <w:rPr>
          <w:rFonts w:ascii="Times New Roman" w:eastAsia="Times New Roman" w:hAnsi="Times New Roman"/>
        </w:rPr>
        <w:t>market paths</w:t>
      </w:r>
      <w:r w:rsidRPr="00AA18C7">
        <w:rPr>
          <w:rFonts w:ascii="Times New Roman" w:eastAsia="Times New Roman" w:hAnsi="Times New Roman"/>
        </w:rPr>
        <w:t xml:space="preserve"> shall be used. These </w:t>
      </w:r>
      <w:r>
        <w:rPr>
          <w:rFonts w:ascii="Times New Roman" w:eastAsia="Times New Roman" w:hAnsi="Times New Roman"/>
        </w:rPr>
        <w:t xml:space="preserve">market paths </w:t>
      </w:r>
      <w:r w:rsidRPr="00AA18C7">
        <w:rPr>
          <w:rFonts w:ascii="Times New Roman" w:eastAsia="Times New Roman" w:hAnsi="Times New Roman"/>
        </w:rPr>
        <w:t>differ only in the prescribed gross return in the first projection year.</w:t>
      </w:r>
    </w:p>
    <w:p w14:paraId="603AC3A8" w14:textId="77777777" w:rsidR="003129FE" w:rsidRPr="00AA18C7" w:rsidRDefault="003129FE" w:rsidP="004E4618">
      <w:pPr>
        <w:spacing w:after="220" w:line="240" w:lineRule="auto"/>
        <w:ind w:left="1440"/>
        <w:rPr>
          <w:rFonts w:ascii="Times New Roman" w:eastAsia="Times New Roman" w:hAnsi="Times New Roman"/>
        </w:rPr>
      </w:pPr>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Pr>
          <w:rFonts w:ascii="Times New Roman" w:eastAsia="Times New Roman" w:hAnsi="Times New Roman"/>
        </w:rPr>
        <w:t>market path</w:t>
      </w:r>
      <w:r w:rsidRPr="00AA18C7">
        <w:rPr>
          <w:rFonts w:ascii="Times New Roman" w:eastAsia="Times New Roman" w:hAnsi="Times New Roman"/>
        </w:rPr>
        <w:t>s shall assume total gross returns of 3.0% per annum.</w:t>
      </w:r>
    </w:p>
    <w:p w14:paraId="4970E9DC" w14:textId="77777777" w:rsidR="003129FE" w:rsidRDefault="003129FE" w:rsidP="004E4618">
      <w:pPr>
        <w:spacing w:after="220" w:line="240" w:lineRule="auto"/>
        <w:ind w:left="1440"/>
        <w:rPr>
          <w:rFonts w:ascii="Times New Roman" w:eastAsia="Times New Roman" w:hAnsi="Times New Roman"/>
        </w:rPr>
      </w:pPr>
      <w:r w:rsidRPr="00AA18C7">
        <w:rPr>
          <w:rFonts w:ascii="Times New Roman" w:eastAsia="Times New Roman" w:hAnsi="Times New Roman"/>
        </w:rPr>
        <w:t xml:space="preserve">If the eight prescribed equity fund </w:t>
      </w:r>
      <w:r>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(i)</w:t>
      </w:r>
      <w:r w:rsidRPr="00AA18C7">
        <w:rPr>
          <w:rFonts w:ascii="Times New Roman" w:eastAsia="Times New Roman" w:hAnsi="Times New Roman"/>
        </w:rPr>
        <w:t xml:space="preserve"> to</w:t>
      </w:r>
      <w:r>
        <w:rPr>
          <w:rFonts w:ascii="Times New Roman" w:eastAsia="Times New Roman" w:hAnsi="Times New Roman"/>
        </w:rPr>
        <w:t xml:space="preserve"> (vii) outlined in S</w:t>
      </w:r>
      <w:r w:rsidRPr="00AA18C7">
        <w:rPr>
          <w:rFonts w:ascii="Times New Roman" w:eastAsia="Times New Roman" w:hAnsi="Times New Roman"/>
        </w:rPr>
        <w:t xml:space="preserve">ection </w:t>
      </w:r>
      <w:r>
        <w:rPr>
          <w:rFonts w:ascii="Times New Roman" w:eastAsia="Times New Roman" w:hAnsi="Times New Roman"/>
        </w:rPr>
        <w:t>6.B.2.a</w:t>
      </w:r>
      <w:r w:rsidRPr="00AA18C7">
        <w:rPr>
          <w:rFonts w:ascii="Times New Roman" w:eastAsia="Times New Roman" w:hAnsi="Times New Roman"/>
        </w:rPr>
        <w:t xml:space="preserve">, then the company shall include additional equity fund </w:t>
      </w:r>
      <w:r>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p>
    <w:p w14:paraId="0BC870FF" w14:textId="77777777" w:rsidR="003129FE" w:rsidRPr="00371136" w:rsidRDefault="003129FE" w:rsidP="004E4618">
      <w:pPr>
        <w:spacing w:after="220" w:line="240" w:lineRule="auto"/>
        <w:ind w:left="1440" w:hanging="720"/>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Pr>
          <w:rFonts w:ascii="Times New Roman" w:eastAsia="Times New Roman" w:hAnsi="Times New Roman"/>
        </w:rPr>
        <w:t>market path</w:t>
      </w:r>
      <w:r w:rsidRPr="00371136">
        <w:rPr>
          <w:rFonts w:ascii="Times New Roman" w:eastAsia="Times New Roman" w:hAnsi="Times New Roman"/>
        </w:rPr>
        <w:t xml:space="preserve">s shall be used. </w:t>
      </w:r>
    </w:p>
    <w:p w14:paraId="23A39279" w14:textId="77777777" w:rsidR="003129FE" w:rsidRDefault="003129FE" w:rsidP="004E4618">
      <w:pPr>
        <w:spacing w:after="220" w:line="240" w:lineRule="auto"/>
        <w:ind w:left="1440"/>
        <w:rPr>
          <w:rFonts w:ascii="Times New Roman" w:eastAsia="Times New Roman" w:hAnsi="Times New Roman"/>
        </w:rPr>
      </w:pPr>
      <w:r w:rsidRPr="00371136">
        <w:rPr>
          <w:rFonts w:ascii="Times New Roman" w:eastAsia="Times New Roman" w:hAnsi="Times New Roman"/>
        </w:rPr>
        <w:t xml:space="preserve">The five prescribed interest rate </w:t>
      </w:r>
      <w:r>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p>
    <w:p w14:paraId="5536E966" w14:textId="77777777" w:rsidR="003129FE" w:rsidRPr="0016658E" w:rsidRDefault="003129FE" w:rsidP="00E87EFC">
      <w:pPr>
        <w:pStyle w:val="ListParagraph"/>
        <w:numPr>
          <w:ilvl w:val="0"/>
          <w:numId w:val="39"/>
        </w:numPr>
        <w:spacing w:after="220" w:line="240" w:lineRule="auto"/>
        <w:rPr>
          <w:rFonts w:ascii="Times New Roman" w:eastAsia="Times New Roman" w:hAnsi="Times New Roman"/>
        </w:rPr>
      </w:pPr>
      <w:r w:rsidRPr="0016658E">
        <w:rPr>
          <w:rFonts w:ascii="Times New Roman" w:eastAsia="Times New Roman" w:hAnsi="Times New Roman"/>
        </w:rPr>
        <w:t>The actual U.S. Treasury rates as of the valuation date;</w:t>
      </w:r>
    </w:p>
    <w:p w14:paraId="36A4C5CC" w14:textId="77777777" w:rsidR="003129FE" w:rsidRPr="0016658E" w:rsidRDefault="003129FE" w:rsidP="00E87EFC">
      <w:pPr>
        <w:pStyle w:val="ListParagraph"/>
        <w:numPr>
          <w:ilvl w:val="0"/>
          <w:numId w:val="39"/>
        </w:numPr>
        <w:spacing w:after="220" w:line="240" w:lineRule="auto"/>
        <w:rPr>
          <w:rFonts w:ascii="Times New Roman" w:eastAsia="Times New Roman" w:hAnsi="Times New Roman"/>
        </w:rPr>
      </w:pPr>
      <w:r w:rsidRPr="0016658E">
        <w:rPr>
          <w:rFonts w:ascii="Times New Roman" w:eastAsia="Times New Roman" w:hAnsi="Times New Roman"/>
        </w:rPr>
        <w:t>The actual U.S. Treasury rates as of the valuation date, reduced at each point on the term structure by 25% of the difference between the U.S. Treasury rate as of the valuation date and 0.01%;</w:t>
      </w:r>
    </w:p>
    <w:p w14:paraId="6A44F17B" w14:textId="77777777" w:rsidR="003129FE" w:rsidRDefault="003129FE" w:rsidP="00E87EFC">
      <w:pPr>
        <w:pStyle w:val="ListParagraph"/>
        <w:numPr>
          <w:ilvl w:val="0"/>
          <w:numId w:val="39"/>
        </w:numPr>
        <w:spacing w:after="220" w:line="240" w:lineRule="auto"/>
        <w:rPr>
          <w:rFonts w:ascii="Times New Roman" w:eastAsia="Times New Roman" w:hAnsi="Times New Roman"/>
        </w:rPr>
      </w:pPr>
      <w:r w:rsidRPr="00A42E0F">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p>
    <w:p w14:paraId="71F0FBBC" w14:textId="77777777" w:rsidR="003129FE" w:rsidRPr="00A42E0F" w:rsidRDefault="003129FE" w:rsidP="00E87EFC">
      <w:pPr>
        <w:pStyle w:val="ListParagraph"/>
        <w:numPr>
          <w:ilvl w:val="0"/>
          <w:numId w:val="39"/>
        </w:numPr>
        <w:spacing w:after="220" w:line="240" w:lineRule="auto"/>
        <w:rPr>
          <w:rFonts w:ascii="Times New Roman" w:eastAsia="Times New Roman" w:hAnsi="Times New Roman"/>
        </w:rPr>
      </w:pPr>
      <w:r w:rsidRPr="00CD1958">
        <w:rPr>
          <w:rFonts w:ascii="Times New Roman" w:eastAsia="Times New Roman" w:hAnsi="Times New Roman"/>
        </w:rPr>
        <w:t>The actual U.S. Treasury rates as of the valuation date, reduced at each point on the term structure by 75% of the difference between the U.S. Treasury rate as of the valuation date and 0.01%</w:t>
      </w:r>
      <w:r>
        <w:rPr>
          <w:rFonts w:ascii="Times New Roman" w:eastAsia="Times New Roman" w:hAnsi="Times New Roman"/>
        </w:rPr>
        <w:t>;</w:t>
      </w:r>
    </w:p>
    <w:p w14:paraId="44F64565" w14:textId="77777777" w:rsidR="003129FE" w:rsidRPr="00A42E0F" w:rsidRDefault="003129FE" w:rsidP="00E87EFC">
      <w:pPr>
        <w:pStyle w:val="ListParagraph"/>
        <w:numPr>
          <w:ilvl w:val="0"/>
          <w:numId w:val="39"/>
        </w:numPr>
        <w:spacing w:after="220" w:line="240" w:lineRule="auto"/>
        <w:rPr>
          <w:rFonts w:ascii="Times New Roman" w:eastAsia="Times New Roman" w:hAnsi="Times New Roman"/>
        </w:rPr>
      </w:pPr>
      <w:r w:rsidRPr="00A42E0F">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p>
    <w:p w14:paraId="36D11553" w14:textId="77777777" w:rsidR="003129FE" w:rsidRDefault="003129FE" w:rsidP="004E4618">
      <w:pPr>
        <w:spacing w:after="220" w:line="240" w:lineRule="auto"/>
        <w:ind w:left="1440"/>
        <w:rPr>
          <w:rFonts w:ascii="Times New Roman" w:eastAsia="Times New Roman" w:hAnsi="Times New Roman"/>
        </w:rPr>
      </w:pPr>
      <w:r w:rsidRPr="0016658E">
        <w:rPr>
          <w:rFonts w:ascii="Times New Roman" w:eastAsia="Times New Roman" w:hAnsi="Times New Roman"/>
        </w:rPr>
        <w:t xml:space="preserve">For each of these five sets of starting U.S. Treasury rates, the prescribed interest rate market path is defined as the interest rate path generated by the prescribed interest rate scenario generator (described in Section </w:t>
      </w:r>
      <w:r>
        <w:rPr>
          <w:rFonts w:ascii="Times New Roman" w:eastAsia="Times New Roman" w:hAnsi="Times New Roman"/>
        </w:rPr>
        <w:t>8</w:t>
      </w:r>
      <w:r w:rsidRPr="0016658E">
        <w:rPr>
          <w:rFonts w:ascii="Times New Roman" w:eastAsia="Times New Roman" w:hAnsi="Times New Roman"/>
        </w:rPr>
        <w:t>.B)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p>
    <w:p w14:paraId="0E2BDEA2" w14:textId="77777777" w:rsidR="003129FE" w:rsidRDefault="003129FE" w:rsidP="004E4618">
      <w:pPr>
        <w:spacing w:after="220" w:line="240" w:lineRule="auto"/>
        <w:ind w:left="1440"/>
        <w:rPr>
          <w:rFonts w:ascii="Times New Roman" w:eastAsia="Times New Roman" w:hAnsi="Times New Roman"/>
        </w:rPr>
      </w:pPr>
      <w:r w:rsidRPr="00CD1958">
        <w:rPr>
          <w:rFonts w:ascii="Times New Roman" w:eastAsia="Times New Roman" w:hAnsi="Times New Roman"/>
        </w:rPr>
        <w:t xml:space="preserve">If the five prescribed interest rate </w:t>
      </w:r>
      <w:r>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 xml:space="preserve">(i) </w:t>
      </w:r>
      <w:r w:rsidRPr="00CD1958">
        <w:rPr>
          <w:rFonts w:ascii="Times New Roman" w:eastAsia="Times New Roman" w:hAnsi="Times New Roman"/>
        </w:rPr>
        <w:t xml:space="preserve">to </w:t>
      </w:r>
      <w:r>
        <w:rPr>
          <w:rFonts w:ascii="Times New Roman" w:eastAsia="Times New Roman" w:hAnsi="Times New Roman"/>
        </w:rPr>
        <w:t>(vii)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Pr>
          <w:rFonts w:ascii="Times New Roman" w:eastAsia="Times New Roman" w:hAnsi="Times New Roman"/>
        </w:rPr>
        <w:t>6.B.2.a</w:t>
      </w:r>
      <w:r w:rsidRPr="00CD1958">
        <w:rPr>
          <w:rFonts w:ascii="Times New Roman" w:eastAsia="Times New Roman" w:hAnsi="Times New Roman"/>
        </w:rPr>
        <w:t xml:space="preserve">, then the company shall include additional interest rate </w:t>
      </w:r>
      <w:r>
        <w:rPr>
          <w:rFonts w:ascii="Times New Roman" w:eastAsia="Times New Roman" w:hAnsi="Times New Roman"/>
        </w:rPr>
        <w:t>market path</w:t>
      </w:r>
      <w:r w:rsidRPr="00CD1958">
        <w:rPr>
          <w:rFonts w:ascii="Times New Roman" w:eastAsia="Times New Roman" w:hAnsi="Times New Roman"/>
        </w:rPr>
        <w:t>s that increase or decrease the prescribed starting U.S. Treasury rates at each point on the term structure by increments equal to 25% of the difference between the U.S. Treasury rate as of the valuation date and 0.01%.</w:t>
      </w:r>
      <w:r>
        <w:rPr>
          <w:rFonts w:ascii="Times New Roman" w:eastAsia="Times New Roman" w:hAnsi="Times New Roman"/>
        </w:rPr>
        <w:t xml:space="preserve">  The lowest interest rate to be used in this analysis is 0.01%.</w:t>
      </w:r>
    </w:p>
    <w:p w14:paraId="44089949" w14:textId="77777777" w:rsidR="003129FE" w:rsidRDefault="003129FE" w:rsidP="004E4618">
      <w:pPr>
        <w:spacing w:after="220" w:line="240" w:lineRule="auto"/>
        <w:ind w:left="1440"/>
        <w:rPr>
          <w:rFonts w:ascii="Times New Roman" w:eastAsia="Times New Roman" w:hAnsi="Times New Roman"/>
        </w:rPr>
      </w:pPr>
      <w:r w:rsidRPr="00CD1958">
        <w:rPr>
          <w:rFonts w:ascii="Times New Roman" w:eastAsia="Times New Roman" w:hAnsi="Times New Roman"/>
        </w:rPr>
        <w:lastRenderedPageBreak/>
        <w:t xml:space="preserve">For projecting swap rates along the prescribed interest rate </w:t>
      </w:r>
      <w:r>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Pr>
          <w:rFonts w:ascii="Times New Roman" w:eastAsia="Times New Roman" w:hAnsi="Times New Roman"/>
        </w:rPr>
        <w:t>market path</w:t>
      </w:r>
      <w:r w:rsidRPr="00CD1958">
        <w:rPr>
          <w:rFonts w:ascii="Times New Roman" w:eastAsia="Times New Roman" w:hAnsi="Times New Roman"/>
        </w:rPr>
        <w:t>.</w:t>
      </w:r>
      <w:r>
        <w:rPr>
          <w:rFonts w:ascii="Times New Roman" w:eastAsia="Times New Roman" w:hAnsi="Times New Roman"/>
        </w:rPr>
        <w:t xml:space="preserve">  </w:t>
      </w:r>
      <w:r w:rsidRPr="00A42E0F">
        <w:rPr>
          <w:rFonts w:ascii="Times New Roman" w:eastAsia="Times New Roman" w:hAnsi="Times New Roman"/>
        </w:rPr>
        <w:t xml:space="preserve">The lowest </w:t>
      </w:r>
      <w:r>
        <w:rPr>
          <w:rFonts w:ascii="Times New Roman" w:eastAsia="Times New Roman" w:hAnsi="Times New Roman"/>
        </w:rPr>
        <w:t xml:space="preserve">swap </w:t>
      </w:r>
      <w:r w:rsidRPr="00A42E0F">
        <w:rPr>
          <w:rFonts w:ascii="Times New Roman" w:eastAsia="Times New Roman" w:hAnsi="Times New Roman"/>
        </w:rPr>
        <w:t>rate to be used in this analysis is 0.01%</w:t>
      </w:r>
      <w:r>
        <w:rPr>
          <w:rFonts w:ascii="Times New Roman" w:eastAsia="Times New Roman" w:hAnsi="Times New Roman"/>
        </w:rPr>
        <w:t>.</w:t>
      </w:r>
    </w:p>
    <w:p w14:paraId="18ED5459" w14:textId="77777777" w:rsidR="003129FE" w:rsidRDefault="003129FE" w:rsidP="004E4618">
      <w:pPr>
        <w:spacing w:after="220" w:line="240" w:lineRule="auto"/>
        <w:ind w:left="1440" w:hanging="720"/>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Pr>
          <w:rFonts w:ascii="Times New Roman" w:eastAsia="Times New Roman" w:hAnsi="Times New Roman"/>
        </w:rPr>
        <w:t>market path</w:t>
      </w:r>
      <w:r w:rsidRPr="00CD1958">
        <w:rPr>
          <w:rFonts w:ascii="Times New Roman" w:eastAsia="Times New Roman" w:hAnsi="Times New Roman"/>
        </w:rPr>
        <w:t>s:</w:t>
      </w:r>
    </w:p>
    <w:p w14:paraId="29994DF1" w14:textId="77777777" w:rsidR="007D150A" w:rsidRDefault="007D150A" w:rsidP="007A6B74">
      <w:pPr>
        <w:keepNext/>
        <w:spacing w:after="220" w:line="240" w:lineRule="auto"/>
        <w:ind w:left="4680"/>
        <w:rPr>
          <w:rFonts w:ascii="Times New Roman" w:eastAsia="Times New Roman" w:hAnsi="Times New Roman"/>
          <w:position w:val="-1"/>
        </w:rPr>
      </w:pPr>
    </w:p>
    <w:p w14:paraId="07E33F3E" w14:textId="77777777" w:rsidR="007D150A" w:rsidRDefault="007D150A" w:rsidP="007A6B74">
      <w:pPr>
        <w:keepNext/>
        <w:spacing w:after="220" w:line="240" w:lineRule="auto"/>
        <w:ind w:left="4680"/>
        <w:rPr>
          <w:rFonts w:ascii="Times New Roman" w:eastAsia="Times New Roman" w:hAnsi="Times New Roman"/>
          <w:position w:val="-1"/>
        </w:rPr>
      </w:pPr>
    </w:p>
    <w:p w14:paraId="2B5D6951" w14:textId="77777777" w:rsidR="007D150A" w:rsidRDefault="007D150A" w:rsidP="007A6B74">
      <w:pPr>
        <w:keepNext/>
        <w:spacing w:after="220" w:line="240" w:lineRule="auto"/>
        <w:ind w:left="4680"/>
        <w:rPr>
          <w:rFonts w:ascii="Times New Roman" w:eastAsia="Times New Roman" w:hAnsi="Times New Roman"/>
          <w:position w:val="-1"/>
        </w:rPr>
      </w:pPr>
    </w:p>
    <w:tbl>
      <w:tblPr>
        <w:tblStyle w:val="TableGrid"/>
        <w:tblW w:w="0" w:type="auto"/>
        <w:tblInd w:w="1548" w:type="dxa"/>
        <w:tblLayout w:type="fixed"/>
        <w:tblLook w:val="04A0" w:firstRow="1" w:lastRow="0" w:firstColumn="1" w:lastColumn="0" w:noHBand="0" w:noVBand="1"/>
      </w:tblPr>
      <w:tblGrid>
        <w:gridCol w:w="2070"/>
        <w:gridCol w:w="67"/>
        <w:gridCol w:w="5891"/>
        <w:gridCol w:w="67"/>
      </w:tblGrid>
      <w:tr w:rsidR="00067EEF" w:rsidRPr="00CD1958" w14:paraId="6DF54A51" w14:textId="77777777" w:rsidTr="00063E8C">
        <w:trPr>
          <w:gridAfter w:val="1"/>
          <w:wAfter w:w="40" w:type="dxa"/>
        </w:trPr>
        <w:tc>
          <w:tcPr>
            <w:tcW w:w="2070" w:type="dxa"/>
          </w:tcPr>
          <w:p w14:paraId="4B335BA6" w14:textId="77777777" w:rsidR="00067EEF" w:rsidRPr="00067EEF" w:rsidRDefault="00067EEF" w:rsidP="00067EEF">
            <w:pPr>
              <w:pStyle w:val="Default"/>
              <w:ind w:left="135" w:right="-3690"/>
              <w:rPr>
                <w:sz w:val="22"/>
              </w:rPr>
            </w:pPr>
            <w:r w:rsidRPr="00CD1958">
              <w:rPr>
                <w:color w:val="0000FF"/>
                <w:sz w:val="22"/>
                <w:szCs w:val="22"/>
              </w:rPr>
              <w:t xml:space="preserve">Returns &amp; indicators </w:t>
            </w:r>
          </w:p>
        </w:tc>
        <w:tc>
          <w:tcPr>
            <w:tcW w:w="5958" w:type="dxa"/>
            <w:gridSpan w:val="2"/>
          </w:tcPr>
          <w:p w14:paraId="0C4FD6EF" w14:textId="62D4340B" w:rsidR="00067EEF" w:rsidRPr="00067EEF" w:rsidRDefault="00067EEF" w:rsidP="00DD29B3">
            <w:pPr>
              <w:keepNext/>
              <w:ind w:left="720"/>
              <w:rPr>
                <w:rFonts w:ascii="Times New Roman" w:hAnsi="Times New Roman"/>
                <w:sz w:val="22"/>
              </w:rPr>
            </w:pPr>
            <w:r w:rsidRPr="00CD1958">
              <w:rPr>
                <w:rFonts w:ascii="Times New Roman" w:hAnsi="Times New Roman"/>
                <w:sz w:val="22"/>
                <w:szCs w:val="22"/>
              </w:rPr>
              <w:t>All projection years</w:t>
            </w:r>
          </w:p>
        </w:tc>
      </w:tr>
      <w:tr w:rsidR="00067EEF" w:rsidRPr="00CD1958" w14:paraId="10732893" w14:textId="77777777" w:rsidTr="00063E8C">
        <w:trPr>
          <w:gridAfter w:val="1"/>
          <w:wAfter w:w="27" w:type="dxa"/>
        </w:trPr>
        <w:tc>
          <w:tcPr>
            <w:tcW w:w="2070" w:type="dxa"/>
          </w:tcPr>
          <w:p w14:paraId="6711A216" w14:textId="01DD8508" w:rsidR="00067EEF" w:rsidRPr="00067EEF" w:rsidRDefault="00067EEF" w:rsidP="00DD29B3">
            <w:pPr>
              <w:keepNext/>
              <w:ind w:left="288"/>
              <w:rPr>
                <w:rFonts w:ascii="Times New Roman" w:hAnsi="Times New Roman"/>
                <w:sz w:val="22"/>
              </w:rPr>
            </w:pPr>
            <w:r w:rsidRPr="004847FE">
              <w:rPr>
                <w:rFonts w:ascii="Times New Roman" w:hAnsi="Times New Roman"/>
                <w:sz w:val="22"/>
              </w:rPr>
              <w:lastRenderedPageBreak/>
              <w:t xml:space="preserve">Bond </w:t>
            </w:r>
            <w:r>
              <w:rPr>
                <w:rFonts w:ascii="Times New Roman" w:hAnsi="Times New Roman"/>
                <w:sz w:val="22"/>
                <w:szCs w:val="22"/>
              </w:rPr>
              <w:t>fund returns</w:t>
            </w:r>
          </w:p>
        </w:tc>
        <w:tc>
          <w:tcPr>
            <w:tcW w:w="5958" w:type="dxa"/>
            <w:gridSpan w:val="2"/>
          </w:tcPr>
          <w:p w14:paraId="2A840E98" w14:textId="2A454120" w:rsidR="00067EEF" w:rsidRDefault="00067EEF" w:rsidP="00DD29B3">
            <w:pPr>
              <w:keepNext/>
              <w:ind w:left="720"/>
              <w:rPr>
                <w:rFonts w:ascii="Times New Roman" w:hAnsi="Times New Roman"/>
                <w:sz w:val="22"/>
                <w:szCs w:val="22"/>
              </w:rPr>
            </w:pPr>
            <w:r w:rsidRPr="00CD1958">
              <w:rPr>
                <w:rFonts w:ascii="Times New Roman" w:hAnsi="Times New Roman"/>
                <w:sz w:val="22"/>
                <w:szCs w:val="22"/>
              </w:rPr>
              <w:t>Equal to the 5-year trailing average of the 5-year U.S. Treasury rate, plus an earned spread of 100 bps per annum.</w:t>
            </w:r>
          </w:p>
          <w:p w14:paraId="2730A693" w14:textId="77777777" w:rsidR="00067EEF" w:rsidRPr="00067EEF" w:rsidRDefault="00067EEF" w:rsidP="00DD29B3">
            <w:pPr>
              <w:keepNext/>
              <w:ind w:left="720"/>
              <w:rPr>
                <w:rFonts w:ascii="Times New Roman" w:hAnsi="Times New Roman"/>
                <w:sz w:val="22"/>
              </w:rPr>
            </w:pPr>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p>
        </w:tc>
      </w:tr>
      <w:tr w:rsidR="003129FE" w:rsidRPr="00CD1958" w14:paraId="5DE5B583" w14:textId="77777777" w:rsidTr="004E4618">
        <w:trPr>
          <w:gridAfter w:val="1"/>
          <w:wAfter w:w="27" w:type="dxa"/>
        </w:trPr>
        <w:tc>
          <w:tcPr>
            <w:tcW w:w="2070" w:type="dxa"/>
          </w:tcPr>
          <w:p w14:paraId="79F5FF3E" w14:textId="77777777" w:rsidR="003129FE" w:rsidRPr="00CD1958" w:rsidRDefault="003129FE" w:rsidP="00DD29B3">
            <w:pPr>
              <w:keepNext/>
              <w:ind w:left="288"/>
              <w:rPr>
                <w:rFonts w:ascii="Times New Roman" w:hAnsi="Times New Roman"/>
                <w:sz w:val="22"/>
                <w:szCs w:val="22"/>
              </w:rPr>
            </w:pPr>
            <w:r>
              <w:rPr>
                <w:rFonts w:ascii="Times New Roman" w:hAnsi="Times New Roman"/>
                <w:sz w:val="22"/>
                <w:szCs w:val="22"/>
              </w:rPr>
              <w:t>Money market fund returns</w:t>
            </w:r>
          </w:p>
        </w:tc>
        <w:tc>
          <w:tcPr>
            <w:tcW w:w="5958" w:type="dxa"/>
            <w:gridSpan w:val="2"/>
          </w:tcPr>
          <w:p w14:paraId="6D4DD4B2" w14:textId="77777777" w:rsidR="003129FE" w:rsidRPr="00CD1958" w:rsidRDefault="003129FE" w:rsidP="00DD29B3">
            <w:pPr>
              <w:keepNext/>
              <w:ind w:left="720"/>
              <w:rPr>
                <w:rFonts w:ascii="Times New Roman" w:hAnsi="Times New Roman"/>
                <w:sz w:val="22"/>
                <w:szCs w:val="22"/>
              </w:rPr>
            </w:pPr>
            <w:r w:rsidRPr="002C64A5">
              <w:rPr>
                <w:rFonts w:ascii="Times New Roman" w:hAnsi="Times New Roman"/>
                <w:sz w:val="22"/>
                <w:szCs w:val="22"/>
              </w:rPr>
              <w:t>Follow the three-month U.S. Treasury rate projected in the prescribed scenario</w:t>
            </w:r>
          </w:p>
        </w:tc>
      </w:tr>
      <w:tr w:rsidR="003129FE" w:rsidRPr="00CD1958" w14:paraId="0792F667" w14:textId="77777777" w:rsidTr="004E4618">
        <w:trPr>
          <w:gridAfter w:val="1"/>
          <w:wAfter w:w="27" w:type="dxa"/>
        </w:trPr>
        <w:tc>
          <w:tcPr>
            <w:tcW w:w="2070" w:type="dxa"/>
          </w:tcPr>
          <w:p w14:paraId="50713E60" w14:textId="640B4FCC" w:rsidR="003129FE" w:rsidRPr="004847FE" w:rsidRDefault="003129FE" w:rsidP="00DD29B3">
            <w:pPr>
              <w:keepNext/>
              <w:ind w:left="288"/>
              <w:rPr>
                <w:rFonts w:ascii="Times New Roman" w:hAnsi="Times New Roman"/>
                <w:sz w:val="22"/>
              </w:rPr>
            </w:pPr>
            <w:r w:rsidRPr="004847FE">
              <w:rPr>
                <w:rFonts w:ascii="Times New Roman" w:hAnsi="Times New Roman"/>
                <w:sz w:val="22"/>
              </w:rPr>
              <w:t xml:space="preserve">Balanced </w:t>
            </w:r>
            <w:r>
              <w:rPr>
                <w:rFonts w:ascii="Times New Roman" w:hAnsi="Times New Roman"/>
                <w:sz w:val="22"/>
                <w:szCs w:val="22"/>
              </w:rPr>
              <w:t>fund returns</w:t>
            </w:r>
          </w:p>
        </w:tc>
        <w:tc>
          <w:tcPr>
            <w:tcW w:w="5958" w:type="dxa"/>
            <w:gridSpan w:val="2"/>
          </w:tcPr>
          <w:p w14:paraId="2372D646" w14:textId="210127F1" w:rsidR="003129FE" w:rsidRPr="004847FE" w:rsidRDefault="003129FE" w:rsidP="00DD29B3">
            <w:pPr>
              <w:keepNext/>
              <w:ind w:left="720"/>
              <w:rPr>
                <w:rFonts w:ascii="Times New Roman" w:hAnsi="Times New Roman"/>
                <w:sz w:val="22"/>
              </w:rPr>
            </w:pPr>
            <w:r w:rsidRPr="002C64A5">
              <w:rPr>
                <w:rFonts w:ascii="Times New Roman" w:hAnsi="Times New Roman"/>
                <w:sz w:val="22"/>
                <w:szCs w:val="22"/>
              </w:rPr>
              <w:t>Reflect the equity and bond allocations as of the valuation date and any expected asset rebalancing in the projection consistent with fund operations</w:t>
            </w:r>
          </w:p>
        </w:tc>
      </w:tr>
      <w:tr w:rsidR="00067EEF" w:rsidRPr="00CD1958" w14:paraId="797917D7" w14:textId="77777777" w:rsidTr="00063E8C">
        <w:trPr>
          <w:gridAfter w:val="1"/>
          <w:wAfter w:w="27" w:type="dxa"/>
        </w:trPr>
        <w:tc>
          <w:tcPr>
            <w:tcW w:w="2070" w:type="dxa"/>
          </w:tcPr>
          <w:p w14:paraId="1D84948D" w14:textId="3DE02B77" w:rsidR="00067EEF" w:rsidRPr="00067EEF" w:rsidRDefault="00067EEF" w:rsidP="00DD29B3">
            <w:pPr>
              <w:keepNext/>
              <w:ind w:left="288"/>
              <w:rPr>
                <w:rFonts w:ascii="Times New Roman" w:hAnsi="Times New Roman"/>
                <w:sz w:val="22"/>
              </w:rPr>
            </w:pPr>
            <w:r>
              <w:rPr>
                <w:rFonts w:ascii="Times New Roman" w:hAnsi="Times New Roman"/>
                <w:sz w:val="22"/>
                <w:szCs w:val="22"/>
              </w:rPr>
              <w:t>General account reinvestment rate</w:t>
            </w:r>
          </w:p>
        </w:tc>
        <w:tc>
          <w:tcPr>
            <w:tcW w:w="5958" w:type="dxa"/>
            <w:gridSpan w:val="2"/>
          </w:tcPr>
          <w:p w14:paraId="0243AE0F" w14:textId="5BF03F9B" w:rsidR="00067EEF" w:rsidRPr="00067EEF" w:rsidRDefault="00067EEF" w:rsidP="00DD29B3">
            <w:pPr>
              <w:keepNext/>
              <w:ind w:left="720"/>
              <w:rPr>
                <w:rFonts w:ascii="Times New Roman" w:hAnsi="Times New Roman"/>
                <w:sz w:val="22"/>
              </w:rPr>
            </w:pPr>
            <w:r w:rsidRPr="002C64A5">
              <w:rPr>
                <w:rFonts w:ascii="Times New Roman" w:hAnsi="Times New Roman"/>
                <w:sz w:val="22"/>
                <w:szCs w:val="22"/>
              </w:rPr>
              <w:t xml:space="preserve">Consistent with the manner in which general account assets – including </w:t>
            </w:r>
            <w:r>
              <w:rPr>
                <w:rFonts w:ascii="Times New Roman" w:hAnsi="Times New Roman"/>
                <w:sz w:val="22"/>
                <w:szCs w:val="22"/>
              </w:rPr>
              <w:t>s</w:t>
            </w:r>
            <w:r w:rsidRPr="002C64A5">
              <w:rPr>
                <w:rFonts w:ascii="Times New Roman" w:hAnsi="Times New Roman"/>
                <w:sz w:val="22"/>
                <w:szCs w:val="22"/>
              </w:rPr>
              <w:t xml:space="preserve">tarting </w:t>
            </w:r>
            <w:r>
              <w:rPr>
                <w:rFonts w:ascii="Times New Roman" w:hAnsi="Times New Roman"/>
                <w:sz w:val="22"/>
                <w:szCs w:val="22"/>
              </w:rPr>
              <w:t>a</w:t>
            </w:r>
            <w:r w:rsidRPr="002C64A5">
              <w:rPr>
                <w:rFonts w:ascii="Times New Roman" w:hAnsi="Times New Roman"/>
                <w:sz w:val="22"/>
                <w:szCs w:val="22"/>
              </w:rPr>
              <w:t xml:space="preserve">ssets, reinvestment assets, and </w:t>
            </w:r>
            <w:r>
              <w:rPr>
                <w:rFonts w:ascii="Times New Roman" w:hAnsi="Times New Roman"/>
                <w:sz w:val="22"/>
                <w:szCs w:val="22"/>
              </w:rPr>
              <w:t>a</w:t>
            </w:r>
            <w:r w:rsidRPr="002C64A5">
              <w:rPr>
                <w:rFonts w:ascii="Times New Roman" w:hAnsi="Times New Roman"/>
                <w:sz w:val="22"/>
                <w:szCs w:val="22"/>
              </w:rPr>
              <w:t xml:space="preserve">dditional </w:t>
            </w:r>
            <w:r>
              <w:rPr>
                <w:rFonts w:ascii="Times New Roman" w:hAnsi="Times New Roman"/>
                <w:sz w:val="22"/>
                <w:szCs w:val="22"/>
              </w:rPr>
              <w:t>i</w:t>
            </w:r>
            <w:r w:rsidRPr="002C64A5">
              <w:rPr>
                <w:rFonts w:ascii="Times New Roman" w:hAnsi="Times New Roman"/>
                <w:sz w:val="22"/>
                <w:szCs w:val="22"/>
              </w:rPr>
              <w:t xml:space="preserve">nvested </w:t>
            </w:r>
            <w:r>
              <w:rPr>
                <w:rFonts w:ascii="Times New Roman" w:hAnsi="Times New Roman"/>
                <w:sz w:val="22"/>
                <w:szCs w:val="22"/>
              </w:rPr>
              <w:t>a</w:t>
            </w:r>
            <w:r w:rsidRPr="002C64A5">
              <w:rPr>
                <w:rFonts w:ascii="Times New Roman" w:hAnsi="Times New Roman"/>
                <w:sz w:val="22"/>
                <w:szCs w:val="22"/>
              </w:rPr>
              <w:t xml:space="preserve">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4.B.3</w:t>
            </w:r>
            <w:r w:rsidRPr="002C64A5">
              <w:rPr>
                <w:rFonts w:ascii="Times New Roman" w:hAnsi="Times New Roman"/>
                <w:sz w:val="22"/>
                <w:szCs w:val="22"/>
              </w:rPr>
              <w:t xml:space="preserve"> – are reflected via the </w:t>
            </w:r>
            <w:r>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4.D.4</w:t>
            </w:r>
            <w:r w:rsidR="00FB1D77">
              <w:rPr>
                <w:rFonts w:ascii="Times New Roman" w:hAnsi="Times New Roman"/>
                <w:sz w:val="22"/>
                <w:szCs w:val="22"/>
              </w:rPr>
              <w:t xml:space="preserve"> and Section 4.D.5</w:t>
            </w:r>
            <w:r w:rsidRPr="002C64A5">
              <w:rPr>
                <w:rFonts w:ascii="Times New Roman" w:hAnsi="Times New Roman"/>
                <w:sz w:val="22"/>
                <w:szCs w:val="22"/>
              </w:rPr>
              <w:t>, including the requirement in</w:t>
            </w:r>
            <w:r>
              <w:rPr>
                <w:rFonts w:ascii="Times New Roman" w:hAnsi="Times New Roman"/>
                <w:sz w:val="22"/>
                <w:szCs w:val="22"/>
              </w:rPr>
              <w:t xml:space="preserve"> Section 4.D.5.a</w:t>
            </w:r>
            <w:r w:rsidRPr="002C64A5">
              <w:rPr>
                <w:rFonts w:ascii="Times New Roman" w:hAnsi="Times New Roman"/>
                <w:sz w:val="22"/>
                <w:szCs w:val="22"/>
              </w:rPr>
              <w:t xml:space="preserve"> for fixed income assets</w:t>
            </w:r>
          </w:p>
        </w:tc>
      </w:tr>
      <w:tr w:rsidR="00067EEF" w:rsidRPr="00CD1958" w14:paraId="5730FE96" w14:textId="77777777" w:rsidTr="00067EEF">
        <w:tc>
          <w:tcPr>
            <w:tcW w:w="2137" w:type="dxa"/>
            <w:gridSpan w:val="2"/>
          </w:tcPr>
          <w:p w14:paraId="44CB88AE" w14:textId="5AEAEB2D" w:rsidR="00067EEF" w:rsidRPr="00067EEF" w:rsidRDefault="00067EEF" w:rsidP="00063E8C">
            <w:pPr>
              <w:keepNext/>
              <w:tabs>
                <w:tab w:val="left" w:pos="225"/>
              </w:tabs>
              <w:ind w:left="405" w:right="165"/>
              <w:rPr>
                <w:rFonts w:ascii="Times New Roman" w:hAnsi="Times New Roman"/>
                <w:sz w:val="22"/>
              </w:rPr>
            </w:pPr>
            <w:r w:rsidRPr="004847FE">
              <w:rPr>
                <w:rFonts w:ascii="Times New Roman" w:hAnsi="Times New Roman"/>
              </w:rPr>
              <w:t xml:space="preserve">Fixed </w:t>
            </w:r>
            <w:r>
              <w:rPr>
                <w:rFonts w:ascii="Times New Roman" w:hAnsi="Times New Roman"/>
                <w:sz w:val="22"/>
                <w:szCs w:val="22"/>
              </w:rPr>
              <w:t>account returns</w:t>
            </w:r>
          </w:p>
        </w:tc>
        <w:tc>
          <w:tcPr>
            <w:tcW w:w="5958" w:type="dxa"/>
            <w:gridSpan w:val="2"/>
          </w:tcPr>
          <w:p w14:paraId="4F4744F1" w14:textId="014D02BB" w:rsidR="00067EEF" w:rsidRDefault="00067EEF" w:rsidP="00DD29B3">
            <w:pPr>
              <w:keepNext/>
              <w:ind w:left="720"/>
              <w:rPr>
                <w:rFonts w:ascii="Times New Roman" w:hAnsi="Times New Roman"/>
                <w:sz w:val="22"/>
                <w:szCs w:val="22"/>
              </w:rPr>
            </w:pPr>
            <w:r w:rsidRPr="002C64A5">
              <w:rPr>
                <w:rFonts w:ascii="Times New Roman" w:hAnsi="Times New Roman"/>
                <w:sz w:val="22"/>
                <w:szCs w:val="22"/>
              </w:rPr>
              <w:t>At the option of the</w:t>
            </w:r>
            <w:r>
              <w:rPr>
                <w:rFonts w:ascii="Times New Roman" w:hAnsi="Times New Roman"/>
                <w:sz w:val="22"/>
                <w:szCs w:val="22"/>
              </w:rPr>
              <w:t xml:space="preserve"> company</w:t>
            </w:r>
            <w:r w:rsidRPr="002C64A5">
              <w:rPr>
                <w:rFonts w:ascii="Times New Roman" w:hAnsi="Times New Roman"/>
                <w:sz w:val="22"/>
                <w:szCs w:val="22"/>
              </w:rPr>
              <w:t>, either (i) follow the company’s documented crediting practices; or (ii) equal to the larger of the contract’s minimum guaranteed crediting rate and the general account earned rate less 200 bps.</w:t>
            </w:r>
          </w:p>
          <w:p w14:paraId="7C2CA132" w14:textId="77777777" w:rsidR="00067EEF" w:rsidRPr="00067EEF" w:rsidRDefault="00067EEF" w:rsidP="00DD29B3">
            <w:pPr>
              <w:keepNext/>
              <w:ind w:left="720"/>
              <w:rPr>
                <w:rFonts w:ascii="Times New Roman" w:hAnsi="Times New Roman"/>
                <w:sz w:val="22"/>
              </w:rPr>
            </w:pPr>
            <w:r w:rsidRPr="002C64A5">
              <w:rPr>
                <w:rFonts w:ascii="Times New Roman" w:hAnsi="Times New Roman"/>
                <w:sz w:val="22"/>
                <w:szCs w:val="22"/>
              </w:rPr>
              <w:t xml:space="preserve">For reinsurers that do not have visibility into the direct writer’s general account earned rate, the </w:t>
            </w:r>
            <w:r>
              <w:rPr>
                <w:rFonts w:ascii="Times New Roman" w:hAnsi="Times New Roman"/>
                <w:sz w:val="22"/>
                <w:szCs w:val="22"/>
              </w:rPr>
              <w:t>company</w:t>
            </w:r>
            <w:r w:rsidRPr="002C64A5">
              <w:rPr>
                <w:rFonts w:ascii="Times New Roman" w:hAnsi="Times New Roman"/>
                <w:sz w:val="22"/>
                <w:szCs w:val="22"/>
              </w:rPr>
              <w:t xml:space="preserve"> shall project the direct writer’s general account earned rate as the 5-year trailing average of the 5-year U.S. Treasury rate, plus an earned spread of 100 bps per annum</w:t>
            </w:r>
          </w:p>
        </w:tc>
      </w:tr>
      <w:tr w:rsidR="003129FE" w:rsidRPr="00CD1958" w14:paraId="2460D69C" w14:textId="77777777" w:rsidTr="00067EEF">
        <w:tc>
          <w:tcPr>
            <w:tcW w:w="2137" w:type="dxa"/>
            <w:gridSpan w:val="2"/>
          </w:tcPr>
          <w:p w14:paraId="3A8A9B80" w14:textId="77777777" w:rsidR="003129FE" w:rsidRPr="00CD1958" w:rsidRDefault="003129FE" w:rsidP="00063E8C">
            <w:pPr>
              <w:keepNext/>
              <w:tabs>
                <w:tab w:val="left" w:pos="225"/>
              </w:tabs>
              <w:ind w:left="405" w:right="165" w:firstLine="225"/>
              <w:rPr>
                <w:rFonts w:ascii="Times New Roman" w:hAnsi="Times New Roman"/>
                <w:sz w:val="22"/>
                <w:szCs w:val="22"/>
              </w:rPr>
            </w:pPr>
            <w:r w:rsidRPr="002C64A5">
              <w:rPr>
                <w:rFonts w:ascii="Times New Roman" w:hAnsi="Times New Roman"/>
                <w:sz w:val="22"/>
                <w:szCs w:val="22"/>
              </w:rPr>
              <w:t>Implied and realized volatility</w:t>
            </w:r>
          </w:p>
        </w:tc>
        <w:tc>
          <w:tcPr>
            <w:tcW w:w="5958" w:type="dxa"/>
            <w:gridSpan w:val="2"/>
          </w:tcPr>
          <w:p w14:paraId="727C449B" w14:textId="77777777" w:rsidR="003129FE" w:rsidRPr="00CD1958" w:rsidRDefault="003129FE" w:rsidP="00DD29B3">
            <w:pPr>
              <w:keepNext/>
              <w:ind w:left="720"/>
              <w:rPr>
                <w:rFonts w:ascii="Times New Roman" w:hAnsi="Times New Roman"/>
                <w:sz w:val="22"/>
                <w:szCs w:val="22"/>
              </w:rPr>
            </w:pPr>
            <w:r w:rsidRPr="002C64A5">
              <w:rPr>
                <w:rFonts w:ascii="Times New Roman" w:hAnsi="Times New Roman"/>
                <w:sz w:val="22"/>
                <w:szCs w:val="22"/>
              </w:rPr>
              <w:t>Follow the forward volatilities implied by the implied volatility term structure in effect as of the valuation date</w:t>
            </w:r>
          </w:p>
        </w:tc>
      </w:tr>
      <w:tr w:rsidR="003129FE" w:rsidRPr="00CD1958" w14:paraId="64494B79" w14:textId="77777777" w:rsidTr="00067EEF">
        <w:tc>
          <w:tcPr>
            <w:tcW w:w="2137" w:type="dxa"/>
            <w:gridSpan w:val="2"/>
          </w:tcPr>
          <w:p w14:paraId="3215F285" w14:textId="77777777" w:rsidR="003129FE" w:rsidRPr="002C64A5" w:rsidRDefault="003129FE" w:rsidP="00063E8C">
            <w:pPr>
              <w:keepNext/>
              <w:tabs>
                <w:tab w:val="left" w:pos="225"/>
              </w:tabs>
              <w:ind w:left="405" w:right="165" w:firstLine="225"/>
              <w:rPr>
                <w:rFonts w:ascii="Times New Roman" w:hAnsi="Times New Roman"/>
                <w:sz w:val="22"/>
                <w:szCs w:val="22"/>
              </w:rPr>
            </w:pPr>
            <w:r w:rsidRPr="002C64A5">
              <w:rPr>
                <w:rFonts w:ascii="Times New Roman" w:hAnsi="Times New Roman"/>
                <w:sz w:val="22"/>
                <w:szCs w:val="22"/>
              </w:rPr>
              <w:t>Foreign exchange rates</w:t>
            </w:r>
          </w:p>
        </w:tc>
        <w:tc>
          <w:tcPr>
            <w:tcW w:w="5958" w:type="dxa"/>
            <w:gridSpan w:val="2"/>
          </w:tcPr>
          <w:p w14:paraId="0F05959C" w14:textId="77777777" w:rsidR="003129FE" w:rsidRPr="002C64A5" w:rsidRDefault="003129FE" w:rsidP="00DD29B3">
            <w:pPr>
              <w:keepNext/>
              <w:ind w:left="720"/>
              <w:rPr>
                <w:rFonts w:ascii="Times New Roman" w:hAnsi="Times New Roman"/>
                <w:sz w:val="22"/>
                <w:szCs w:val="22"/>
              </w:rPr>
            </w:pPr>
            <w:r w:rsidRPr="002C64A5">
              <w:rPr>
                <w:rFonts w:ascii="Times New Roman" w:hAnsi="Times New Roman"/>
                <w:sz w:val="22"/>
                <w:szCs w:val="22"/>
              </w:rPr>
              <w:t>Follow the exchange rates implied by spot exchange rates as of the valuation date and the relevant interest rate term structures</w:t>
            </w:r>
          </w:p>
        </w:tc>
      </w:tr>
    </w:tbl>
    <w:p w14:paraId="6AE15DEF" w14:textId="77777777" w:rsidR="003129FE" w:rsidRDefault="003129FE" w:rsidP="00067EEF">
      <w:pPr>
        <w:keepNext/>
        <w:spacing w:after="0" w:line="240" w:lineRule="auto"/>
        <w:ind w:left="1440"/>
        <w:rPr>
          <w:rFonts w:ascii="Times New Roman" w:hAnsi="Times New Roman"/>
        </w:rPr>
      </w:pPr>
    </w:p>
    <w:p w14:paraId="736CFC54" w14:textId="3E93D319" w:rsidR="003129FE" w:rsidRDefault="003129FE" w:rsidP="004E4618">
      <w:pPr>
        <w:keepNext/>
        <w:spacing w:after="0" w:line="240" w:lineRule="auto"/>
        <w:ind w:left="1440"/>
        <w:rPr>
          <w:rFonts w:ascii="Times New Roman" w:hAnsi="Times New Roman"/>
        </w:rPr>
      </w:pPr>
      <w:r w:rsidRPr="00BA4D1E">
        <w:rPr>
          <w:rFonts w:ascii="Times New Roman" w:hAnsi="Times New Roman"/>
        </w:rPr>
        <w:t xml:space="preserve"> </w:t>
      </w:r>
    </w:p>
    <w:p w14:paraId="1D99AAB6" w14:textId="5C5B3B4A" w:rsidR="003129FE" w:rsidRDefault="003129FE" w:rsidP="004E4618">
      <w:pPr>
        <w:keepNext/>
        <w:spacing w:after="0" w:line="240" w:lineRule="auto"/>
        <w:ind w:left="1440"/>
        <w:rPr>
          <w:rFonts w:ascii="Times New Roman" w:hAnsi="Times New Roman"/>
        </w:rPr>
      </w:pPr>
    </w:p>
    <w:p w14:paraId="2B36BDB1" w14:textId="77777777" w:rsidR="003129FE" w:rsidRPr="00812CAC" w:rsidRDefault="003129FE" w:rsidP="004E4618">
      <w:pPr>
        <w:keepNext/>
        <w:spacing w:after="220" w:line="240" w:lineRule="auto"/>
        <w:ind w:left="1440" w:hanging="720"/>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E180444" w14:textId="48163B6D"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A68A428" w14:textId="17F29A2B" w:rsidR="003129FE" w:rsidRPr="00C96468" w:rsidRDefault="003129FE" w:rsidP="00E87EFC">
      <w:pPr>
        <w:pStyle w:val="ListParagraph"/>
        <w:numPr>
          <w:ilvl w:val="0"/>
          <w:numId w:val="45"/>
        </w:numPr>
        <w:spacing w:after="220" w:line="240" w:lineRule="auto"/>
        <w:ind w:left="2430"/>
        <w:rPr>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 as defined in VM-01.</w:t>
      </w:r>
      <w:r w:rsidRPr="00C96468">
        <w:t xml:space="preserve"> </w:t>
      </w:r>
      <w:r w:rsidRPr="00C96468">
        <w:rPr>
          <w:rFonts w:ascii="Times New Roman" w:eastAsia="Times New Roman" w:hAnsi="Times New Roman"/>
        </w:rPr>
        <w:t>In addition, a simple 403(b) VA contract shall be defined as a variable annuity contract that</w:t>
      </w:r>
    </w:p>
    <w:p w14:paraId="0B6E6B53" w14:textId="77777777" w:rsidR="003129FE" w:rsidRDefault="003129FE" w:rsidP="00E87EFC">
      <w:pPr>
        <w:pStyle w:val="ListParagraph"/>
        <w:numPr>
          <w:ilvl w:val="0"/>
          <w:numId w:val="44"/>
        </w:numPr>
        <w:tabs>
          <w:tab w:val="left" w:pos="3330"/>
        </w:tabs>
        <w:spacing w:after="220" w:line="240" w:lineRule="auto"/>
        <w:ind w:left="3150"/>
        <w:rPr>
          <w:rFonts w:ascii="Times New Roman" w:eastAsia="Times New Roman" w:hAnsi="Times New Roman"/>
        </w:rPr>
      </w:pPr>
      <w:r w:rsidRPr="00C96468">
        <w:rPr>
          <w:rFonts w:ascii="Times New Roman" w:eastAsia="Times New Roman" w:hAnsi="Times New Roman"/>
        </w:rPr>
        <w:t xml:space="preserve">is issued within a </w:t>
      </w:r>
      <w:proofErr w:type="gramStart"/>
      <w:r w:rsidRPr="00C96468">
        <w:rPr>
          <w:rFonts w:ascii="Times New Roman" w:eastAsia="Times New Roman" w:hAnsi="Times New Roman"/>
        </w:rPr>
        <w:t>403(b) retirement</w:t>
      </w:r>
      <w:proofErr w:type="gramEnd"/>
      <w:r w:rsidRPr="00C96468">
        <w:rPr>
          <w:rFonts w:ascii="Times New Roman" w:eastAsia="Times New Roman" w:hAnsi="Times New Roman"/>
        </w:rPr>
        <w:t xml:space="preserve"> savings plan</w:t>
      </w:r>
      <w:r>
        <w:rPr>
          <w:rFonts w:ascii="Times New Roman" w:eastAsia="Times New Roman" w:hAnsi="Times New Roman"/>
        </w:rPr>
        <w:t>,</w:t>
      </w:r>
    </w:p>
    <w:p w14:paraId="26180BFF" w14:textId="511127BB" w:rsidR="003129FE" w:rsidRDefault="003129FE" w:rsidP="00E87EFC">
      <w:pPr>
        <w:pStyle w:val="ListParagraph"/>
        <w:numPr>
          <w:ilvl w:val="0"/>
          <w:numId w:val="44"/>
        </w:numPr>
        <w:tabs>
          <w:tab w:val="left" w:pos="3330"/>
        </w:tabs>
        <w:spacing w:after="220" w:line="240" w:lineRule="auto"/>
        <w:ind w:left="3150"/>
        <w:rPr>
          <w:rFonts w:ascii="Times New Roman" w:eastAsia="Times New Roman" w:hAnsi="Times New Roman"/>
        </w:rPr>
      </w:pPr>
      <w:r>
        <w:rPr>
          <w:rFonts w:ascii="Times New Roman" w:eastAsia="Times New Roman" w:hAnsi="Times New Roman"/>
        </w:rPr>
        <w:t>does not have a VAGLB, and,</w:t>
      </w:r>
    </w:p>
    <w:p w14:paraId="0390FC00" w14:textId="77777777" w:rsidR="003129FE" w:rsidRDefault="003129FE" w:rsidP="00E87EFC">
      <w:pPr>
        <w:pStyle w:val="ListParagraph"/>
        <w:numPr>
          <w:ilvl w:val="0"/>
          <w:numId w:val="44"/>
        </w:numPr>
        <w:tabs>
          <w:tab w:val="left" w:pos="3330"/>
        </w:tabs>
        <w:spacing w:after="220" w:line="240" w:lineRule="auto"/>
        <w:ind w:left="3150"/>
        <w:rPr>
          <w:rFonts w:ascii="Times New Roman" w:eastAsia="Times New Roman" w:hAnsi="Times New Roman"/>
        </w:rPr>
      </w:pPr>
      <w:r>
        <w:rPr>
          <w:rFonts w:ascii="Times New Roman" w:eastAsia="Times New Roman" w:hAnsi="Times New Roman"/>
        </w:rPr>
        <w:t>does not have a GMDB with guaranteed benefit basis growth.</w:t>
      </w:r>
    </w:p>
    <w:p w14:paraId="33C7C2DB" w14:textId="72285ECA" w:rsidR="008022A3" w:rsidRDefault="003129FE" w:rsidP="00067EEF">
      <w:pPr>
        <w:pStyle w:val="ListParagraph"/>
        <w:numPr>
          <w:ilvl w:val="0"/>
          <w:numId w:val="45"/>
        </w:numPr>
        <w:spacing w:after="220" w:line="240" w:lineRule="auto"/>
        <w:ind w:left="2430"/>
        <w:rPr>
          <w:rFonts w:ascii="Times New Roman" w:eastAsia="Times New Roman" w:hAnsi="Times New Roman"/>
        </w:rPr>
      </w:pPr>
      <w:r w:rsidRPr="00C96468">
        <w:rPr>
          <w:rFonts w:ascii="Times New Roman" w:eastAsia="Times New Roman" w:hAnsi="Times New Roman"/>
        </w:rPr>
        <w:t>Certain VAGLB products have features that can be described by multiple types of guaranteed benefits. If the VAGLB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w:t>
      </w:r>
      <w:r>
        <w:rPr>
          <w:rFonts w:ascii="Times New Roman" w:eastAsia="Times New Roman" w:hAnsi="Times New Roman"/>
        </w:rPr>
        <w:t xml:space="preserve"> </w:t>
      </w:r>
      <w:r w:rsidRPr="00C96468">
        <w:rPr>
          <w:rFonts w:ascii="Times New Roman" w:eastAsia="Times New Roman" w:hAnsi="Times New Roman"/>
        </w:rPr>
        <w:t xml:space="preserve">For instance, if a VAGLB has both lifetime GMWB and non-lifetime GMWB features, </w:t>
      </w:r>
      <w:r w:rsidRPr="00C96468">
        <w:rPr>
          <w:rFonts w:ascii="Times New Roman" w:eastAsia="Times New Roman" w:hAnsi="Times New Roman"/>
        </w:rPr>
        <w:lastRenderedPageBreak/>
        <w:t>assumptions for all contracts with such a VAGLB shall be set as if the VAGLB were only a lifetime GMWB and did not contain any of the non-lifetime GMWB features if such assumptions produce a higher Additional Standard Projection Amount. If the reverse is true,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p>
    <w:p w14:paraId="09EE8032" w14:textId="1E4E5AE1" w:rsidR="008022A3" w:rsidRPr="00C96468" w:rsidRDefault="008022A3" w:rsidP="00E87EFC">
      <w:pPr>
        <w:pStyle w:val="ListParagraph"/>
        <w:numPr>
          <w:ilvl w:val="0"/>
          <w:numId w:val="45"/>
        </w:numPr>
        <w:spacing w:after="220" w:line="240" w:lineRule="auto"/>
        <w:ind w:left="2430"/>
        <w:rPr>
          <w:rFonts w:ascii="Times New Roman" w:eastAsia="Times New Roman" w:hAnsi="Times New Roman"/>
        </w:rPr>
      </w:pPr>
      <w:r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p>
    <w:p w14:paraId="29A93A18" w14:textId="77777777" w:rsidR="003129FE" w:rsidRPr="008022A3" w:rsidRDefault="003129FE" w:rsidP="008022A3">
      <w:pPr>
        <w:spacing w:after="220" w:line="240" w:lineRule="auto"/>
        <w:rPr>
          <w:rFonts w:ascii="Times New Roman" w:eastAsia="Times New Roman" w:hAnsi="Times New Roman"/>
        </w:rPr>
      </w:pPr>
    </w:p>
    <w:p w14:paraId="5C266456"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2</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Maintena</w:t>
      </w:r>
      <w:r>
        <w:rPr>
          <w:rFonts w:ascii="Times New Roman" w:eastAsia="Times New Roman" w:hAnsi="Times New Roman"/>
        </w:rPr>
        <w:t>nce Expenses</w:t>
      </w:r>
    </w:p>
    <w:p w14:paraId="47E42B3B" w14:textId="77777777" w:rsidR="003129FE" w:rsidRDefault="003129FE" w:rsidP="004E4618">
      <w:pPr>
        <w:spacing w:after="220" w:line="240" w:lineRule="auto"/>
        <w:ind w:left="2160"/>
        <w:rPr>
          <w:rFonts w:ascii="Times New Roman" w:eastAsia="Times New Roman" w:hAnsi="Times New Roman"/>
        </w:rPr>
      </w:pPr>
      <w:r w:rsidRPr="007740D9">
        <w:rPr>
          <w:rFonts w:ascii="Times New Roman" w:eastAsia="Times New Roman" w:hAnsi="Times New Roman"/>
        </w:rPr>
        <w:t xml:space="preserve">Maintenance expense assumptions shall be </w:t>
      </w:r>
      <w:r>
        <w:rPr>
          <w:rFonts w:ascii="Times New Roman" w:eastAsia="Times New Roman" w:hAnsi="Times New Roman"/>
        </w:rPr>
        <w:t>determined as the sum of (a) plus (b) if the company is responsible for the administration or (c) if the company is not responsible for the administration of the contract</w:t>
      </w:r>
      <w:r w:rsidRPr="007740D9">
        <w:rPr>
          <w:rFonts w:ascii="Times New Roman" w:eastAsia="Times New Roman" w:hAnsi="Times New Roman"/>
        </w:rPr>
        <w:t>:</w:t>
      </w:r>
    </w:p>
    <w:p w14:paraId="175B572B" w14:textId="77777777" w:rsidR="003129FE" w:rsidRPr="00D836A5" w:rsidRDefault="003129FE" w:rsidP="00E87EFC">
      <w:pPr>
        <w:pStyle w:val="ListParagraph"/>
        <w:numPr>
          <w:ilvl w:val="0"/>
          <w:numId w:val="40"/>
        </w:numPr>
        <w:spacing w:after="220" w:line="240" w:lineRule="auto"/>
        <w:ind w:left="2520"/>
        <w:rPr>
          <w:rFonts w:ascii="Times New Roman" w:eastAsia="Times New Roman" w:hAnsi="Times New Roman"/>
        </w:rPr>
      </w:pPr>
      <w:r w:rsidRPr="00D836A5">
        <w:rPr>
          <w:rFonts w:ascii="Times New Roman" w:eastAsia="Times New Roman" w:hAnsi="Times New Roman"/>
        </w:rPr>
        <w:t xml:space="preserve">Each </w:t>
      </w:r>
      <w:r>
        <w:rPr>
          <w:rFonts w:ascii="Times New Roman" w:eastAsia="Times New Roman" w:hAnsi="Times New Roman"/>
        </w:rPr>
        <w:t xml:space="preserve">contract </w:t>
      </w:r>
      <w:r w:rsidRPr="00D836A5">
        <w:rPr>
          <w:rFonts w:ascii="Times New Roman" w:eastAsia="Times New Roman" w:hAnsi="Times New Roman"/>
        </w:rPr>
        <w:t>for which the company is responsible for administration incurs an annual expense equal to $100 in the first projection year, increased by an assumed annual inflation rate of 2.0% for subsequent projection years;</w:t>
      </w:r>
    </w:p>
    <w:p w14:paraId="262BD335" w14:textId="77777777" w:rsidR="003129FE" w:rsidRDefault="003129FE" w:rsidP="00E87EFC">
      <w:pPr>
        <w:pStyle w:val="ListParagraph"/>
        <w:numPr>
          <w:ilvl w:val="0"/>
          <w:numId w:val="40"/>
        </w:numPr>
        <w:tabs>
          <w:tab w:val="left" w:pos="2520"/>
        </w:tabs>
        <w:spacing w:after="220" w:line="240" w:lineRule="auto"/>
        <w:ind w:hanging="720"/>
        <w:rPr>
          <w:rFonts w:ascii="Times New Roman" w:eastAsia="Times New Roman" w:hAnsi="Times New Roman"/>
        </w:rPr>
      </w:pPr>
      <w:r w:rsidRPr="00D836A5">
        <w:rPr>
          <w:rFonts w:ascii="Times New Roman" w:eastAsia="Times New Roman" w:hAnsi="Times New Roman"/>
        </w:rPr>
        <w:t xml:space="preserve">7 basis points of the projected </w:t>
      </w:r>
      <w:r>
        <w:rPr>
          <w:rFonts w:ascii="Times New Roman" w:eastAsia="Times New Roman" w:hAnsi="Times New Roman"/>
        </w:rPr>
        <w:t>a</w:t>
      </w:r>
      <w:r w:rsidRPr="00D836A5">
        <w:rPr>
          <w:rFonts w:ascii="Times New Roman" w:eastAsia="Times New Roman" w:hAnsi="Times New Roman"/>
        </w:rPr>
        <w:t xml:space="preserve">ccount </w:t>
      </w:r>
      <w:r>
        <w:rPr>
          <w:rFonts w:ascii="Times New Roman" w:eastAsia="Times New Roman" w:hAnsi="Times New Roman"/>
        </w:rPr>
        <w:t>v</w:t>
      </w:r>
      <w:r w:rsidRPr="00D836A5">
        <w:rPr>
          <w:rFonts w:ascii="Times New Roman" w:eastAsia="Times New Roman" w:hAnsi="Times New Roman"/>
        </w:rPr>
        <w:t>alue for each year in the projection.</w:t>
      </w:r>
    </w:p>
    <w:p w14:paraId="7A524FC6" w14:textId="77777777" w:rsidR="003129FE" w:rsidRPr="00D836A5" w:rsidRDefault="003129FE" w:rsidP="00E87EFC">
      <w:pPr>
        <w:pStyle w:val="ListParagraph"/>
        <w:numPr>
          <w:ilvl w:val="0"/>
          <w:numId w:val="40"/>
        </w:numPr>
        <w:tabs>
          <w:tab w:val="left" w:pos="2520"/>
        </w:tabs>
        <w:spacing w:after="220" w:line="240" w:lineRule="auto"/>
        <w:ind w:left="2520"/>
        <w:rPr>
          <w:rFonts w:ascii="Times New Roman" w:eastAsia="Times New Roman" w:hAnsi="Times New Roman"/>
        </w:rPr>
      </w:pPr>
      <w:r w:rsidRPr="00D836A5">
        <w:rPr>
          <w:rFonts w:ascii="Times New Roman" w:eastAsia="Times New Roman" w:hAnsi="Times New Roman"/>
        </w:rPr>
        <w:t xml:space="preserve">Each </w:t>
      </w:r>
      <w:r>
        <w:rPr>
          <w:rFonts w:ascii="Times New Roman" w:eastAsia="Times New Roman" w:hAnsi="Times New Roman"/>
        </w:rPr>
        <w:t>contract</w:t>
      </w:r>
      <w:r w:rsidRPr="00D836A5">
        <w:rPr>
          <w:rFonts w:ascii="Times New Roman" w:eastAsia="Times New Roman" w:hAnsi="Times New Roman"/>
        </w:rPr>
        <w:t xml:space="preserve"> for which the company is not responsible for administration </w:t>
      </w:r>
      <w:r>
        <w:rPr>
          <w:rFonts w:ascii="Times New Roman" w:eastAsia="Times New Roman" w:hAnsi="Times New Roman"/>
        </w:rPr>
        <w:t>(</w:t>
      </w:r>
      <w:r w:rsidRPr="00D836A5">
        <w:rPr>
          <w:rFonts w:ascii="Times New Roman" w:eastAsia="Times New Roman" w:hAnsi="Times New Roman"/>
        </w:rPr>
        <w:t xml:space="preserve">e.g., if the </w:t>
      </w:r>
      <w:r>
        <w:rPr>
          <w:rFonts w:ascii="Times New Roman" w:eastAsia="Times New Roman" w:hAnsi="Times New Roman"/>
        </w:rPr>
        <w:t>contract</w:t>
      </w:r>
      <w:r w:rsidRPr="00D836A5">
        <w:rPr>
          <w:rFonts w:ascii="Times New Roman" w:eastAsia="Times New Roman" w:hAnsi="Times New Roman"/>
        </w:rPr>
        <w:t xml:space="preserve"> were assumed by the company in a reinsurance transaction in which only the risks associated with a guaranteed benefit rider were transferred</w:t>
      </w:r>
      <w:r>
        <w:rPr>
          <w:rFonts w:ascii="Times New Roman" w:eastAsia="Times New Roman" w:hAnsi="Times New Roman"/>
        </w:rPr>
        <w:t>)</w:t>
      </w:r>
      <w:r w:rsidRPr="00D836A5">
        <w:rPr>
          <w:rFonts w:ascii="Times New Roman" w:eastAsia="Times New Roman" w:hAnsi="Times New Roman"/>
        </w:rPr>
        <w:t xml:space="preserve"> incurs an annual expense equal to $35 in the first projection year, increased by an assumed annual inflation rate of 2.0% for subsequent projection years</w:t>
      </w:r>
      <w:r>
        <w:rPr>
          <w:rFonts w:ascii="Times New Roman" w:eastAsia="Times New Roman" w:hAnsi="Times New Roman"/>
        </w:rPr>
        <w:t>.</w:t>
      </w:r>
    </w:p>
    <w:p w14:paraId="42CB4F9F"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Gua</w:t>
      </w:r>
      <w:r>
        <w:rPr>
          <w:rFonts w:ascii="Times New Roman" w:eastAsia="Times New Roman" w:hAnsi="Times New Roman"/>
        </w:rPr>
        <w:t>rantee Actuarial Present Value</w:t>
      </w:r>
    </w:p>
    <w:p w14:paraId="0CBA67CC" w14:textId="7FF3A558" w:rsidR="003129FE" w:rsidRPr="007740D9" w:rsidRDefault="003129FE" w:rsidP="004E4618">
      <w:pPr>
        <w:spacing w:after="220" w:line="240" w:lineRule="auto"/>
        <w:ind w:left="2160"/>
        <w:rPr>
          <w:rFonts w:ascii="Times New Roman" w:eastAsia="Times New Roman" w:hAnsi="Times New Roman"/>
        </w:rPr>
      </w:pPr>
      <w:r w:rsidRPr="002F2465">
        <w:rPr>
          <w:rFonts w:ascii="Times New Roman" w:eastAsia="Times New Roman" w:hAnsi="Times New Roman"/>
        </w:rPr>
        <w:t>The Guarantee Actuarial Present Value (“GAPV”) is used in the determination of the Withdrawal Delay Cohort Method (Section 6.C.5), full surrender rates (Section 6.C.6), annuitization rates (Section 6.C.7), and other voluntary contract terminations (Section 6.C.11).  The GAPV represents the actuarial present value</w:t>
      </w:r>
      <w:r w:rsidRPr="007740D9">
        <w:rPr>
          <w:rFonts w:ascii="Times New Roman" w:eastAsia="Times New Roman" w:hAnsi="Times New Roman"/>
        </w:rPr>
        <w:t xml:space="preserve"> of the lump sum or income payments associated with a guaranteed benefit. For the purpose of calculating the GAPV, such payments shall include the portion that is paid out of the contract</w:t>
      </w:r>
      <w:r>
        <w:rPr>
          <w:rFonts w:ascii="Times New Roman" w:eastAsia="Times New Roman" w:hAnsi="Times New Roman"/>
        </w:rPr>
        <w:t xml:space="preserve"> </w:t>
      </w:r>
      <w:r w:rsidRPr="007740D9">
        <w:rPr>
          <w:rFonts w:ascii="Times New Roman" w:eastAsia="Times New Roman" w:hAnsi="Times New Roman"/>
        </w:rPr>
        <w:t>holder’s Account Value.</w:t>
      </w:r>
    </w:p>
    <w:p w14:paraId="662CB933" w14:textId="411B1DCD" w:rsidR="003129FE" w:rsidRPr="007740D9" w:rsidRDefault="003129FE" w:rsidP="004E4618">
      <w:pPr>
        <w:spacing w:after="220" w:line="240" w:lineRule="auto"/>
        <w:ind w:left="2160"/>
        <w:rPr>
          <w:rFonts w:ascii="Times New Roman" w:eastAsia="Times New Roman" w:hAnsi="Times New Roman"/>
        </w:rPr>
      </w:pPr>
      <w:r w:rsidRPr="007740D9">
        <w:rPr>
          <w:rFonts w:ascii="Times New Roman" w:eastAsia="Times New Roman" w:hAnsi="Times New Roman"/>
        </w:rPr>
        <w:t>The GAPV shall be calculated in the following manner:</w:t>
      </w:r>
    </w:p>
    <w:p w14:paraId="6DDD9297" w14:textId="5B119DA2" w:rsidR="003129FE" w:rsidRDefault="003129FE" w:rsidP="00063E8C">
      <w:pPr>
        <w:spacing w:after="220" w:line="240" w:lineRule="auto"/>
        <w:ind w:left="2160"/>
        <w:rPr>
          <w:rFonts w:ascii="Times New Roman" w:eastAsia="Times New Roman" w:hAnsi="Times New Roman"/>
        </w:rPr>
      </w:pPr>
      <w:r>
        <w:rPr>
          <w:rFonts w:ascii="Times New Roman" w:eastAsia="Times New Roman" w:hAnsi="Times New Roman"/>
        </w:rPr>
        <w:t>a.</w:t>
      </w:r>
      <w:r w:rsidRPr="007740D9">
        <w:rPr>
          <w:rFonts w:ascii="Times New Roman" w:eastAsia="Times New Roman" w:hAnsi="Times New Roman"/>
        </w:rPr>
        <w:t xml:space="preserve"> If a guaranteed benefit is exercisable immediately, then the GAPV shall be determined assuming immediate or continued exercise of that benefit unless otherwise specified in a subsequent subsection of</w:t>
      </w:r>
      <w:r w:rsidR="00FB1D77">
        <w:rPr>
          <w:rFonts w:ascii="Times New Roman" w:eastAsia="Times New Roman" w:hAnsi="Times New Roman"/>
        </w:rPr>
        <w:t xml:space="preserve"> Section</w:t>
      </w:r>
      <w:r w:rsidRPr="007740D9">
        <w:rPr>
          <w:rFonts w:ascii="Times New Roman" w:eastAsia="Times New Roman" w:hAnsi="Times New Roman"/>
        </w:rPr>
        <w:t xml:space="preserve"> </w:t>
      </w:r>
      <w:r>
        <w:rPr>
          <w:rFonts w:ascii="Times New Roman" w:eastAsia="Times New Roman" w:hAnsi="Times New Roman"/>
        </w:rPr>
        <w:t>6.C.3</w:t>
      </w:r>
      <w:r w:rsidRPr="007740D9">
        <w:rPr>
          <w:rFonts w:ascii="Times New Roman" w:eastAsia="Times New Roman" w:hAnsi="Times New Roman"/>
        </w:rPr>
        <w:t>.</w:t>
      </w:r>
    </w:p>
    <w:p w14:paraId="684DA61C" w14:textId="4B8842B2" w:rsidR="003129FE" w:rsidRPr="001B3FBF" w:rsidRDefault="003129FE" w:rsidP="00063E8C">
      <w:pPr>
        <w:spacing w:after="220" w:line="240" w:lineRule="auto"/>
        <w:ind w:left="2160"/>
        <w:rPr>
          <w:rFonts w:ascii="Times New Roman" w:eastAsia="Times New Roman" w:hAnsi="Times New Roman"/>
        </w:rPr>
      </w:pPr>
      <w:r>
        <w:rPr>
          <w:rFonts w:ascii="Times New Roman" w:eastAsia="Times New Roman" w:hAnsi="Times New Roman"/>
        </w:rPr>
        <w:t xml:space="preserve">b. If a guaranteed benefit is not exercisable immediately </w:t>
      </w:r>
      <w:r w:rsidRPr="001B3FBF">
        <w:rPr>
          <w:rFonts w:ascii="Times New Roman" w:eastAsia="Times New Roman" w:hAnsi="Times New Roman"/>
        </w:rPr>
        <w:t xml:space="preserve">(e.g., </w:t>
      </w:r>
      <w:r>
        <w:rPr>
          <w:rFonts w:ascii="Times New Roman" w:eastAsia="Times New Roman" w:hAnsi="Times New Roman"/>
        </w:rPr>
        <w:t>because of</w:t>
      </w:r>
      <w:r w:rsidRPr="001B3FBF">
        <w:rPr>
          <w:rFonts w:ascii="Times New Roman" w:eastAsia="Times New Roman" w:hAnsi="Times New Roman"/>
        </w:rPr>
        <w:t xml:space="preserve"> minimum age or </w:t>
      </w:r>
      <w:r>
        <w:rPr>
          <w:rFonts w:ascii="Times New Roman" w:eastAsia="Times New Roman" w:hAnsi="Times New Roman"/>
        </w:rPr>
        <w:t>contract year</w:t>
      </w:r>
      <w:r w:rsidRPr="001B3FBF">
        <w:rPr>
          <w:rFonts w:ascii="Times New Roman" w:eastAsia="Times New Roman" w:hAnsi="Times New Roman"/>
        </w:rPr>
        <w:t xml:space="preserve"> requirements</w:t>
      </w:r>
      <w:r>
        <w:rPr>
          <w:rFonts w:ascii="Times New Roman" w:eastAsia="Times New Roman" w:hAnsi="Times New Roman"/>
        </w:rPr>
        <w:t>), then the GAPV</w:t>
      </w:r>
      <w:r w:rsidRPr="001B3FBF">
        <w:rPr>
          <w:rFonts w:ascii="Times New Roman" w:eastAsia="Times New Roman" w:hAnsi="Times New Roman"/>
        </w:rPr>
        <w:t xml:space="preserve"> shall be determined assuming exercise of the guaranteed benefit at the earliest possible </w:t>
      </w:r>
      <w:r>
        <w:rPr>
          <w:rFonts w:ascii="Times New Roman" w:eastAsia="Times New Roman" w:hAnsi="Times New Roman"/>
        </w:rPr>
        <w:t xml:space="preserve">time unless otherwise </w:t>
      </w:r>
      <w:r w:rsidRPr="001B3FBF">
        <w:rPr>
          <w:rFonts w:ascii="Times New Roman" w:eastAsia="Times New Roman" w:hAnsi="Times New Roman"/>
        </w:rPr>
        <w:t xml:space="preserve">specified in </w:t>
      </w:r>
      <w:r>
        <w:rPr>
          <w:rFonts w:ascii="Times New Roman" w:eastAsia="Times New Roman" w:hAnsi="Times New Roman"/>
        </w:rPr>
        <w:t>a subsequent subsection of Section 6.C.3</w:t>
      </w:r>
      <w:r w:rsidRPr="001B3FBF">
        <w:rPr>
          <w:rFonts w:ascii="Times New Roman" w:eastAsia="Times New Roman" w:hAnsi="Times New Roman"/>
        </w:rPr>
        <w:t>.</w:t>
      </w:r>
    </w:p>
    <w:p w14:paraId="05EA78BC" w14:textId="3B66E944" w:rsidR="003129FE" w:rsidRPr="001B3FBF" w:rsidRDefault="003129FE" w:rsidP="00063E8C">
      <w:pPr>
        <w:spacing w:after="220" w:line="240" w:lineRule="auto"/>
        <w:ind w:left="2160"/>
        <w:rPr>
          <w:rFonts w:ascii="Times New Roman" w:eastAsia="Times New Roman" w:hAnsi="Times New Roman"/>
        </w:rPr>
      </w:pPr>
      <w:r>
        <w:rPr>
          <w:rFonts w:ascii="Times New Roman" w:eastAsia="Times New Roman" w:hAnsi="Times New Roman"/>
        </w:rPr>
        <w:t xml:space="preserve">c. </w:t>
      </w:r>
      <w:r w:rsidRPr="001B3FBF">
        <w:rPr>
          <w:rFonts w:ascii="Times New Roman" w:eastAsia="Times New Roman" w:hAnsi="Times New Roman"/>
        </w:rPr>
        <w:t xml:space="preserve">Determination of the </w:t>
      </w:r>
      <w:r>
        <w:rPr>
          <w:rFonts w:ascii="Times New Roman" w:eastAsia="Times New Roman" w:hAnsi="Times New Roman"/>
        </w:rPr>
        <w:t>GAPV</w:t>
      </w:r>
      <w:r w:rsidRPr="001B3FBF">
        <w:rPr>
          <w:rFonts w:ascii="Times New Roman" w:eastAsia="Times New Roman" w:hAnsi="Times New Roman"/>
        </w:rPr>
        <w:t xml:space="preserve"> of a guaranteed benefit that is exercisable or payable at a future projection interval shall take account of any guaranteed growth in the basis for the guarantee (e.g., where the basis grows according to an index or an interest rate)</w:t>
      </w:r>
      <w:r>
        <w:rPr>
          <w:rFonts w:ascii="Times New Roman" w:eastAsia="Times New Roman" w:hAnsi="Times New Roman"/>
        </w:rPr>
        <w:t xml:space="preserve">, </w:t>
      </w:r>
      <w:r w:rsidRPr="00AA7D2B">
        <w:rPr>
          <w:rFonts w:ascii="Times New Roman" w:eastAsia="Times New Roman" w:hAnsi="Times New Roman"/>
        </w:rPr>
        <w:t xml:space="preserve">as well as survival to the date of exercise using the mortality table specified in </w:t>
      </w:r>
      <w:r>
        <w:rPr>
          <w:rFonts w:ascii="Times New Roman" w:eastAsia="Times New Roman" w:hAnsi="Times New Roman"/>
        </w:rPr>
        <w:t>S</w:t>
      </w:r>
      <w:r w:rsidRPr="00AA7D2B">
        <w:rPr>
          <w:rFonts w:ascii="Times New Roman" w:eastAsia="Times New Roman" w:hAnsi="Times New Roman"/>
        </w:rPr>
        <w:t>ection</w:t>
      </w:r>
      <w:r>
        <w:rPr>
          <w:rFonts w:ascii="Times New Roman" w:eastAsia="Times New Roman" w:hAnsi="Times New Roman"/>
        </w:rPr>
        <w:t xml:space="preserve"> 6.C.3.h</w:t>
      </w:r>
      <w:r w:rsidRPr="00AA7D2B">
        <w:rPr>
          <w:rFonts w:ascii="Times New Roman" w:eastAsia="Times New Roman" w:hAnsi="Times New Roman"/>
        </w:rPr>
        <w:t>.</w:t>
      </w:r>
    </w:p>
    <w:p w14:paraId="0F2681BE" w14:textId="11405320"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lastRenderedPageBreak/>
        <w:t>d. Once</w:t>
      </w:r>
      <w:r w:rsidRPr="001B3FBF">
        <w:rPr>
          <w:rFonts w:ascii="Times New Roman" w:eastAsia="Times New Roman" w:hAnsi="Times New Roman"/>
        </w:rPr>
        <w:t xml:space="preserve"> a GMWB</w:t>
      </w:r>
      <w:r>
        <w:rPr>
          <w:rFonts w:ascii="Times New Roman" w:eastAsia="Times New Roman" w:hAnsi="Times New Roman"/>
        </w:rPr>
        <w:t xml:space="preserve"> is exercised</w:t>
      </w:r>
      <w:r w:rsidRPr="001B3FBF">
        <w:rPr>
          <w:rFonts w:ascii="Times New Roman" w:eastAsia="Times New Roman" w:hAnsi="Times New Roman"/>
        </w:rPr>
        <w:t xml:space="preserve">, the </w:t>
      </w:r>
      <w:r>
        <w:rPr>
          <w:rFonts w:ascii="Times New Roman" w:eastAsia="Times New Roman" w:hAnsi="Times New Roman"/>
        </w:rPr>
        <w:t>contract holder</w:t>
      </w:r>
      <w:r w:rsidRPr="001B3FBF">
        <w:rPr>
          <w:rFonts w:ascii="Times New Roman" w:eastAsia="Times New Roman" w:hAnsi="Times New Roman"/>
        </w:rPr>
        <w:t xml:space="preserve"> shall be</w:t>
      </w:r>
      <w:r>
        <w:rPr>
          <w:rFonts w:ascii="Times New Roman" w:eastAsia="Times New Roman" w:hAnsi="Times New Roman"/>
        </w:rPr>
        <w:t xml:space="preserve"> </w:t>
      </w:r>
      <w:r w:rsidRPr="00AA7D2B">
        <w:rPr>
          <w:rFonts w:ascii="Times New Roman" w:eastAsia="Times New Roman" w:hAnsi="Times New Roman"/>
        </w:rPr>
        <w:t xml:space="preserve">assumed to withdraw in each subsequent </w:t>
      </w:r>
      <w:r>
        <w:rPr>
          <w:rFonts w:ascii="Times New Roman" w:eastAsia="Times New Roman" w:hAnsi="Times New Roman"/>
        </w:rPr>
        <w:t xml:space="preserve">contract </w:t>
      </w:r>
      <w:r w:rsidRPr="00AA7D2B">
        <w:rPr>
          <w:rFonts w:ascii="Times New Roman" w:eastAsia="Times New Roman" w:hAnsi="Times New Roman"/>
        </w:rPr>
        <w:t xml:space="preserve">year an amount equal to 100% of the GMWB’s guaranteed maximum annual withdrawal amount in that </w:t>
      </w:r>
      <w:r>
        <w:rPr>
          <w:rFonts w:ascii="Times New Roman" w:eastAsia="Times New Roman" w:hAnsi="Times New Roman"/>
        </w:rPr>
        <w:t>contract</w:t>
      </w:r>
      <w:r w:rsidRPr="00AA7D2B">
        <w:rPr>
          <w:rFonts w:ascii="Times New Roman" w:eastAsia="Times New Roman" w:hAnsi="Times New Roman"/>
        </w:rPr>
        <w:t xml:space="preserve"> year.</w:t>
      </w:r>
      <w:r w:rsidRPr="001B3FBF">
        <w:rPr>
          <w:rFonts w:ascii="Times New Roman" w:eastAsia="Times New Roman" w:hAnsi="Times New Roman"/>
        </w:rPr>
        <w:t xml:space="preserve"> </w:t>
      </w:r>
    </w:p>
    <w:p w14:paraId="534C0766"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e. </w:t>
      </w:r>
      <w:r w:rsidRPr="00AA7D2B">
        <w:rPr>
          <w:rFonts w:ascii="Times New Roman" w:eastAsia="Times New Roman" w:hAnsi="Times New Roman"/>
        </w:rPr>
        <w:t xml:space="preserve">If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 xml:space="preserve">alue growth is required to determine projected benefits or product features, then the </w:t>
      </w:r>
      <w:r w:rsidRPr="00EA615B">
        <w:rPr>
          <w:rFonts w:ascii="Times New Roman" w:eastAsia="Times New Roman" w:hAnsi="Times New Roman"/>
        </w:rPr>
        <w:t xml:space="preserve">account value </w:t>
      </w:r>
      <w:r w:rsidRPr="00AA7D2B">
        <w:rPr>
          <w:rFonts w:ascii="Times New Roman" w:eastAsia="Times New Roman" w:hAnsi="Times New Roman"/>
        </w:rPr>
        <w:t xml:space="preserve">growth shall be assumed to be 0% net of all fees chargeable to the </w:t>
      </w:r>
      <w:r w:rsidRPr="00EA615B">
        <w:rPr>
          <w:rFonts w:ascii="Times New Roman" w:eastAsia="Times New Roman" w:hAnsi="Times New Roman"/>
        </w:rPr>
        <w:t>account value</w:t>
      </w:r>
      <w:r w:rsidRPr="00AA7D2B">
        <w:rPr>
          <w:rFonts w:ascii="Times New Roman" w:eastAsia="Times New Roman" w:hAnsi="Times New Roman"/>
        </w:rPr>
        <w:t>.</w:t>
      </w:r>
    </w:p>
    <w:p w14:paraId="26C4C8CB"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f. </w:t>
      </w:r>
      <w:r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p>
    <w:p w14:paraId="6657ED6F"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g. </w:t>
      </w:r>
      <w:r w:rsidRPr="00AA7D2B">
        <w:rPr>
          <w:rFonts w:ascii="Times New Roman" w:eastAsia="Times New Roman" w:hAnsi="Times New Roman"/>
        </w:rPr>
        <w:t xml:space="preserve">The GAPV for a GMDB that terminates at a certain age or in a certain </w:t>
      </w:r>
      <w:r>
        <w:rPr>
          <w:rFonts w:ascii="Times New Roman" w:eastAsia="Times New Roman" w:hAnsi="Times New Roman"/>
        </w:rPr>
        <w:t>contract</w:t>
      </w:r>
      <w:r w:rsidRPr="00AA7D2B">
        <w:rPr>
          <w:rFonts w:ascii="Times New Roman" w:eastAsia="Times New Roman" w:hAnsi="Times New Roman"/>
        </w:rPr>
        <w:t xml:space="preserve"> year shall be calculated as if the GMDB does not terminate.</w:t>
      </w:r>
    </w:p>
    <w:p w14:paraId="563CA56C" w14:textId="16B78E5F" w:rsidR="003129FE" w:rsidRDefault="003129FE">
      <w:pPr>
        <w:spacing w:after="220" w:line="240" w:lineRule="auto"/>
        <w:ind w:left="2160"/>
        <w:rPr>
          <w:rFonts w:ascii="Times New Roman" w:eastAsia="Times New Roman" w:hAnsi="Times New Roman"/>
        </w:rPr>
      </w:pPr>
      <w:r>
        <w:rPr>
          <w:rFonts w:ascii="Times New Roman" w:eastAsia="Times New Roman" w:hAnsi="Times New Roman"/>
        </w:rPr>
        <w:t xml:space="preserve">h. </w:t>
      </w:r>
      <w:r w:rsidRPr="00AA7D2B">
        <w:rPr>
          <w:rFonts w:ascii="Times New Roman" w:eastAsia="Times New Roman" w:hAnsi="Times New Roman"/>
        </w:rPr>
        <w:t xml:space="preserve">The mortality assumption used shall follow the 2012 IAM Basic Mortality Table, improved to </w:t>
      </w:r>
      <w:r>
        <w:rPr>
          <w:rFonts w:ascii="Times New Roman" w:eastAsia="Times New Roman" w:hAnsi="Times New Roman"/>
        </w:rPr>
        <w:t>December 31, 2017</w:t>
      </w:r>
      <w:r w:rsidRPr="00AA7D2B">
        <w:rPr>
          <w:rFonts w:ascii="Times New Roman" w:eastAsia="Times New Roman" w:hAnsi="Times New Roman"/>
        </w:rPr>
        <w:t xml:space="preserve"> using Projection Scale G2 but not applying any additional mortality improvement in the projection.</w:t>
      </w:r>
    </w:p>
    <w:p w14:paraId="6FA301DD" w14:textId="1ADD9B32" w:rsidR="003129FE" w:rsidRDefault="008022A3" w:rsidP="004E4618">
      <w:pPr>
        <w:spacing w:after="220" w:line="240" w:lineRule="auto"/>
        <w:ind w:left="72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FC1197" w:rsidRPr="00E66A05" w:rsidRDefault="00FC1197">
                            <w:pPr>
                              <w:rPr>
                                <w:b/>
                              </w:rPr>
                            </w:pPr>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30"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Hf8gFxPAgAAqAQAAA4AAAAAAAAAAAAAAAAALgIAAGRycy9lMm9Eb2MueG1sUEsBAi0AFAAGAAgA&#10;AAAhAED/JdrdAAAACgEAAA8AAAAAAAAAAAAAAAAAqQQAAGRycy9kb3ducmV2LnhtbFBLBQYAAAAA&#10;BAAEAPMAAACzBQAAAAA=&#10;" fillcolor="white [3201]" strokeweight=".5pt">
                <v:textbox>
                  <w:txbxContent>
                    <w:p w14:paraId="2D9920A4" w14:textId="77777777" w:rsidR="00FC1197" w:rsidRPr="00E66A05" w:rsidRDefault="00FC1197">
                      <w:pPr>
                        <w:rPr>
                          <w:b/>
                        </w:rPr>
                      </w:pPr>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p>
                  </w:txbxContent>
                </v:textbox>
              </v:shape>
            </w:pict>
          </mc:Fallback>
        </mc:AlternateContent>
      </w:r>
    </w:p>
    <w:p w14:paraId="5B8B6F1F" w14:textId="77777777" w:rsidR="003129FE" w:rsidRDefault="003129FE">
      <w:pPr>
        <w:spacing w:after="220" w:line="240" w:lineRule="auto"/>
        <w:ind w:left="2160"/>
        <w:rPr>
          <w:rFonts w:ascii="Times New Roman" w:eastAsia="Times New Roman" w:hAnsi="Times New Roman"/>
        </w:rPr>
      </w:pPr>
    </w:p>
    <w:p w14:paraId="0F32F193" w14:textId="77777777" w:rsidR="003129FE" w:rsidRDefault="003129FE" w:rsidP="004E4618">
      <w:pPr>
        <w:spacing w:after="220" w:line="240" w:lineRule="auto"/>
        <w:rPr>
          <w:rFonts w:ascii="Times New Roman" w:eastAsia="Times New Roman" w:hAnsi="Times New Roman"/>
        </w:rPr>
      </w:pPr>
    </w:p>
    <w:p w14:paraId="306A4ACD"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i.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Section 6.C.3</w:t>
      </w:r>
      <w:r w:rsidRPr="00AA7D2B">
        <w:rPr>
          <w:rFonts w:ascii="Times New Roman" w:eastAsia="Times New Roman" w:hAnsi="Times New Roman"/>
        </w:rPr>
        <w:t>.</w:t>
      </w:r>
    </w:p>
    <w:p w14:paraId="78C46F5D" w14:textId="02807D6B"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j. </w:t>
      </w:r>
      <w:r w:rsidRPr="00AA7D2B">
        <w:rPr>
          <w:rFonts w:ascii="Times New Roman" w:eastAsia="Times New Roman" w:hAnsi="Times New Roman"/>
        </w:rPr>
        <w:t>For hybrid GMIBs, two types of GAPVs shall be calculated: the Annuitization GAPV and the Withdrawal GAPV. The Annuitization GAPV is</w:t>
      </w:r>
      <w:r>
        <w:rPr>
          <w:rFonts w:ascii="Times New Roman" w:eastAsia="Times New Roman" w:hAnsi="Times New Roman"/>
        </w:rPr>
        <w:t xml:space="preserve"> </w:t>
      </w:r>
      <w:r w:rsidRPr="001B3FBF">
        <w:rPr>
          <w:rFonts w:ascii="Times New Roman" w:eastAsia="Times New Roman" w:hAnsi="Times New Roman"/>
        </w:rPr>
        <w:t xml:space="preserve">determined </w:t>
      </w:r>
      <w:r w:rsidRPr="00AA7D2B">
        <w:rPr>
          <w:rFonts w:ascii="Times New Roman" w:eastAsia="Times New Roman" w:hAnsi="Times New Roman"/>
        </w:rPr>
        <w:t>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w:t>
      </w:r>
      <w:r>
        <w:rPr>
          <w:rFonts w:ascii="Times New Roman" w:eastAsia="Times New Roman" w:hAnsi="Times New Roman"/>
        </w:rPr>
        <w:t xml:space="preserve"> </w:t>
      </w:r>
      <w:r w:rsidRPr="00AA7D2B">
        <w:rPr>
          <w:rFonts w:ascii="Times New Roman" w:eastAsia="Times New Roman" w:hAnsi="Times New Roman"/>
        </w:rPr>
        <w:t>holder age, a guaranteed maximum withdrawal amount equal to the partial withdrawal amount below which partial</w:t>
      </w:r>
      <w:r>
        <w:rPr>
          <w:rFonts w:ascii="Times New Roman" w:eastAsia="Times New Roman" w:hAnsi="Times New Roman"/>
        </w:rPr>
        <w:t xml:space="preserve"> </w:t>
      </w:r>
      <w:r w:rsidRPr="001B3FBF">
        <w:rPr>
          <w:rFonts w:ascii="Times New Roman" w:eastAsia="Times New Roman" w:hAnsi="Times New Roman"/>
        </w:rPr>
        <w:t xml:space="preserve">withdrawals </w:t>
      </w:r>
      <w:r w:rsidRPr="00AA7D2B">
        <w:rPr>
          <w:rFonts w:ascii="Times New Roman" w:eastAsia="Times New Roman" w:hAnsi="Times New Roman"/>
        </w:rPr>
        <w:t xml:space="preserve">reduce the benefit by the same dollar amount as the partial withdrawal amount and above which partial withdrawals reduce the benefit by the same proportion that the withdrawal reduces the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alue.</w:t>
      </w:r>
    </w:p>
    <w:p w14:paraId="22F13B46"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1B7BA2E8" w14:textId="416DF5A9" w:rsidR="003129FE" w:rsidRPr="007740D9" w:rsidRDefault="003129FE" w:rsidP="004E4618">
      <w:pPr>
        <w:spacing w:after="220" w:line="240" w:lineRule="auto"/>
        <w:ind w:left="2160"/>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Section 6.D</w:t>
      </w:r>
      <w:r w:rsidRPr="001F22EB">
        <w:rPr>
          <w:rFonts w:ascii="Times New Roman" w:eastAsia="Times New Roman" w:hAnsi="Times New Roman"/>
        </w:rPr>
        <w:t>,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p>
    <w:p w14:paraId="712553C7" w14:textId="77777777" w:rsidR="003129FE" w:rsidRPr="001F22EB" w:rsidRDefault="003129FE" w:rsidP="004E4618">
      <w:pPr>
        <w:spacing w:after="220" w:line="240" w:lineRule="auto"/>
        <w:ind w:left="2160"/>
        <w:rPr>
          <w:rFonts w:ascii="Times New Roman" w:eastAsia="Times New Roman" w:hAnsi="Times New Roman"/>
        </w:rPr>
      </w:pPr>
      <w:r w:rsidRPr="001F22EB">
        <w:rPr>
          <w:rFonts w:ascii="Times New Roman" w:eastAsia="Times New Roman" w:hAnsi="Times New Roman"/>
        </w:rPr>
        <w:lastRenderedPageBreak/>
        <w:t>Depending on the guaranteed benefit type, other partial withdrawals shall be projected as follows but shall not exceed the free partial withdrawal amount above which surrender charges are incurred:</w:t>
      </w:r>
    </w:p>
    <w:p w14:paraId="400BEDA8" w14:textId="77777777" w:rsidR="003129FE" w:rsidRPr="001F22E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a. </w:t>
      </w:r>
      <w:r w:rsidRPr="001F22EB">
        <w:rPr>
          <w:rFonts w:ascii="Times New Roman" w:eastAsia="Times New Roman" w:hAnsi="Times New Roman"/>
        </w:rPr>
        <w:t>For contracts that do not have VAGLBs but that have GMDBs that offer guaranteed growth (i.e., benefit growth that does not depend on the performance of the Account Value) in the benefit basis, the partial withdrawal amount each year shall equal 2.0% of the Account Value.</w:t>
      </w:r>
    </w:p>
    <w:p w14:paraId="24A92352"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b. </w:t>
      </w:r>
      <w:r w:rsidRPr="001F22EB">
        <w:rPr>
          <w:rFonts w:ascii="Times New Roman" w:eastAsia="Times New Roman" w:hAnsi="Times New Roman"/>
        </w:rPr>
        <w:t>For contracts that do not have VAGLBs but that have GMDBs that do not offer guaranteed growth in the benefit basis, the partial withdrawal amount each year shall equal 3.5% of the Account Value.</w:t>
      </w:r>
    </w:p>
    <w:p w14:paraId="07BCB9BD" w14:textId="77777777" w:rsidR="003129FE" w:rsidRPr="001F22E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c. </w:t>
      </w:r>
      <w:r w:rsidRPr="001F22EB">
        <w:rPr>
          <w:rFonts w:ascii="Times New Roman" w:eastAsia="Times New Roman" w:hAnsi="Times New Roman"/>
        </w:rPr>
        <w:t>For contracts with (</w:t>
      </w:r>
      <w:r>
        <w:rPr>
          <w:rFonts w:ascii="Times New Roman" w:eastAsia="Times New Roman" w:hAnsi="Times New Roman"/>
        </w:rPr>
        <w:t>1</w:t>
      </w:r>
      <w:r w:rsidRPr="001F22EB">
        <w:rPr>
          <w:rFonts w:ascii="Times New Roman" w:eastAsia="Times New Roman" w:hAnsi="Times New Roman"/>
        </w:rPr>
        <w:t>) traditional GMIBs that do not offer guaranteed growth in the benefit basis or (</w:t>
      </w:r>
      <w:r>
        <w:rPr>
          <w:rFonts w:ascii="Times New Roman" w:eastAsia="Times New Roman" w:hAnsi="Times New Roman"/>
        </w:rPr>
        <w:t>2</w:t>
      </w:r>
      <w:r w:rsidRPr="001F22EB">
        <w:rPr>
          <w:rFonts w:ascii="Times New Roman" w:eastAsia="Times New Roman" w:hAnsi="Times New Roman"/>
        </w:rPr>
        <w:t>) GMABs, the partial withdrawal amount each year shall equal to 2.0% of the Account Value.</w:t>
      </w:r>
    </w:p>
    <w:p w14:paraId="6E2E3CEF" w14:textId="77777777" w:rsidR="003129FE" w:rsidRPr="001F22E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d. </w:t>
      </w:r>
      <w:r w:rsidRPr="001F22EB">
        <w:rPr>
          <w:rFonts w:ascii="Times New Roman" w:eastAsia="Times New Roman" w:hAnsi="Times New Roman"/>
        </w:rPr>
        <w:t>For contracts with traditional GMIBs that offer guaranteed growth in the benefit basis, the partial withdrawal amount each year shall equal 1.5% of the Account Value.</w:t>
      </w:r>
    </w:p>
    <w:p w14:paraId="7EE47C48" w14:textId="77777777" w:rsidR="003129FE" w:rsidRPr="001F22E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e. </w:t>
      </w:r>
      <w:r w:rsidRPr="001F22EB">
        <w:rPr>
          <w:rFonts w:ascii="Times New Roman" w:eastAsia="Times New Roman" w:hAnsi="Times New Roman"/>
        </w:rPr>
        <w:t>For contracts with GMWBs and Account Values of zero, the partial withdrawal amount shall be the guaranteed maximum annual withdrawal amount.</w:t>
      </w:r>
    </w:p>
    <w:p w14:paraId="1E80BFE2" w14:textId="3476D5EA" w:rsidR="003129FE" w:rsidRPr="001F22EB"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f. </w:t>
      </w:r>
      <w:r w:rsidRPr="001F22EB">
        <w:rPr>
          <w:rFonts w:ascii="Times New Roman" w:eastAsia="Times New Roman" w:hAnsi="Times New Roman"/>
        </w:rPr>
        <w:t xml:space="preserve">For contracts with Lifetime GMWBs or hybrid GMIBs that, in the </w:t>
      </w:r>
      <w:r w:rsidR="004D31AE">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p>
    <w:p w14:paraId="4C4DFFF7"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g. </w:t>
      </w:r>
      <w:r w:rsidRPr="001F22EB">
        <w:rPr>
          <w:rFonts w:ascii="Times New Roman" w:eastAsia="Times New Roman" w:hAnsi="Times New Roman"/>
        </w:rPr>
        <w:t xml:space="preserve">For other contracts with Lifetime GMWBs or hybrid GMIBs,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p>
    <w:p w14:paraId="67618FC7" w14:textId="0EA19B8E"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h. </w:t>
      </w:r>
      <w:r w:rsidRPr="001F22EB">
        <w:rPr>
          <w:rFonts w:ascii="Times New Roman" w:eastAsia="Times New Roman" w:hAnsi="Times New Roman"/>
        </w:rPr>
        <w:t>For</w:t>
      </w:r>
      <w:r>
        <w:rPr>
          <w:rFonts w:ascii="Times New Roman" w:eastAsia="Times New Roman" w:hAnsi="Times New Roman"/>
        </w:rPr>
        <w:t xml:space="preserve"> </w:t>
      </w:r>
      <w:r w:rsidRPr="001F22EB">
        <w:rPr>
          <w:rFonts w:ascii="Times New Roman" w:eastAsia="Times New Roman" w:hAnsi="Times New Roman"/>
        </w:rPr>
        <w:t xml:space="preserve">contracts with Non-lifetime GMWBs that, in the </w:t>
      </w:r>
      <w:r w:rsidR="004D31AE">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p>
    <w:p w14:paraId="24D5B876"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i.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xml:space="preserve"> During the initial withdrawal period and thereafter, the partial withdrawal amount shall be 70% of the guaranteed annual withdrawal amount each year until the contract Account Value reaches zero.</w:t>
      </w:r>
    </w:p>
    <w:p w14:paraId="7560679C" w14:textId="69BE0CA4" w:rsidR="003129FE" w:rsidRDefault="003129FE" w:rsidP="004E4618">
      <w:pPr>
        <w:spacing w:after="0" w:line="240" w:lineRule="auto"/>
        <w:ind w:left="2160"/>
        <w:rPr>
          <w:rFonts w:ascii="Times New Roman" w:eastAsia="Times New Roman" w:hAnsi="Times New Roman"/>
        </w:rPr>
      </w:pPr>
      <w:r>
        <w:rPr>
          <w:rFonts w:ascii="Times New Roman" w:eastAsia="Times New Roman" w:hAnsi="Times New Roman"/>
          <w:bCs/>
          <w:color w:val="000000"/>
        </w:rPr>
        <w:t>j</w:t>
      </w:r>
      <w:r w:rsidRPr="00C764FE">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r w:rsidR="004D31AE">
        <w:rPr>
          <w:rFonts w:ascii="Times New Roman" w:eastAsia="Times New Roman" w:hAnsi="Times New Roman"/>
          <w:bCs/>
          <w:color w:val="000000"/>
        </w:rPr>
        <w:t>contract</w:t>
      </w:r>
      <w:r w:rsidRPr="00C764FE">
        <w:rPr>
          <w:rFonts w:ascii="Times New Roman" w:eastAsia="Times New Roman" w:hAnsi="Times New Roman"/>
          <w:bCs/>
          <w:color w:val="000000"/>
        </w:rPr>
        <w:t xml:space="preserve"> year immediately preceding the </w:t>
      </w:r>
      <w:r w:rsidRPr="00C764FE">
        <w:rPr>
          <w:rFonts w:ascii="Times New Roman" w:eastAsia="Times New Roman" w:hAnsi="Times New Roman"/>
          <w:bCs/>
          <w:color w:val="000000"/>
        </w:rPr>
        <w:lastRenderedPageBreak/>
        <w:t xml:space="preserve">valuation date (Section 6.C.4.f and </w:t>
      </w:r>
      <w:r w:rsidRPr="00622FE6">
        <w:rPr>
          <w:rFonts w:ascii="Times New Roman" w:eastAsia="Times New Roman" w:hAnsi="Times New Roman"/>
          <w:bCs/>
          <w:color w:val="000000"/>
        </w:rPr>
        <w:t>Section 6.C.4.</w:t>
      </w:r>
      <w:r w:rsidRPr="00C764FE">
        <w:rPr>
          <w:rFonts w:ascii="Times New Roman" w:eastAsia="Times New Roman" w:hAnsi="Times New Roman"/>
          <w:bCs/>
          <w:color w:val="000000"/>
        </w:rPr>
        <w:t>h)</w:t>
      </w:r>
      <w:r w:rsidRPr="00C764FE">
        <w:rPr>
          <w:rFonts w:ascii="Times New Roman" w:eastAsia="Times New Roman" w:hAnsi="Times New Roman"/>
          <w:bCs/>
          <w:color w:val="1F497D"/>
        </w:rPr>
        <w:t>.  </w:t>
      </w:r>
      <w:r w:rsidRPr="00622FE6">
        <w:rPr>
          <w:rFonts w:ascii="Times New Roman" w:eastAsia="Times New Roman" w:hAnsi="Times New Roman"/>
          <w:bCs/>
          <w:color w:val="1F497D"/>
        </w:rPr>
        <w:t>The company may employ an appropriate proxy method if it does not result in a material understatement of the reserve</w:t>
      </w:r>
      <w:r w:rsidRPr="00C764FE">
        <w:rPr>
          <w:rFonts w:ascii="Times New Roman" w:eastAsia="Times New Roman" w:hAnsi="Times New Roman"/>
          <w:bCs/>
          <w:color w:val="1F497D"/>
        </w:rPr>
        <w:t xml:space="preserve">.   </w:t>
      </w:r>
    </w:p>
    <w:p w14:paraId="0E73CBCD" w14:textId="77777777" w:rsidR="003129FE" w:rsidRPr="00C96468" w:rsidRDefault="003129FE" w:rsidP="004E4618">
      <w:pPr>
        <w:spacing w:after="0" w:line="240" w:lineRule="auto"/>
        <w:ind w:left="2160"/>
        <w:rPr>
          <w:rFonts w:ascii="Times New Roman" w:eastAsia="Times New Roman" w:hAnsi="Times New Roman"/>
          <w:bCs/>
          <w:color w:val="000000"/>
        </w:rPr>
      </w:pPr>
      <w:r w:rsidRPr="00C96468">
        <w:rPr>
          <w:rFonts w:ascii="Times New Roman" w:eastAsia="Times New Roman" w:hAnsi="Times New Roman"/>
          <w:bCs/>
          <w:color w:val="000000"/>
        </w:rPr>
        <w:t>k. For simple 403(b) VA contracts, the partial withdrawal amount each year shall equal the following percentages, based on the contract holder’s attained age:</w:t>
      </w:r>
    </w:p>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14:paraId="47F304C2" w14:textId="77777777" w:rsidTr="00063E8C">
        <w:tc>
          <w:tcPr>
            <w:tcW w:w="2065" w:type="dxa"/>
          </w:tcPr>
          <w:p w14:paraId="39FCC82A" w14:textId="77777777" w:rsidR="00063E8C" w:rsidRPr="00063E8C" w:rsidRDefault="00063E8C" w:rsidP="00063E8C">
            <w:pPr>
              <w:rPr>
                <w:rFonts w:ascii="Times New Roman" w:hAnsi="Times New Roman"/>
                <w:sz w:val="22"/>
              </w:rPr>
            </w:pPr>
            <w:r w:rsidRPr="00C96468">
              <w:rPr>
                <w:rFonts w:ascii="Times New Roman" w:hAnsi="Times New Roman"/>
              </w:rPr>
              <w:t>Attained Age</w:t>
            </w:r>
          </w:p>
        </w:tc>
        <w:tc>
          <w:tcPr>
            <w:tcW w:w="2727" w:type="dxa"/>
          </w:tcPr>
          <w:p w14:paraId="24540FE8" w14:textId="3395E678" w:rsidR="00063E8C" w:rsidRPr="00063E8C" w:rsidRDefault="00063E8C" w:rsidP="00063E8C">
            <w:pPr>
              <w:jc w:val="right"/>
              <w:rPr>
                <w:rFonts w:ascii="Times New Roman" w:hAnsi="Times New Roman"/>
                <w:sz w:val="22"/>
              </w:rPr>
            </w:pPr>
            <w:r w:rsidRPr="00C96468">
              <w:rPr>
                <w:rFonts w:ascii="Times New Roman" w:eastAsia="Times New Roman" w:hAnsi="Times New Roman"/>
                <w:sz w:val="22"/>
                <w:szCs w:val="22"/>
              </w:rPr>
              <w:t>Percent of account value</w:t>
            </w:r>
          </w:p>
        </w:tc>
      </w:tr>
      <w:tr w:rsidR="00063E8C" w:rsidRPr="00C96468" w14:paraId="75272D64" w14:textId="77777777" w:rsidTr="00063E8C">
        <w:tc>
          <w:tcPr>
            <w:tcW w:w="2065" w:type="dxa"/>
          </w:tcPr>
          <w:p w14:paraId="2E8636E9" w14:textId="18B763CF" w:rsidR="00063E8C" w:rsidRPr="00063E8C" w:rsidRDefault="00063E8C" w:rsidP="00063E8C">
            <w:pPr>
              <w:rPr>
                <w:rFonts w:ascii="Times New Roman" w:hAnsi="Times New Roman"/>
                <w:sz w:val="22"/>
              </w:rPr>
            </w:pPr>
            <w:r w:rsidRPr="00C96468">
              <w:rPr>
                <w:rFonts w:ascii="Times New Roman" w:eastAsia="Times New Roman" w:hAnsi="Times New Roman"/>
                <w:sz w:val="22"/>
                <w:szCs w:val="22"/>
              </w:rPr>
              <w:t>59 and under</w:t>
            </w:r>
          </w:p>
        </w:tc>
        <w:tc>
          <w:tcPr>
            <w:tcW w:w="2727" w:type="dxa"/>
          </w:tcPr>
          <w:p w14:paraId="6DF54363" w14:textId="77777777" w:rsidR="00063E8C" w:rsidRPr="00063E8C" w:rsidRDefault="00063E8C" w:rsidP="00063E8C">
            <w:pPr>
              <w:jc w:val="right"/>
              <w:rPr>
                <w:rFonts w:ascii="Times New Roman" w:hAnsi="Times New Roman"/>
                <w:sz w:val="22"/>
              </w:rPr>
            </w:pPr>
            <w:r w:rsidRPr="00C96468">
              <w:rPr>
                <w:rFonts w:ascii="Times New Roman" w:eastAsia="Times New Roman" w:hAnsi="Times New Roman"/>
                <w:sz w:val="22"/>
                <w:szCs w:val="22"/>
              </w:rPr>
              <w:t>0.</w:t>
            </w:r>
            <w:r w:rsidRPr="00C96468">
              <w:rPr>
                <w:rFonts w:ascii="Times New Roman" w:hAnsi="Times New Roman"/>
              </w:rPr>
              <w:t>5%</w:t>
            </w:r>
          </w:p>
        </w:tc>
      </w:tr>
      <w:tr w:rsidR="00063E8C" w:rsidRPr="00C96468" w14:paraId="7C82D47E" w14:textId="77777777" w:rsidTr="00063E8C">
        <w:tc>
          <w:tcPr>
            <w:tcW w:w="2065" w:type="dxa"/>
          </w:tcPr>
          <w:p w14:paraId="7F456D48" w14:textId="246BA37B" w:rsidR="00063E8C" w:rsidRPr="00063E8C" w:rsidRDefault="00063E8C" w:rsidP="00063E8C">
            <w:pPr>
              <w:rPr>
                <w:rFonts w:ascii="Times New Roman" w:hAnsi="Times New Roman"/>
                <w:sz w:val="22"/>
              </w:rPr>
            </w:pPr>
            <w:r w:rsidRPr="00C96468">
              <w:rPr>
                <w:rFonts w:ascii="Times New Roman" w:eastAsia="Times New Roman" w:hAnsi="Times New Roman"/>
                <w:sz w:val="22"/>
                <w:szCs w:val="22"/>
              </w:rPr>
              <w:t>60 – 69</w:t>
            </w:r>
          </w:p>
        </w:tc>
        <w:tc>
          <w:tcPr>
            <w:tcW w:w="2727" w:type="dxa"/>
          </w:tcPr>
          <w:p w14:paraId="257E6203" w14:textId="77777777" w:rsidR="00063E8C" w:rsidRPr="00063E8C" w:rsidRDefault="00063E8C" w:rsidP="00063E8C">
            <w:pPr>
              <w:jc w:val="right"/>
              <w:rPr>
                <w:rFonts w:ascii="Times New Roman" w:hAnsi="Times New Roman"/>
                <w:sz w:val="22"/>
              </w:rPr>
            </w:pPr>
            <w:r w:rsidRPr="00C96468">
              <w:rPr>
                <w:rFonts w:ascii="Times New Roman" w:eastAsia="Times New Roman" w:hAnsi="Times New Roman"/>
                <w:sz w:val="22"/>
                <w:szCs w:val="22"/>
              </w:rPr>
              <w:t>2.</w:t>
            </w:r>
            <w:r w:rsidRPr="00C96468">
              <w:rPr>
                <w:rFonts w:ascii="Times New Roman" w:hAnsi="Times New Roman"/>
              </w:rPr>
              <w:t>0%</w:t>
            </w:r>
          </w:p>
        </w:tc>
      </w:tr>
      <w:tr w:rsidR="00063E8C" w:rsidRPr="00C96468" w14:paraId="068925CC" w14:textId="77777777" w:rsidTr="00063E8C">
        <w:tc>
          <w:tcPr>
            <w:tcW w:w="2065" w:type="dxa"/>
          </w:tcPr>
          <w:p w14:paraId="3F406827" w14:textId="45925A2A" w:rsidR="00063E8C" w:rsidRPr="00063E8C" w:rsidRDefault="00063E8C" w:rsidP="00063E8C">
            <w:pPr>
              <w:rPr>
                <w:rFonts w:ascii="Times New Roman" w:hAnsi="Times New Roman"/>
                <w:sz w:val="22"/>
              </w:rPr>
            </w:pPr>
            <w:r w:rsidRPr="00C96468">
              <w:rPr>
                <w:rFonts w:ascii="Times New Roman" w:eastAsia="Times New Roman" w:hAnsi="Times New Roman"/>
                <w:sz w:val="22"/>
                <w:szCs w:val="22"/>
              </w:rPr>
              <w:t>70 – 74</w:t>
            </w:r>
          </w:p>
        </w:tc>
        <w:tc>
          <w:tcPr>
            <w:tcW w:w="2727" w:type="dxa"/>
          </w:tcPr>
          <w:p w14:paraId="24E88027" w14:textId="77777777" w:rsidR="00063E8C" w:rsidRPr="00063E8C" w:rsidRDefault="00063E8C" w:rsidP="00063E8C">
            <w:pPr>
              <w:jc w:val="right"/>
              <w:rPr>
                <w:rFonts w:ascii="Times New Roman" w:hAnsi="Times New Roman"/>
                <w:sz w:val="22"/>
              </w:rPr>
            </w:pPr>
            <w:r w:rsidRPr="00C96468">
              <w:rPr>
                <w:rFonts w:ascii="Times New Roman" w:hAnsi="Times New Roman"/>
              </w:rPr>
              <w:t>3</w:t>
            </w:r>
            <w:r w:rsidRPr="00C96468">
              <w:rPr>
                <w:rFonts w:ascii="Times New Roman" w:eastAsia="Times New Roman" w:hAnsi="Times New Roman"/>
                <w:sz w:val="22"/>
                <w:szCs w:val="22"/>
              </w:rPr>
              <w:t>.0</w:t>
            </w:r>
            <w:r w:rsidRPr="00C96468">
              <w:rPr>
                <w:rFonts w:ascii="Times New Roman" w:hAnsi="Times New Roman"/>
              </w:rPr>
              <w:t>%</w:t>
            </w:r>
          </w:p>
        </w:tc>
      </w:tr>
      <w:tr w:rsidR="003129FE" w14:paraId="271C5ED1" w14:textId="77777777" w:rsidTr="004E4618">
        <w:tc>
          <w:tcPr>
            <w:tcW w:w="2065" w:type="dxa"/>
          </w:tcPr>
          <w:p w14:paraId="508473B2" w14:textId="77777777" w:rsidR="003129FE" w:rsidRPr="00C96468" w:rsidRDefault="003129FE" w:rsidP="004E4618">
            <w:pPr>
              <w:rPr>
                <w:rFonts w:ascii="Times New Roman" w:eastAsia="Times New Roman" w:hAnsi="Times New Roman"/>
                <w:sz w:val="22"/>
                <w:szCs w:val="22"/>
              </w:rPr>
            </w:pPr>
            <w:r w:rsidRPr="00C96468">
              <w:rPr>
                <w:rFonts w:ascii="Times New Roman" w:eastAsia="Times New Roman" w:hAnsi="Times New Roman"/>
                <w:sz w:val="22"/>
                <w:szCs w:val="22"/>
              </w:rPr>
              <w:t>75 and over</w:t>
            </w:r>
          </w:p>
        </w:tc>
        <w:tc>
          <w:tcPr>
            <w:tcW w:w="2727" w:type="dxa"/>
          </w:tcPr>
          <w:p w14:paraId="04576077" w14:textId="77777777" w:rsidR="003129FE" w:rsidRPr="00762129" w:rsidRDefault="003129FE" w:rsidP="004E4618">
            <w:pPr>
              <w:jc w:val="right"/>
              <w:rPr>
                <w:rFonts w:ascii="Times New Roman" w:eastAsia="Times New Roman" w:hAnsi="Times New Roman"/>
                <w:sz w:val="22"/>
                <w:szCs w:val="22"/>
              </w:rPr>
            </w:pPr>
            <w:r w:rsidRPr="00C96468">
              <w:rPr>
                <w:rFonts w:ascii="Times New Roman" w:eastAsia="Times New Roman" w:hAnsi="Times New Roman"/>
                <w:sz w:val="22"/>
                <w:szCs w:val="22"/>
              </w:rPr>
              <w:t>4.0%</w:t>
            </w:r>
          </w:p>
        </w:tc>
      </w:tr>
    </w:tbl>
    <w:p w14:paraId="066E4A80" w14:textId="77777777" w:rsidR="003129FE" w:rsidRPr="00063E8C" w:rsidRDefault="003129FE" w:rsidP="00063E8C">
      <w:pPr>
        <w:spacing w:after="220" w:line="240" w:lineRule="auto"/>
        <w:rPr>
          <w:rFonts w:ascii="Times New Roman" w:hAnsi="Times New Roman"/>
        </w:rPr>
      </w:pPr>
    </w:p>
    <w:p w14:paraId="502CCA6B"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Withdrawal Delay Cohort Method</w:t>
      </w:r>
    </w:p>
    <w:p w14:paraId="615E545E" w14:textId="5B5E9940" w:rsidR="003129FE" w:rsidRDefault="003129FE" w:rsidP="004E4618">
      <w:pPr>
        <w:spacing w:after="220" w:line="240" w:lineRule="auto"/>
        <w:ind w:left="2160"/>
        <w:rPr>
          <w:rFonts w:ascii="Times New Roman" w:eastAsia="Times New Roman" w:hAnsi="Times New Roman"/>
        </w:rPr>
      </w:pPr>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6.C.4.g.</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r w:rsidRPr="001B3FBF">
        <w:rPr>
          <w:rFonts w:ascii="Times New Roman" w:eastAsia="Times New Roman" w:hAnsi="Times New Roman"/>
        </w:rPr>
        <w:t xml:space="preserve">applicable </w:t>
      </w:r>
      <w:r w:rsidRPr="001F22EB">
        <w:rPr>
          <w:rFonts w:ascii="Times New Roman" w:eastAsia="Times New Roman" w:hAnsi="Times New Roman"/>
        </w:rPr>
        <w:t xml:space="preserve">characteristics shall be allocated across the cohorts based on different weights that are determined using the </w:t>
      </w:r>
      <w:r>
        <w:rPr>
          <w:rFonts w:ascii="Times New Roman" w:eastAsia="Times New Roman" w:hAnsi="Times New Roman"/>
        </w:rPr>
        <w:t>method</w:t>
      </w:r>
      <w:r w:rsidRPr="001F22EB">
        <w:rPr>
          <w:rFonts w:ascii="Times New Roman" w:eastAsia="Times New Roman" w:hAnsi="Times New Roman"/>
        </w:rPr>
        <w:t xml:space="preserve"> discussed below in this section.</w:t>
      </w:r>
    </w:p>
    <w:p w14:paraId="7AD790C2" w14:textId="77777777" w:rsidR="003129FE" w:rsidRPr="001F22EB" w:rsidRDefault="003129FE" w:rsidP="004E4618">
      <w:pPr>
        <w:spacing w:after="220" w:line="240" w:lineRule="auto"/>
        <w:ind w:left="2160"/>
        <w:rPr>
          <w:rFonts w:ascii="Times New Roman" w:eastAsia="Times New Roman" w:hAnsi="Times New Roman"/>
        </w:rPr>
      </w:pPr>
      <w:r w:rsidRPr="001F22EB">
        <w:rPr>
          <w:rFonts w:ascii="Times New Roman" w:eastAsia="Times New Roman" w:hAnsi="Times New Roman"/>
        </w:rPr>
        <w:t xml:space="preserve">For example, assume that the </w:t>
      </w:r>
      <w:r>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p>
    <w:p w14:paraId="3AD950EC" w14:textId="1A99D54D" w:rsidR="003129FE" w:rsidRDefault="003129FE" w:rsidP="004E4618">
      <w:pPr>
        <w:spacing w:after="220" w:line="240" w:lineRule="auto"/>
        <w:ind w:left="2160"/>
        <w:rPr>
          <w:rFonts w:ascii="Times New Roman" w:eastAsia="Times New Roman" w:hAnsi="Times New Roman"/>
        </w:rPr>
      </w:pPr>
      <w:r w:rsidRPr="001F22E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r w:rsidR="00DD29B3" w:rsidRPr="001F22EB">
        <w:rPr>
          <w:rFonts w:ascii="Times New Roman" w:eastAsia="Times New Roman" w:hAnsi="Times New Roman"/>
        </w:rPr>
        <w:t>in force</w:t>
      </w:r>
      <w:r w:rsidRPr="001F22EB">
        <w:rPr>
          <w:rFonts w:ascii="Times New Roman" w:eastAsia="Times New Roman" w:hAnsi="Times New Roman"/>
        </w:rPr>
        <w:t>.</w:t>
      </w:r>
    </w:p>
    <w:p w14:paraId="3E023DAF" w14:textId="77777777" w:rsidR="003129FE" w:rsidRPr="009732C4"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a.</w:t>
      </w:r>
      <w:r w:rsidRPr="009732C4">
        <w:rPr>
          <w:rFonts w:ascii="Times New Roman" w:eastAsia="Times New Roman" w:hAnsi="Times New Roman"/>
        </w:rPr>
        <w:t xml:space="preserve"> Calculate the GMWB GAPV or the Withdrawal GAPV (for hybrid GMIBs) for each potential age of initiating withdrawals (“initial withdrawal age”) until </w:t>
      </w:r>
      <w:r>
        <w:rPr>
          <w:rFonts w:ascii="Times New Roman" w:eastAsia="Times New Roman" w:hAnsi="Times New Roman"/>
        </w:rPr>
        <w:t xml:space="preserve">the end of the projection period or </w:t>
      </w:r>
      <w:r w:rsidRPr="009732C4">
        <w:rPr>
          <w:rFonts w:ascii="Times New Roman" w:eastAsia="Times New Roman" w:hAnsi="Times New Roman"/>
        </w:rPr>
        <w:t xml:space="preserve">the </w:t>
      </w:r>
      <w:r>
        <w:rPr>
          <w:rFonts w:ascii="Times New Roman" w:eastAsia="Times New Roman" w:hAnsi="Times New Roman"/>
        </w:rPr>
        <w:t>contract holder</w:t>
      </w:r>
      <w:r w:rsidRPr="009732C4">
        <w:rPr>
          <w:rFonts w:ascii="Times New Roman" w:eastAsia="Times New Roman" w:hAnsi="Times New Roman"/>
        </w:rPr>
        <w:t xml:space="preserve"> reaches age 120</w:t>
      </w:r>
      <w:r>
        <w:rPr>
          <w:rFonts w:ascii="Times New Roman" w:eastAsia="Times New Roman" w:hAnsi="Times New Roman"/>
        </w:rPr>
        <w:t xml:space="preserve"> if sooner</w:t>
      </w:r>
      <w:r w:rsidRPr="009732C4">
        <w:rPr>
          <w:rFonts w:ascii="Times New Roman" w:eastAsia="Times New Roman" w:hAnsi="Times New Roman"/>
        </w:rPr>
        <w:t>. In each of these GAPV calculations:</w:t>
      </w:r>
    </w:p>
    <w:p w14:paraId="77053524" w14:textId="77777777" w:rsidR="003129FE" w:rsidRPr="009732C4" w:rsidRDefault="003129FE" w:rsidP="004E4618">
      <w:pPr>
        <w:spacing w:after="220" w:line="240" w:lineRule="auto"/>
        <w:ind w:left="2880"/>
        <w:rPr>
          <w:rFonts w:ascii="Times New Roman" w:eastAsia="Times New Roman" w:hAnsi="Times New Roman"/>
        </w:rPr>
      </w:pPr>
      <w:r>
        <w:rPr>
          <w:rFonts w:ascii="Times New Roman" w:eastAsia="Times New Roman" w:hAnsi="Times New Roman"/>
        </w:rPr>
        <w:t>i.</w:t>
      </w:r>
      <w:r w:rsidRPr="009732C4">
        <w:rPr>
          <w:rFonts w:ascii="Times New Roman" w:eastAsia="Times New Roman" w:hAnsi="Times New Roman"/>
        </w:rPr>
        <w:t xml:space="preserve"> The calculation shall ignore the instructions of </w:t>
      </w:r>
      <w:r>
        <w:rPr>
          <w:rFonts w:ascii="Times New Roman" w:eastAsia="Times New Roman" w:hAnsi="Times New Roman"/>
        </w:rPr>
        <w:t>Section 6.C.3.d</w:t>
      </w:r>
      <w:r w:rsidRPr="009732C4">
        <w:rPr>
          <w:rFonts w:ascii="Times New Roman" w:eastAsia="Times New Roman" w:hAnsi="Times New Roman"/>
        </w:rPr>
        <w:t xml:space="preserve"> and instead assume that the </w:t>
      </w:r>
      <w:r>
        <w:rPr>
          <w:rFonts w:ascii="Times New Roman" w:eastAsia="Times New Roman" w:hAnsi="Times New Roman"/>
        </w:rPr>
        <w:t>contract holder</w:t>
      </w:r>
      <w:r w:rsidRPr="009732C4">
        <w:rPr>
          <w:rFonts w:ascii="Times New Roman" w:eastAsia="Times New Roman" w:hAnsi="Times New Roman"/>
        </w:rPr>
        <w:t xml:space="preserve"> takes no partial withdrawals until the initial withdrawal age;</w:t>
      </w:r>
    </w:p>
    <w:p w14:paraId="1DD4ACBA" w14:textId="77777777" w:rsidR="003129FE" w:rsidRPr="009732C4" w:rsidRDefault="003129FE" w:rsidP="004E4618">
      <w:pPr>
        <w:spacing w:after="220" w:line="240" w:lineRule="auto"/>
        <w:ind w:left="2880"/>
        <w:rPr>
          <w:rFonts w:ascii="Times New Roman" w:eastAsia="Times New Roman" w:hAnsi="Times New Roman"/>
        </w:rPr>
      </w:pPr>
      <w:r>
        <w:rPr>
          <w:rFonts w:ascii="Times New Roman" w:eastAsia="Times New Roman" w:hAnsi="Times New Roman"/>
        </w:rPr>
        <w:t xml:space="preserve">ii. </w:t>
      </w:r>
      <w:r w:rsidRPr="009732C4">
        <w:rPr>
          <w:rFonts w:ascii="Times New Roman" w:eastAsia="Times New Roman" w:hAnsi="Times New Roman"/>
        </w:rPr>
        <w:t xml:space="preserve">The calculation shall ignore the instructions of </w:t>
      </w:r>
      <w:r>
        <w:rPr>
          <w:rFonts w:ascii="Times New Roman" w:eastAsia="Times New Roman" w:hAnsi="Times New Roman"/>
        </w:rPr>
        <w:t xml:space="preserve">Section 6.C.3.i </w:t>
      </w:r>
      <w:r w:rsidRPr="009732C4">
        <w:rPr>
          <w:rFonts w:ascii="Times New Roman" w:eastAsia="Times New Roman" w:hAnsi="Times New Roman"/>
        </w:rPr>
        <w:t>and instead use a discount rate assuming a 10-year U.S. Treasury bond rate of 3.0%;</w:t>
      </w:r>
    </w:p>
    <w:p w14:paraId="02F31EC9" w14:textId="6E78F720" w:rsidR="003129FE" w:rsidRPr="001B3FBF" w:rsidRDefault="003129FE" w:rsidP="004E4618">
      <w:pPr>
        <w:spacing w:after="220" w:line="240" w:lineRule="auto"/>
        <w:ind w:left="2880"/>
        <w:rPr>
          <w:rFonts w:ascii="Times New Roman" w:eastAsia="Times New Roman" w:hAnsi="Times New Roman"/>
        </w:rPr>
      </w:pPr>
      <w:r>
        <w:rPr>
          <w:rFonts w:ascii="Times New Roman" w:eastAsia="Times New Roman" w:hAnsi="Times New Roman"/>
        </w:rPr>
        <w:t>iii.</w:t>
      </w:r>
      <w:r w:rsidRPr="009732C4">
        <w:rPr>
          <w:rFonts w:ascii="Times New Roman" w:eastAsia="Times New Roman" w:hAnsi="Times New Roman"/>
        </w:rPr>
        <w:t xml:space="preserve"> The GAPV </w:t>
      </w:r>
      <w:r>
        <w:rPr>
          <w:rFonts w:ascii="Times New Roman" w:eastAsia="Times New Roman" w:hAnsi="Times New Roman"/>
        </w:rPr>
        <w:t xml:space="preserve">for each initial withdrawal age </w:t>
      </w:r>
      <w:r w:rsidRPr="009732C4">
        <w:rPr>
          <w:rFonts w:ascii="Times New Roman" w:eastAsia="Times New Roman" w:hAnsi="Times New Roman"/>
        </w:rPr>
        <w:t xml:space="preserve">shall be expressed in present value terms </w:t>
      </w:r>
      <w:r>
        <w:rPr>
          <w:rFonts w:ascii="Times New Roman" w:eastAsia="Times New Roman" w:hAnsi="Times New Roman"/>
        </w:rPr>
        <w:t xml:space="preserve">taking into account survival from issue to the initial withdrawal age, as well as time value of money during that period.  </w:t>
      </w:r>
      <w:r w:rsidRPr="009732C4">
        <w:rPr>
          <w:rFonts w:ascii="Times New Roman" w:eastAsia="Times New Roman" w:hAnsi="Times New Roman"/>
        </w:rPr>
        <w:t>For instance, if the issue age is 55, then the GAPV for an initial withdrawal age of 60 shall take into account</w:t>
      </w:r>
      <w:r>
        <w:rPr>
          <w:rFonts w:ascii="Times New Roman" w:eastAsia="Times New Roman" w:hAnsi="Times New Roman"/>
        </w:rPr>
        <w:t xml:space="preserve"> </w:t>
      </w:r>
      <w:r w:rsidRPr="001B3FBF">
        <w:rPr>
          <w:rFonts w:ascii="Times New Roman" w:eastAsia="Times New Roman" w:hAnsi="Times New Roman"/>
        </w:rPr>
        <w:t>survival of the annuitant or owner</w:t>
      </w:r>
      <w:r>
        <w:rPr>
          <w:rFonts w:ascii="Times New Roman" w:eastAsia="Times New Roman" w:hAnsi="Times New Roman"/>
        </w:rPr>
        <w:t xml:space="preserve"> to age 60 </w:t>
      </w:r>
      <w:r w:rsidRPr="001B3FBF">
        <w:rPr>
          <w:rFonts w:ascii="Times New Roman" w:eastAsia="Times New Roman" w:hAnsi="Times New Roman"/>
        </w:rPr>
        <w:t xml:space="preserve">using the mortality table specified in Section </w:t>
      </w:r>
      <w:r>
        <w:rPr>
          <w:rFonts w:ascii="Times New Roman" w:eastAsia="Times New Roman" w:hAnsi="Times New Roman"/>
        </w:rPr>
        <w:t xml:space="preserve">6.C.3.h </w:t>
      </w:r>
      <w:r w:rsidRPr="00A55F20">
        <w:rPr>
          <w:rFonts w:ascii="Times New Roman" w:eastAsia="Times New Roman" w:hAnsi="Times New Roman"/>
        </w:rPr>
        <w:t>as well as the time value of money from age 55 to age 60.</w:t>
      </w:r>
      <w:r w:rsidRPr="001B3FBF">
        <w:rPr>
          <w:rFonts w:ascii="Times New Roman" w:eastAsia="Times New Roman" w:hAnsi="Times New Roman"/>
        </w:rPr>
        <w:t xml:space="preserve"> </w:t>
      </w:r>
    </w:p>
    <w:p w14:paraId="742BC86A" w14:textId="40D47313" w:rsidR="003129FE" w:rsidRPr="001B3FBF" w:rsidRDefault="003129FE" w:rsidP="004E4618">
      <w:pPr>
        <w:spacing w:after="220" w:line="240" w:lineRule="auto"/>
        <w:ind w:left="2160"/>
        <w:rPr>
          <w:rFonts w:ascii="Times New Roman" w:eastAsia="Times New Roman" w:hAnsi="Times New Roman"/>
        </w:rPr>
      </w:pPr>
    </w:p>
    <w:p w14:paraId="4EB48F48" w14:textId="77777777" w:rsidR="003129FE" w:rsidRPr="00A55F20"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b. </w:t>
      </w:r>
      <w:r w:rsidRPr="00A55F20">
        <w:rPr>
          <w:rFonts w:ascii="Times New Roman" w:eastAsia="Times New Roman" w:hAnsi="Times New Roman"/>
        </w:rPr>
        <w:t>Raise each of the GAPV to the second power and multiply all of the resultant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initial withdrawal ages below 60 by 50%.</w:t>
      </w:r>
    </w:p>
    <w:p w14:paraId="7FE991E6" w14:textId="77777777" w:rsidR="003129FE" w:rsidRPr="00A55F20"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c. </w:t>
      </w:r>
      <w:r w:rsidRPr="00A55F20">
        <w:rPr>
          <w:rFonts w:ascii="Times New Roman" w:eastAsia="Times New Roman" w:hAnsi="Times New Roman"/>
        </w:rPr>
        <w:t xml:space="preserve">For tax-qualified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0.95.</w:t>
      </w:r>
    </w:p>
    <w:p w14:paraId="3E8F0F1A" w14:textId="77777777" w:rsidR="003129FE" w:rsidRPr="00A55F20"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d. </w:t>
      </w:r>
      <w:r w:rsidRPr="00A55F20">
        <w:rPr>
          <w:rFonts w:ascii="Times New Roman" w:eastAsia="Times New Roman" w:hAnsi="Times New Roman"/>
        </w:rPr>
        <w:t xml:space="preserve">For non-qualified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0.80.</w:t>
      </w:r>
    </w:p>
    <w:p w14:paraId="11433DAD" w14:textId="77777777" w:rsidR="003129FE" w:rsidRPr="00A55F20"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e. </w:t>
      </w:r>
      <w:r w:rsidRPr="00A55F20">
        <w:rPr>
          <w:rFonts w:ascii="Times New Roman" w:eastAsia="Times New Roman" w:hAnsi="Times New Roman"/>
        </w:rPr>
        <w:t xml:space="preserve">For tax-qualified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0.85.</w:t>
      </w:r>
    </w:p>
    <w:p w14:paraId="5BA1D888"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f. </w:t>
      </w:r>
      <w:r w:rsidRPr="00A55F20">
        <w:rPr>
          <w:rFonts w:ascii="Times New Roman" w:eastAsia="Times New Roman" w:hAnsi="Times New Roman"/>
        </w:rPr>
        <w:t xml:space="preserve">For non-qualified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0.60.</w:t>
      </w:r>
    </w:p>
    <w:p w14:paraId="6AFCCC92"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g. </w:t>
      </w:r>
      <w:r w:rsidRPr="00A55F20">
        <w:rPr>
          <w:rFonts w:ascii="Times New Roman" w:eastAsia="Times New Roman" w:hAnsi="Times New Roman"/>
        </w:rPr>
        <w:t>For contracts that offer guaranteed growth in the benefit basis or one-time bonuses to the benefit basis, add the following to the adjusted and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p>
    <w:p w14:paraId="7F40DDD8" w14:textId="77777777" w:rsidR="003129FE" w:rsidRDefault="003129FE" w:rsidP="00CC2E32">
      <w:pPr>
        <w:spacing w:after="220" w:line="240" w:lineRule="auto"/>
        <w:ind w:left="2160"/>
        <w:rPr>
          <w:rFonts w:ascii="Times New Roman" w:eastAsia="Times New Roman" w:hAnsi="Times New Roman"/>
        </w:rPr>
      </w:pPr>
      <m:oMathPara>
        <m:oMath>
          <m:r>
            <w:rPr>
              <w:rFonts w:ascii="Cambria Math" w:eastAsia="Times New Roman" w:hAnsi="Cambria Math"/>
              <w:sz w:val="18"/>
              <w:szCs w:val="18"/>
            </w:rPr>
            <m:t>0.35 ×</m:t>
          </m:r>
          <m:d>
            <m:dPr>
              <m:begChr m:val="{"/>
              <m:endChr m:val=""/>
              <m:ctrlPr>
                <w:rPr>
                  <w:rFonts w:ascii="Cambria Math" w:eastAsia="Times New Roman" w:hAnsi="Cambria Math"/>
                  <w:i/>
                  <w:sz w:val="18"/>
                  <w:szCs w:val="18"/>
                </w:rPr>
              </m:ctrlPr>
            </m:dPr>
            <m:e>
              <m:m>
                <m:mPr>
                  <m:mcs>
                    <m:mc>
                      <m:mcPr>
                        <m:count m:val="1"/>
                        <m:mcJc m:val="center"/>
                      </m:mcPr>
                    </m:mc>
                  </m:mcs>
                  <m:ctrlPr>
                    <w:rPr>
                      <w:rFonts w:ascii="Cambria Math" w:eastAsia="Times New Roman" w:hAnsi="Cambria Math"/>
                      <w:i/>
                      <w:sz w:val="18"/>
                      <w:szCs w:val="18"/>
                    </w:rPr>
                  </m:ctrlPr>
                </m:mP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0.95-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GMWB</m:t>
                          </m:r>
                        </m:e>
                      </m:mr>
                      <m:mr>
                        <m:e>
                          <m:r>
                            <m:rPr>
                              <m:sty m:val="p"/>
                            </m:rPr>
                            <w:rPr>
                              <w:rFonts w:ascii="Cambria Math" w:hAnsi="Cambria Math"/>
                              <w:color w:val="0000FF"/>
                              <w:sz w:val="18"/>
                              <w:szCs w:val="18"/>
                            </w:rPr>
                            <m:t>0.80-</m:t>
                          </m:r>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sSubSup>
                            <m:sSubSupPr>
                              <m:ctrlPr>
                                <w:rPr>
                                  <w:rFonts w:ascii="Cambria Math" w:hAnsi="Cambria Math"/>
                                  <w:color w:val="0000FF"/>
                                  <w:sz w:val="18"/>
                                  <w:szCs w:val="18"/>
                                </w:rPr>
                              </m:ctrlPr>
                            </m:sSubSupPr>
                            <m:e/>
                            <m:sub/>
                            <m:sup/>
                          </m:sSubSup>
                          <m:r>
                            <m:rPr>
                              <m:sty m:val="p"/>
                            </m:rPr>
                            <w:rPr>
                              <w:rFonts w:ascii="Cambria Math" w:hAnsi="Cambria Math"/>
                              <w:color w:val="0000FF"/>
                              <w:sz w:val="18"/>
                              <w:szCs w:val="18"/>
                            </w:rPr>
                            <m:t>, if contract is a non-qualified GMWB</m:t>
                          </m:r>
                        </m:e>
                      </m:mr>
                    </m:m>
                  </m:e>
                </m:m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0.85-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hybrid GMIB</m:t>
                          </m:r>
                        </m:e>
                      </m:mr>
                      <m:mr>
                        <m:e>
                          <m:r>
                            <m:rPr>
                              <m:sty m:val="p"/>
                            </m:rPr>
                            <w:rPr>
                              <w:rFonts w:ascii="Cambria Math" w:hAnsi="Cambria Math"/>
                              <w:color w:val="0000FF"/>
                              <w:sz w:val="18"/>
                              <w:szCs w:val="18"/>
                            </w:rPr>
                            <m:t>0.60-</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non-qualified hybrid GMIB</m:t>
                          </m:r>
                        </m:e>
                      </m:mr>
                    </m:m>
                  </m:e>
                </m:mr>
              </m:m>
            </m:e>
          </m:d>
        </m:oMath>
      </m:oMathPara>
    </w:p>
    <w:p w14:paraId="768B9B61" w14:textId="77777777" w:rsidR="003129FE" w:rsidRPr="001527FF"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h. </w:t>
      </w:r>
      <w:r w:rsidRPr="001527FF">
        <w:rPr>
          <w:rFonts w:ascii="Times New Roman" w:eastAsia="Times New Roman" w:hAnsi="Times New Roman"/>
        </w:rPr>
        <w:t>Scale the adjusted and scaled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the initial withdrawal age that occurs immediately after the termination of the guaranteed growth or the one-time bonus with the greatest GAPV,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0.80 for non-qualified GMWB </w:t>
      </w:r>
      <w:r>
        <w:rPr>
          <w:rFonts w:ascii="Times New Roman" w:eastAsia="Times New Roman" w:hAnsi="Times New Roman"/>
        </w:rPr>
        <w:t>contracts</w:t>
      </w:r>
      <w:r w:rsidRPr="001527FF">
        <w:rPr>
          <w:rFonts w:ascii="Times New Roman" w:eastAsia="Times New Roman" w:hAnsi="Times New Roman"/>
        </w:rPr>
        <w:t xml:space="preserve">, 0.85 for tax-qualified hybrid GMIB </w:t>
      </w:r>
      <w:r>
        <w:rPr>
          <w:rFonts w:ascii="Times New Roman" w:eastAsia="Times New Roman" w:hAnsi="Times New Roman"/>
        </w:rPr>
        <w:t>contracts</w:t>
      </w:r>
      <w:r w:rsidRPr="001527FF">
        <w:rPr>
          <w:rFonts w:ascii="Times New Roman" w:eastAsia="Times New Roman" w:hAnsi="Times New Roman"/>
        </w:rPr>
        <w:t xml:space="preserve">, and 0.60 for non-qualified hybrid GMIB </w:t>
      </w:r>
      <w:r>
        <w:rPr>
          <w:rFonts w:ascii="Times New Roman" w:eastAsia="Times New Roman" w:hAnsi="Times New Roman"/>
        </w:rPr>
        <w:t>contracts</w:t>
      </w:r>
      <w:r w:rsidRPr="001527FF">
        <w:rPr>
          <w:rFonts w:ascii="Times New Roman" w:eastAsia="Times New Roman" w:hAnsi="Times New Roman"/>
        </w:rPr>
        <w:t>.</w:t>
      </w:r>
    </w:p>
    <w:p w14:paraId="64D4D870" w14:textId="314F85BB"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i. </w:t>
      </w:r>
      <w:r w:rsidRPr="001527FF">
        <w:rPr>
          <w:rFonts w:ascii="Times New Roman" w:eastAsia="Times New Roman" w:hAnsi="Times New Roman"/>
        </w:rPr>
        <w:t xml:space="preserve">For tax-qualified </w:t>
      </w:r>
      <w:r>
        <w:rPr>
          <w:rFonts w:ascii="Times New Roman" w:eastAsia="Times New Roman" w:hAnsi="Times New Roman"/>
        </w:rPr>
        <w:t>contracts</w:t>
      </w:r>
      <w:r w:rsidRPr="001527FF">
        <w:rPr>
          <w:rFonts w:ascii="Times New Roman" w:eastAsia="Times New Roman" w:hAnsi="Times New Roman"/>
        </w:rPr>
        <w:t xml:space="preserve">, add </w:t>
      </w:r>
      <w:r>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 of 71.</w:t>
      </w:r>
    </w:p>
    <w:p w14:paraId="548038CC" w14:textId="77777777" w:rsidR="003129FE" w:rsidRDefault="003129FE" w:rsidP="00CC2E32">
      <w:pPr>
        <w:spacing w:after="220" w:line="240" w:lineRule="auto"/>
        <w:ind w:left="2160"/>
        <w:rPr>
          <w:rFonts w:ascii="Times New Roman" w:eastAsia="Times New Roman" w:hAnsi="Times New Roman"/>
          <w:sz w:val="18"/>
          <w:szCs w:val="18"/>
        </w:rPr>
      </w:pPr>
      <m:oMathPara>
        <m:oMath>
          <m:r>
            <w:rPr>
              <w:rFonts w:ascii="Cambria Math" w:eastAsia="Times New Roman" w:hAnsi="Cambria Math"/>
              <w:sz w:val="18"/>
              <w:szCs w:val="18"/>
            </w:rPr>
            <w:lastRenderedPageBreak/>
            <m:t>0.50 ×</m:t>
          </m:r>
          <m:d>
            <m:dPr>
              <m:begChr m:val="{"/>
              <m:endChr m:val=""/>
              <m:ctrlPr>
                <w:rPr>
                  <w:rFonts w:ascii="Cambria Math" w:eastAsia="Times New Roman" w:hAnsi="Cambria Math"/>
                  <w:i/>
                  <w:sz w:val="18"/>
                  <w:szCs w:val="18"/>
                </w:rPr>
              </m:ctrlPr>
            </m:dPr>
            <m:e>
              <m:m>
                <m:mPr>
                  <m:mcs>
                    <m:mc>
                      <m:mcPr>
                        <m:count m:val="1"/>
                        <m:mcJc m:val="center"/>
                      </m:mcPr>
                    </m:mc>
                  </m:mcs>
                  <m:ctrlPr>
                    <w:rPr>
                      <w:rFonts w:ascii="Cambria Math" w:eastAsia="Times New Roman" w:hAnsi="Cambria Math"/>
                      <w:i/>
                      <w:sz w:val="18"/>
                      <w:szCs w:val="18"/>
                    </w:rPr>
                  </m:ctrlPr>
                </m:mP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0.95-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GMWB</m:t>
                          </m:r>
                        </m:e>
                      </m:mr>
                      <m:mr>
                        <m:e/>
                      </m:mr>
                    </m:m>
                  </m:e>
                </m:m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0.85-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hybrid GMIB</m:t>
                          </m:r>
                        </m:e>
                      </m:mr>
                      <m:mr>
                        <m:e/>
                      </m:mr>
                    </m:m>
                  </m:e>
                </m:mr>
              </m:m>
            </m:e>
          </m:d>
        </m:oMath>
      </m:oMathPara>
    </w:p>
    <w:p w14:paraId="560FCA77" w14:textId="77777777" w:rsidR="003129FE" w:rsidRPr="001527FF"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j. </w:t>
      </w:r>
      <w:r w:rsidRPr="001527FF">
        <w:rPr>
          <w:rFonts w:ascii="Times New Roman" w:eastAsia="Times New Roman" w:hAnsi="Times New Roman"/>
        </w:rPr>
        <w:t>Scale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71,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and 0.85 for tax-qualified hybrid GMIB </w:t>
      </w:r>
      <w:r>
        <w:rPr>
          <w:rFonts w:ascii="Times New Roman" w:eastAsia="Times New Roman" w:hAnsi="Times New Roman"/>
        </w:rPr>
        <w:t>contracts</w:t>
      </w:r>
      <w:r w:rsidRPr="001527FF">
        <w:rPr>
          <w:rFonts w:ascii="Times New Roman" w:eastAsia="Times New Roman" w:hAnsi="Times New Roman"/>
        </w:rPr>
        <w:t xml:space="preserve"> again.</w:t>
      </w:r>
    </w:p>
    <w:p w14:paraId="36D727B3"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Pr>
          <w:rFonts w:ascii="Times New Roman" w:eastAsia="Times New Roman" w:hAnsi="Times New Roman"/>
        </w:rPr>
        <w:t xml:space="preserve">k. For ease of calculation, the company may discard certain withdrawal ages and use others as representative.  </w:t>
      </w:r>
      <w:r w:rsidRPr="001527FF">
        <w:rPr>
          <w:rFonts w:ascii="Times New Roman" w:eastAsia="Times New Roman" w:hAnsi="Times New Roman"/>
        </w:rPr>
        <w:t xml:space="preserve">For </w:t>
      </w:r>
      <w:r>
        <w:rPr>
          <w:rFonts w:ascii="Times New Roman" w:eastAsia="Times New Roman" w:hAnsi="Times New Roman"/>
        </w:rPr>
        <w:t xml:space="preserve">example, for </w:t>
      </w:r>
      <w:r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p>
    <w:p w14:paraId="771ACA27" w14:textId="31AD7239" w:rsidR="003129FE" w:rsidRPr="001527FF"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Guidance Note: </w:t>
      </w:r>
      <w:r w:rsidRPr="00E64ADF">
        <w:rPr>
          <w:rFonts w:ascii="Times New Roman" w:eastAsia="Times New Roman" w:hAnsi="Times New Roman"/>
        </w:rPr>
        <w:t xml:space="preserve">The instructions in Section 6.C.5 are meant to improve computational tractability for companies that have large </w:t>
      </w:r>
      <w:r w:rsidR="00DD29B3" w:rsidRPr="00E64ADF">
        <w:rPr>
          <w:rFonts w:ascii="Times New Roman" w:eastAsia="Times New Roman" w:hAnsi="Times New Roman"/>
        </w:rPr>
        <w:t>in force</w:t>
      </w:r>
      <w:r w:rsidRPr="00E64ADF">
        <w:rPr>
          <w:rFonts w:ascii="Times New Roman" w:eastAsia="Times New Roman" w:hAnsi="Times New Roman"/>
        </w:rPr>
        <w:t xml:space="preserve"> portfolios; accordingly, companies may also elect not to discard any initial withdrawal ages in constructing the withdrawal cohorts. Additionally, if </w:t>
      </w:r>
      <w:proofErr w:type="gramStart"/>
      <w:r w:rsidRPr="00E64ADF">
        <w:rPr>
          <w:rFonts w:ascii="Times New Roman" w:eastAsia="Times New Roman" w:hAnsi="Times New Roman"/>
        </w:rPr>
        <w:t>necessary</w:t>
      </w:r>
      <w:proofErr w:type="gramEnd"/>
      <w:r w:rsidRPr="00E64ADF">
        <w:rPr>
          <w:rFonts w:ascii="Times New Roman" w:eastAsia="Times New Roman" w:hAnsi="Times New Roman"/>
        </w:rPr>
        <w:t xml:space="preserve"> to avoid unmanageable computational intensity, companies may discard more initial withdrawal ages in constructing withdrawal cohorts, or assign only a small number of withdrawal cohorts to each contract via random sampling.</w:t>
      </w:r>
    </w:p>
    <w:p w14:paraId="59CA28FC" w14:textId="77777777" w:rsidR="003129FE" w:rsidRPr="001527FF"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l. </w:t>
      </w:r>
      <w:r w:rsidRPr="001527FF">
        <w:rPr>
          <w:rFonts w:ascii="Times New Roman" w:eastAsia="Times New Roman" w:hAnsi="Times New Roman"/>
        </w:rPr>
        <w:t xml:space="preserve">The weight assigned to each of the cohorts constructed in </w:t>
      </w:r>
      <w:r>
        <w:rPr>
          <w:rFonts w:ascii="Times New Roman" w:eastAsia="Times New Roman" w:hAnsi="Times New Roman"/>
        </w:rPr>
        <w:t>Section 6.C.5</w:t>
      </w:r>
      <w:r w:rsidRPr="001527FF">
        <w:rPr>
          <w:rFonts w:ascii="Times New Roman" w:eastAsia="Times New Roman" w:hAnsi="Times New Roman"/>
        </w:rPr>
        <w:t xml:space="preserve"> shall equal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corresponding initial withdrawal </w:t>
      </w:r>
      <w:proofErr w:type="spellStart"/>
      <w:r w:rsidRPr="001527FF">
        <w:rPr>
          <w:rFonts w:ascii="Times New Roman" w:eastAsia="Times New Roman" w:hAnsi="Times New Roman"/>
        </w:rPr>
        <w:t>age less</w:t>
      </w:r>
      <w:proofErr w:type="spellEnd"/>
      <w:r w:rsidRPr="001527FF">
        <w:rPr>
          <w:rFonts w:ascii="Times New Roman" w:eastAsia="Times New Roman" w:hAnsi="Times New Roman"/>
        </w:rPr>
        <w:t xml:space="preserv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initial withdrawal age in the preceding cohort</w:t>
      </w:r>
      <w:r>
        <w:rPr>
          <w:rFonts w:ascii="Times New Roman" w:eastAsia="Times New Roman" w:hAnsi="Times New Roman"/>
        </w:rPr>
        <w:t xml:space="preserve"> </w:t>
      </w:r>
      <w:r w:rsidRPr="00E64ADF">
        <w:rPr>
          <w:rFonts w:ascii="Times New Roman" w:eastAsia="Times New Roman" w:hAnsi="Times New Roman"/>
        </w:rPr>
        <w:t>(i.e., two years smaller for the ex</w:t>
      </w:r>
      <w:r>
        <w:rPr>
          <w:rFonts w:ascii="Times New Roman" w:eastAsia="Times New Roman" w:hAnsi="Times New Roman"/>
        </w:rPr>
        <w:t>ample given in Section 6.C.5.k)</w:t>
      </w:r>
      <w:r w:rsidRPr="001527FF">
        <w:rPr>
          <w:rFonts w:ascii="Times New Roman" w:eastAsia="Times New Roman" w:hAnsi="Times New Roman"/>
        </w:rPr>
        <w:t>.</w:t>
      </w:r>
    </w:p>
    <w:p w14:paraId="3B933E43" w14:textId="1231A3DB"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m. </w:t>
      </w:r>
      <w:r w:rsidRPr="001527FF">
        <w:rPr>
          <w:rFonts w:ascii="Times New Roman" w:eastAsia="Times New Roman" w:hAnsi="Times New Roman"/>
        </w:rPr>
        <w:t xml:space="preserve">Construct a final cohort that is modeled not to take a partial withdrawal in the contract lifetime. This final cohort (“never withdraw cohort”) shall be assigned a weight of 0.05 for tax-qualified </w:t>
      </w:r>
      <w:r w:rsidR="00AC0341">
        <w:rPr>
          <w:rFonts w:ascii="Times New Roman" w:eastAsia="Times New Roman" w:hAnsi="Times New Roman"/>
        </w:rPr>
        <w:t xml:space="preserve">GMWB </w:t>
      </w:r>
      <w:r>
        <w:rPr>
          <w:rFonts w:ascii="Times New Roman" w:eastAsia="Times New Roman" w:hAnsi="Times New Roman"/>
        </w:rPr>
        <w:t>contracts</w:t>
      </w:r>
      <w:r w:rsidRPr="001527FF">
        <w:rPr>
          <w:rFonts w:ascii="Times New Roman" w:eastAsia="Times New Roman" w:hAnsi="Times New Roman"/>
        </w:rPr>
        <w:t xml:space="preserve"> and 0.20 for non-qualified </w:t>
      </w:r>
      <w:r w:rsidR="00AC0341">
        <w:rPr>
          <w:rFonts w:ascii="Times New Roman" w:eastAsia="Times New Roman" w:hAnsi="Times New Roman"/>
        </w:rPr>
        <w:t>GMWB</w:t>
      </w:r>
      <w:r w:rsidR="00B85738">
        <w:rPr>
          <w:rFonts w:ascii="Times New Roman" w:eastAsia="Times New Roman" w:hAnsi="Times New Roman"/>
        </w:rPr>
        <w:t xml:space="preserve"> </w:t>
      </w:r>
      <w:r>
        <w:rPr>
          <w:rFonts w:ascii="Times New Roman" w:eastAsia="Times New Roman" w:hAnsi="Times New Roman"/>
        </w:rPr>
        <w:t>contracts</w:t>
      </w:r>
      <w:r w:rsidRPr="0085569B">
        <w:rPr>
          <w:rFonts w:ascii="Times New Roman" w:eastAsia="Times New Roman" w:hAnsi="Times New Roman"/>
          <w:color w:val="000000"/>
        </w:rPr>
        <w:t xml:space="preserve">, </w:t>
      </w:r>
      <w:r w:rsidR="00AC0341">
        <w:rPr>
          <w:rFonts w:ascii="Times New Roman" w:eastAsia="Times New Roman" w:hAnsi="Times New Roman"/>
          <w:color w:val="000000"/>
        </w:rPr>
        <w:t>0</w:t>
      </w:r>
      <w:r w:rsidRPr="0085569B">
        <w:rPr>
          <w:rFonts w:ascii="Times New Roman" w:eastAsia="Times New Roman" w:hAnsi="Times New Roman"/>
          <w:color w:val="000000"/>
        </w:rPr>
        <w:t xml:space="preserve">.15 for tax-qualified hybrid GMIB </w:t>
      </w:r>
      <w:r>
        <w:rPr>
          <w:rFonts w:ascii="Times New Roman" w:eastAsia="Times New Roman" w:hAnsi="Times New Roman"/>
        </w:rPr>
        <w:t>contracts</w:t>
      </w:r>
      <w:r w:rsidRPr="0085569B">
        <w:rPr>
          <w:rFonts w:ascii="Times New Roman" w:eastAsia="Times New Roman" w:hAnsi="Times New Roman"/>
          <w:color w:val="000000"/>
        </w:rPr>
        <w:t xml:space="preserve">, and </w:t>
      </w:r>
      <w:r w:rsidR="00AC0341">
        <w:rPr>
          <w:rFonts w:ascii="Times New Roman" w:eastAsia="Times New Roman" w:hAnsi="Times New Roman"/>
          <w:color w:val="000000"/>
        </w:rPr>
        <w:t>0</w:t>
      </w:r>
      <w:r w:rsidRPr="0085569B">
        <w:rPr>
          <w:rFonts w:ascii="Times New Roman" w:eastAsia="Times New Roman" w:hAnsi="Times New Roman"/>
          <w:color w:val="000000"/>
        </w:rPr>
        <w:t xml:space="preserve">.40 for non-qualified hybrid GMIB </w:t>
      </w:r>
      <w:r>
        <w:rPr>
          <w:rFonts w:ascii="Times New Roman" w:eastAsia="Times New Roman" w:hAnsi="Times New Roman"/>
        </w:rPr>
        <w:t>contracts</w:t>
      </w:r>
      <w:r w:rsidRPr="001527FF">
        <w:rPr>
          <w:rFonts w:ascii="Times New Roman" w:eastAsia="Times New Roman" w:hAnsi="Times New Roman"/>
        </w:rPr>
        <w:t>.</w:t>
      </w:r>
    </w:p>
    <w:p w14:paraId="1AC86DB4" w14:textId="53328E93" w:rsidR="003129FE" w:rsidRPr="001527FF"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n. </w:t>
      </w:r>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Section 6.C.5.a</w:t>
      </w:r>
      <w:r w:rsidRPr="001527FF">
        <w:rPr>
          <w:rFonts w:ascii="Times New Roman" w:eastAsia="Times New Roman" w:hAnsi="Times New Roman"/>
        </w:rPr>
        <w:t xml:space="preserve"> through </w:t>
      </w:r>
      <w:r>
        <w:rPr>
          <w:rFonts w:ascii="Times New Roman" w:eastAsia="Times New Roman" w:hAnsi="Times New Roman"/>
        </w:rPr>
        <w:t>Section 6.C.5.k</w:t>
      </w:r>
      <w:r w:rsidRPr="001527FF">
        <w:rPr>
          <w:rFonts w:ascii="Times New Roman" w:eastAsia="Times New Roman" w:hAnsi="Times New Roman"/>
        </w:rPr>
        <w:t xml:space="preserve"> are for a contract with attained age equal to its issue age. Because the discount rate used in this determination is fixed, these calculations only need to be performed once for a given set of contracts with a certain issue age, guaranteed benefit product, and tax status.</w:t>
      </w:r>
    </w:p>
    <w:p w14:paraId="1625524F" w14:textId="55948E2B"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o. </w:t>
      </w:r>
      <w:r w:rsidRPr="001527FF">
        <w:rPr>
          <w:rFonts w:ascii="Times New Roman" w:eastAsia="Times New Roman" w:hAnsi="Times New Roman"/>
        </w:rPr>
        <w:t xml:space="preserve">For a contract with a </w:t>
      </w:r>
      <w:r>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p>
    <w:p w14:paraId="04F30A99" w14:textId="77777777" w:rsidR="003129FE" w:rsidRDefault="003129FE" w:rsidP="00CC2E32">
      <w:pPr>
        <w:spacing w:after="220" w:line="240" w:lineRule="auto"/>
        <w:ind w:left="2160"/>
        <w:rPr>
          <w:rFonts w:ascii="Times New Roman" w:eastAsia="Times New Roman" w:hAnsi="Times New Roman"/>
        </w:rPr>
      </w:pPr>
    </w:p>
    <w:p w14:paraId="7AEA5231"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lastRenderedPageBreak/>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p>
    <w:p w14:paraId="0A600E00" w14:textId="77777777" w:rsidR="003129FE" w:rsidRPr="00AA7511" w:rsidRDefault="003129FE" w:rsidP="004E4618">
      <w:pPr>
        <w:spacing w:after="220" w:line="240" w:lineRule="auto"/>
        <w:ind w:left="2160"/>
        <w:rPr>
          <w:rFonts w:ascii="Times New Roman" w:eastAsia="Times New Roman" w:hAnsi="Times New Roman"/>
        </w:rPr>
      </w:pPr>
      <w:r w:rsidRPr="00AA7511">
        <w:rPr>
          <w:rFonts w:ascii="Times New Roman" w:eastAsia="Times New Roman" w:hAnsi="Times New Roman"/>
        </w:rPr>
        <w:t>The full surrender rate for all contracts shall be calculated based on the Standard Table for Full Surrenders as detailed below in Table I</w:t>
      </w:r>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p>
    <w:p w14:paraId="2205D491" w14:textId="77777777" w:rsidR="003129FE" w:rsidRPr="00AA7511" w:rsidRDefault="003129FE" w:rsidP="004E4618">
      <w:pPr>
        <w:spacing w:after="220" w:line="240" w:lineRule="auto"/>
        <w:ind w:left="2160"/>
        <w:rPr>
          <w:rFonts w:ascii="Times New Roman" w:eastAsia="Times New Roman" w:hAnsi="Times New Roman"/>
        </w:rPr>
      </w:pPr>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p>
    <w:p w14:paraId="54B88BDA"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p>
    <w:p w14:paraId="46DA077B" w14:textId="77777777" w:rsidR="003129FE" w:rsidRPr="00AA7511"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p>
    <w:p w14:paraId="355DD8FE" w14:textId="77777777" w:rsidR="003129FE" w:rsidRPr="00AA7511"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p>
    <w:p w14:paraId="6C5A63E9" w14:textId="77777777" w:rsidR="003129FE" w:rsidRDefault="003129FE" w:rsidP="004E4618">
      <w:pPr>
        <w:spacing w:after="0" w:line="240" w:lineRule="auto"/>
        <w:ind w:left="2160"/>
        <w:rPr>
          <w:rFonts w:ascii="Times New Roman" w:eastAsia="Times New Roman" w:hAnsi="Times New Roman"/>
        </w:rPr>
      </w:pPr>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p>
    <w:p w14:paraId="62B7C11A" w14:textId="77777777" w:rsidR="003129FE" w:rsidRDefault="003129FE" w:rsidP="004E4618">
      <w:pPr>
        <w:spacing w:after="220" w:line="240" w:lineRule="auto"/>
        <w:ind w:left="2880"/>
        <w:rPr>
          <w:rFonts w:ascii="Times New Roman" w:eastAsia="Times New Roman" w:hAnsi="Times New Roman"/>
        </w:rPr>
      </w:pPr>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p>
    <w:p w14:paraId="3E77EC2B" w14:textId="77777777" w:rsidR="003129FE" w:rsidRDefault="003129FE" w:rsidP="004E4618">
      <w:pPr>
        <w:spacing w:after="220" w:line="240" w:lineRule="auto"/>
        <w:ind w:left="2880"/>
        <w:jc w:val="both"/>
        <w:rPr>
          <w:rFonts w:ascii="Times New Roman" w:eastAsia="Times New Roman" w:hAnsi="Times New Roman"/>
        </w:rPr>
      </w:pPr>
      <w:r w:rsidRPr="00AA7511">
        <w:rPr>
          <w:rFonts w:ascii="Times New Roman" w:eastAsia="Times New Roman" w:hAnsi="Times New Roman"/>
        </w:rPr>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p>
    <w:p w14:paraId="19AC12C7" w14:textId="77777777" w:rsidR="003129FE" w:rsidRPr="009F358C" w:rsidRDefault="003129FE" w:rsidP="00CC2E32">
      <w:pPr>
        <w:keepNext/>
        <w:spacing w:after="220" w:line="240" w:lineRule="auto"/>
        <w:ind w:left="3780"/>
        <w:rPr>
          <w:rFonts w:ascii="Times New Roman" w:eastAsia="Times New Roman" w:hAnsi="Times New Roman"/>
          <w:position w:val="-1"/>
        </w:rPr>
      </w:pPr>
      <w:r w:rsidRPr="009F358C">
        <w:rPr>
          <w:rFonts w:ascii="Times New Roman" w:eastAsia="Times New Roman" w:hAnsi="Times New Roman"/>
          <w:position w:val="-1"/>
        </w:rPr>
        <w:lastRenderedPageBreak/>
        <w:t xml:space="preserve">Table I – </w:t>
      </w:r>
      <w:r w:rsidRPr="00AA7511">
        <w:rPr>
          <w:rFonts w:ascii="Times New Roman" w:eastAsia="Times New Roman" w:hAnsi="Times New Roman"/>
          <w:position w:val="-1"/>
        </w:rPr>
        <w:t>Standard Table for Full Surrender</w:t>
      </w:r>
    </w:p>
    <w:tbl>
      <w:tblPr>
        <w:tblW w:w="8652" w:type="dxa"/>
        <w:tblInd w:w="732" w:type="dxa"/>
        <w:tblLayout w:type="fixed"/>
        <w:tblCellMar>
          <w:left w:w="0" w:type="dxa"/>
          <w:right w:w="0" w:type="dxa"/>
        </w:tblCellMar>
        <w:tblLook w:val="01E0" w:firstRow="1" w:lastRow="1" w:firstColumn="1" w:lastColumn="1" w:noHBand="0" w:noVBand="0"/>
      </w:tblPr>
      <w:tblGrid>
        <w:gridCol w:w="893"/>
        <w:gridCol w:w="1170"/>
        <w:gridCol w:w="2430"/>
        <w:gridCol w:w="2340"/>
        <w:gridCol w:w="1819"/>
      </w:tblGrid>
      <w:tr w:rsidR="003129FE" w:rsidRPr="007433DB" w14:paraId="339EFC1F" w14:textId="77777777" w:rsidTr="004E4618">
        <w:trPr>
          <w:trHeight w:hRule="exact" w:val="468"/>
        </w:trPr>
        <w:tc>
          <w:tcPr>
            <w:tcW w:w="893" w:type="dxa"/>
            <w:tcBorders>
              <w:top w:val="single" w:sz="4" w:space="0" w:color="000000"/>
              <w:left w:val="single" w:sz="4" w:space="0" w:color="000000"/>
              <w:bottom w:val="single" w:sz="4" w:space="0" w:color="000000"/>
              <w:right w:val="single" w:sz="4" w:space="0" w:color="000000"/>
            </w:tcBorders>
            <w:vAlign w:val="center"/>
          </w:tcPr>
          <w:p w14:paraId="79591802" w14:textId="77777777" w:rsidR="003129FE" w:rsidRPr="007433DB" w:rsidRDefault="003129FE" w:rsidP="004E4618">
            <w:pPr>
              <w:keepNext/>
              <w:spacing w:after="0" w:line="240" w:lineRule="auto"/>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A2DF85" w14:textId="0057351F" w:rsidR="003129FE" w:rsidRPr="00D453E9" w:rsidRDefault="003129FE" w:rsidP="004E4618">
            <w:pPr>
              <w:keepNext/>
              <w:spacing w:after="0" w:line="240" w:lineRule="auto"/>
              <w:rPr>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F65E8C0" w14:textId="3320105B" w:rsidR="003129FE" w:rsidRPr="00D453E9" w:rsidRDefault="003129FE" w:rsidP="004E4618">
            <w:pPr>
              <w:keepNext/>
              <w:spacing w:after="0" w:line="240" w:lineRule="auto"/>
              <w:rPr>
                <w:rFonts w:ascii="Times New Roman" w:eastAsia="Times New Roman" w:hAnsi="Times New Roman"/>
                <w:sz w:val="20"/>
                <w:szCs w:val="20"/>
              </w:rPr>
            </w:pPr>
          </w:p>
        </w:tc>
      </w:tr>
      <w:tr w:rsidR="003129FE" w:rsidRPr="007433DB" w14:paraId="360FF55C" w14:textId="77777777" w:rsidTr="004E4618">
        <w:trPr>
          <w:trHeight w:hRule="exact" w:val="372"/>
        </w:trPr>
        <w:tc>
          <w:tcPr>
            <w:tcW w:w="893" w:type="dxa"/>
            <w:tcBorders>
              <w:top w:val="single" w:sz="4" w:space="0" w:color="000000"/>
              <w:left w:val="single" w:sz="4" w:space="0" w:color="000000"/>
              <w:bottom w:val="single" w:sz="4" w:space="0" w:color="000000"/>
              <w:right w:val="single" w:sz="4" w:space="0" w:color="000000"/>
            </w:tcBorders>
            <w:vAlign w:val="center"/>
          </w:tcPr>
          <w:p w14:paraId="753AFA2A" w14:textId="7020391D" w:rsidR="003129FE" w:rsidRPr="00203E74"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9C1358" w14:textId="1F3C075F" w:rsidR="003129FE" w:rsidRPr="00D453E9" w:rsidRDefault="003129FE" w:rsidP="004E4618">
            <w:pPr>
              <w:keepNext/>
              <w:spacing w:after="0" w:line="240" w:lineRule="auto"/>
              <w:rPr>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89EFAFF" w14:textId="5CF38879" w:rsidR="003129FE" w:rsidRPr="00D453E9" w:rsidRDefault="003129FE" w:rsidP="004E4618">
            <w:pPr>
              <w:keepNext/>
              <w:spacing w:after="0" w:line="240" w:lineRule="auto"/>
              <w:rPr>
                <w:rFonts w:ascii="Times New Roman" w:eastAsia="Times New Roman" w:hAnsi="Times New Roman"/>
                <w:sz w:val="20"/>
                <w:szCs w:val="20"/>
              </w:rPr>
            </w:pPr>
          </w:p>
        </w:tc>
      </w:tr>
      <w:tr w:rsidR="003129FE" w:rsidRPr="007433DB" w14:paraId="41F81473" w14:textId="77777777" w:rsidTr="004E4618">
        <w:trPr>
          <w:trHeight w:hRule="exact" w:val="469"/>
        </w:trPr>
        <w:tc>
          <w:tcPr>
            <w:tcW w:w="893" w:type="dxa"/>
            <w:tcBorders>
              <w:top w:val="single" w:sz="4" w:space="0" w:color="000000"/>
              <w:left w:val="single" w:sz="4" w:space="0" w:color="000000"/>
              <w:bottom w:val="single" w:sz="4" w:space="0" w:color="000000"/>
              <w:right w:val="single" w:sz="4" w:space="0" w:color="auto"/>
            </w:tcBorders>
            <w:vAlign w:val="center"/>
          </w:tcPr>
          <w:p w14:paraId="6AD7AD1C" w14:textId="50125AD6" w:rsidR="003129FE" w:rsidRPr="00D453E9"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6F18EB14" w14:textId="6B33AF0A" w:rsidR="003129FE" w:rsidRPr="00D453E9" w:rsidRDefault="003129FE" w:rsidP="004E4618">
            <w:pPr>
              <w:keepNext/>
              <w:spacing w:after="0" w:line="240" w:lineRule="auto"/>
              <w:rPr>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29FF4B4A" w14:textId="38CEF0AB" w:rsidR="003129FE" w:rsidRPr="00D453E9" w:rsidRDefault="003129FE" w:rsidP="004E4618">
            <w:pPr>
              <w:keepNext/>
              <w:spacing w:after="0" w:line="240" w:lineRule="auto"/>
              <w:rPr>
                <w:rFonts w:ascii="Times New Roman" w:eastAsia="Times New Roman" w:hAnsi="Times New Roman"/>
                <w:sz w:val="20"/>
                <w:szCs w:val="20"/>
              </w:rPr>
            </w:pPr>
          </w:p>
        </w:tc>
      </w:tr>
      <w:tr w:rsidR="003129FE" w:rsidRPr="007433DB" w14:paraId="7971C916" w14:textId="77777777" w:rsidTr="004E4618">
        <w:trPr>
          <w:trHeight w:hRule="exact" w:val="1117"/>
        </w:trPr>
        <w:tc>
          <w:tcPr>
            <w:tcW w:w="893" w:type="dxa"/>
            <w:tcBorders>
              <w:top w:val="single" w:sz="4" w:space="0" w:color="000000"/>
              <w:left w:val="single" w:sz="4" w:space="0" w:color="000000"/>
              <w:bottom w:val="single" w:sz="4" w:space="0" w:color="000000"/>
              <w:right w:val="single" w:sz="4" w:space="0" w:color="auto"/>
            </w:tcBorders>
            <w:vAlign w:val="center"/>
          </w:tcPr>
          <w:p w14:paraId="65354CF4" w14:textId="77777777" w:rsidR="003129FE" w:rsidRPr="007433DB" w:rsidRDefault="003129FE" w:rsidP="004E4618">
            <w:pPr>
              <w:keepNext/>
              <w:spacing w:after="0" w:line="240" w:lineRule="auto"/>
              <w:rPr>
                <w:rFonts w:ascii="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3129FE" w:rsidRPr="00203E74" w:rsidRDefault="003129FE" w:rsidP="004E4618">
            <w:pPr>
              <w:keepNext/>
              <w:spacing w:after="0" w:line="240" w:lineRule="auto"/>
              <w:rPr>
                <w:rFonts w:ascii="Times New Roman" w:hAnsi="Times New Roman"/>
                <w:sz w:val="20"/>
                <w:szCs w:val="20"/>
              </w:rPr>
            </w:pPr>
            <w:r w:rsidRPr="00203E74">
              <w:rPr>
                <w:rFonts w:ascii="Times New Roman" w:hAnsi="Times New Roman"/>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In surrender charge period, or in policy years 1-3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3129FE" w:rsidRPr="009B2657"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Subsequent years, or in policy years 4 and onwards for contracts without surrender charges</w:t>
            </w:r>
          </w:p>
        </w:tc>
      </w:tr>
      <w:tr w:rsidR="003129FE" w:rsidRPr="007433DB" w14:paraId="3BD350B9" w14:textId="77777777" w:rsidTr="004E4618">
        <w:trPr>
          <w:trHeight w:hRule="exact" w:val="468"/>
        </w:trPr>
        <w:tc>
          <w:tcPr>
            <w:tcW w:w="893" w:type="dxa"/>
            <w:tcBorders>
              <w:top w:val="single" w:sz="4" w:space="0" w:color="000000"/>
              <w:left w:val="single" w:sz="4" w:space="0" w:color="000000"/>
              <w:bottom w:val="single" w:sz="4" w:space="0" w:color="000000"/>
              <w:right w:val="single" w:sz="4" w:space="0" w:color="000000"/>
            </w:tcBorders>
            <w:vAlign w:val="center"/>
          </w:tcPr>
          <w:p w14:paraId="2D9F215D" w14:textId="5A905C06" w:rsidR="003129FE" w:rsidRPr="00D453E9"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4.0%</w:t>
            </w:r>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3129FE" w:rsidRPr="009B2657"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3129FE" w:rsidRPr="009B2657" w:rsidRDefault="003129FE" w:rsidP="004E4618">
            <w:pPr>
              <w:keepNext/>
              <w:spacing w:after="0" w:line="240" w:lineRule="auto"/>
              <w:rPr>
                <w:rFonts w:ascii="Times New Roman" w:eastAsia="Times New Roman" w:hAnsi="Times New Roman"/>
                <w:sz w:val="20"/>
                <w:szCs w:val="20"/>
              </w:rPr>
            </w:pPr>
            <w:r w:rsidRPr="009B2657">
              <w:rPr>
                <w:rFonts w:ascii="Times New Roman" w:eastAsia="Times New Roman" w:hAnsi="Times New Roman"/>
                <w:sz w:val="20"/>
                <w:szCs w:val="20"/>
              </w:rPr>
              <w:t>15.0%</w:t>
            </w:r>
          </w:p>
        </w:tc>
      </w:tr>
      <w:tr w:rsidR="003129FE" w:rsidRPr="007433DB" w14:paraId="2585C8AC"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34CCA033" w14:textId="77777777" w:rsidR="003129FE" w:rsidRPr="00D453E9"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50-75%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3129FE" w:rsidRPr="00D453E9"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3129FE" w:rsidRPr="009B2657" w:rsidRDefault="003129FE" w:rsidP="004E4618">
            <w:pPr>
              <w:keepNext/>
              <w:spacing w:after="0" w:line="240" w:lineRule="auto"/>
              <w:rPr>
                <w:rFonts w:ascii="Times New Roman" w:eastAsia="Times New Roman" w:hAnsi="Times New Roman"/>
                <w:sz w:val="20"/>
                <w:szCs w:val="20"/>
              </w:rPr>
            </w:pPr>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3129FE" w:rsidRPr="009B2657" w:rsidRDefault="003129FE" w:rsidP="004E4618">
            <w:pPr>
              <w:keepNext/>
              <w:spacing w:after="0" w:line="240" w:lineRule="auto"/>
              <w:rPr>
                <w:rFonts w:ascii="Times New Roman" w:eastAsia="Times New Roman" w:hAnsi="Times New Roman"/>
                <w:sz w:val="20"/>
                <w:szCs w:val="20"/>
              </w:rPr>
            </w:pPr>
            <w:r w:rsidRPr="009B2657">
              <w:rPr>
                <w:rFonts w:ascii="Times New Roman" w:eastAsia="Times New Roman" w:hAnsi="Times New Roman"/>
                <w:sz w:val="20"/>
                <w:szCs w:val="20"/>
              </w:rPr>
              <w:t>10.0%</w:t>
            </w:r>
          </w:p>
        </w:tc>
      </w:tr>
      <w:tr w:rsidR="003129FE" w:rsidRPr="007433DB" w14:paraId="646BF607"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18702E8D" w14:textId="77777777"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75-100%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12.0</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7.0</w:t>
            </w:r>
            <w:r w:rsidRPr="007433DB">
              <w:rPr>
                <w:rFonts w:ascii="Times New Roman" w:hAnsi="Times New Roman"/>
                <w:sz w:val="20"/>
                <w:szCs w:val="20"/>
              </w:rPr>
              <w:t>%</w:t>
            </w:r>
          </w:p>
        </w:tc>
      </w:tr>
      <w:tr w:rsidR="003129FE" w:rsidRPr="007433DB" w14:paraId="6A8EBB05"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1CCA5338" w14:textId="77777777"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100-125%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8.0</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4</w:t>
            </w:r>
            <w:r w:rsidRPr="007433DB">
              <w:rPr>
                <w:rFonts w:ascii="Times New Roman" w:hAnsi="Times New Roman"/>
                <w:sz w:val="20"/>
                <w:szCs w:val="20"/>
              </w:rPr>
              <w:t>.5%</w:t>
            </w:r>
          </w:p>
        </w:tc>
      </w:tr>
      <w:tr w:rsidR="003129FE" w:rsidRPr="007433DB" w14:paraId="2374487D"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00A9A80E" w14:textId="77777777"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125-150%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6.0</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3.0</w:t>
            </w:r>
            <w:r w:rsidRPr="007433DB">
              <w:rPr>
                <w:rFonts w:ascii="Times New Roman" w:hAnsi="Times New Roman"/>
                <w:sz w:val="20"/>
                <w:szCs w:val="20"/>
              </w:rPr>
              <w:t>%</w:t>
            </w:r>
          </w:p>
        </w:tc>
      </w:tr>
      <w:tr w:rsidR="003129FE" w:rsidRPr="007433DB" w14:paraId="5E1422FB" w14:textId="77777777" w:rsidTr="004E4618">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0AC38D37" w14:textId="480D81DF"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150-175%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5.0</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r>
      <w:tr w:rsidR="003129FE" w:rsidRPr="007433DB" w14:paraId="1D62F9E5"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458ECCC0" w14:textId="77777777"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175-200%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4.5</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r>
      <w:tr w:rsidR="003129FE" w:rsidRPr="007433DB" w14:paraId="49B51056" w14:textId="77777777" w:rsidTr="007433DB">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79198906" w14:textId="77777777" w:rsidR="003129FE" w:rsidRPr="007433DB" w:rsidDel="007433DB" w:rsidRDefault="003129FE" w:rsidP="004E4618">
            <w:pPr>
              <w:keepNext/>
              <w:spacing w:after="0" w:line="240" w:lineRule="auto"/>
              <w:rPr>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eastAsia="Times New Roman" w:hAnsi="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3129FE" w:rsidRPr="007433DB" w:rsidRDefault="003129FE" w:rsidP="004E4618">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hAnsi="Times New Roman"/>
                <w:sz w:val="20"/>
                <w:szCs w:val="20"/>
              </w:rPr>
              <w:t>4.0</w:t>
            </w:r>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3129FE" w:rsidRPr="007433DB" w:rsidRDefault="003129FE" w:rsidP="004E4618">
            <w:pPr>
              <w:keepNext/>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r>
    </w:tbl>
    <w:p w14:paraId="424090FA" w14:textId="77777777" w:rsidR="003129FE" w:rsidRDefault="003129FE" w:rsidP="00CC2E32">
      <w:pPr>
        <w:spacing w:after="0" w:line="240" w:lineRule="auto"/>
        <w:rPr>
          <w:rFonts w:ascii="Times New Roman" w:hAnsi="Times New Roman"/>
          <w:sz w:val="20"/>
          <w:szCs w:val="20"/>
        </w:rPr>
      </w:pPr>
    </w:p>
    <w:p w14:paraId="4206A993" w14:textId="073E1554" w:rsidR="003129FE" w:rsidRDefault="003129FE" w:rsidP="00CC2E32">
      <w:pPr>
        <w:spacing w:after="0" w:line="240" w:lineRule="auto"/>
        <w:rPr>
          <w:rFonts w:ascii="Times New Roman" w:hAnsi="Times New Roman"/>
          <w:sz w:val="20"/>
          <w:szCs w:val="20"/>
        </w:rPr>
      </w:pPr>
    </w:p>
    <w:p w14:paraId="14A455AE" w14:textId="77777777" w:rsidR="003129FE" w:rsidRDefault="003129FE" w:rsidP="004E4618">
      <w:pPr>
        <w:spacing w:after="0" w:line="240" w:lineRule="auto"/>
        <w:ind w:left="2160"/>
        <w:rPr>
          <w:rFonts w:ascii="Times New Roman" w:hAnsi="Times New Roman"/>
        </w:rPr>
      </w:pPr>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p>
    <w:p w14:paraId="7F77AF8D" w14:textId="77777777" w:rsidR="003129FE" w:rsidRPr="00D453E9" w:rsidRDefault="003129FE" w:rsidP="004E4618">
      <w:pPr>
        <w:spacing w:after="0" w:line="240" w:lineRule="auto"/>
        <w:ind w:left="2160"/>
        <w:rPr>
          <w:rFonts w:ascii="Times New Roman" w:hAnsi="Times New Roman"/>
        </w:rPr>
      </w:pPr>
    </w:p>
    <w:p w14:paraId="2D96AF08" w14:textId="77777777" w:rsidR="003129FE" w:rsidRDefault="003129FE" w:rsidP="004E4618">
      <w:pPr>
        <w:spacing w:after="0" w:line="240" w:lineRule="auto"/>
        <w:ind w:left="2160"/>
        <w:rPr>
          <w:rFonts w:ascii="Times New Roman" w:hAnsi="Times New Roman"/>
        </w:rPr>
      </w:pPr>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p>
    <w:p w14:paraId="08C594A9" w14:textId="77777777" w:rsidR="003129FE" w:rsidRPr="00D453E9" w:rsidRDefault="003129FE" w:rsidP="004E4618">
      <w:pPr>
        <w:spacing w:after="0" w:line="240" w:lineRule="auto"/>
        <w:ind w:left="2160"/>
        <w:rPr>
          <w:rFonts w:ascii="Times New Roman" w:hAnsi="Times New Roman"/>
        </w:rPr>
      </w:pPr>
    </w:p>
    <w:p w14:paraId="1EE4C733" w14:textId="77777777" w:rsidR="003129FE" w:rsidRDefault="003129FE" w:rsidP="004E4618">
      <w:pPr>
        <w:spacing w:after="0" w:line="240" w:lineRule="auto"/>
        <w:ind w:left="2160"/>
        <w:rPr>
          <w:rFonts w:ascii="Times New Roman" w:hAnsi="Times New Roman"/>
        </w:rPr>
      </w:pPr>
      <w:r w:rsidRPr="00D453E9">
        <w:rPr>
          <w:rFonts w:ascii="Times New Roman" w:hAnsi="Times New Roman"/>
        </w:rPr>
        <w:t>At each projection interval, for GMWB or hybrid GMIB contracts that have taken a withdrawal not in excess of the GMWB’s guaranteed maximum annual withdrawal amount or the GMIB’s dollar-for-dollar maximum withdrawal amount as of the valuation date or in a prior projection interval, the full surrender rate obtained from the Standard Table for Full Surrender shall be multiplied by 60%.</w:t>
      </w:r>
    </w:p>
    <w:p w14:paraId="49BAC505" w14:textId="77777777" w:rsidR="003129FE" w:rsidRDefault="003129FE" w:rsidP="004E4618">
      <w:pPr>
        <w:spacing w:after="0" w:line="240" w:lineRule="auto"/>
        <w:ind w:left="2160"/>
        <w:rPr>
          <w:rFonts w:ascii="Times New Roman" w:hAnsi="Times New Roman"/>
        </w:rPr>
      </w:pPr>
    </w:p>
    <w:p w14:paraId="1D253453" w14:textId="77777777" w:rsidR="003129FE" w:rsidRDefault="003129FE" w:rsidP="004E4618">
      <w:pPr>
        <w:spacing w:after="0" w:line="240" w:lineRule="auto"/>
        <w:ind w:left="2160"/>
        <w:rPr>
          <w:rFonts w:ascii="Times New Roman" w:hAnsi="Times New Roman"/>
        </w:rPr>
      </w:pPr>
      <w:r>
        <w:rPr>
          <w:rFonts w:ascii="Times New Roman" w:hAnsi="Times New Roman"/>
        </w:rPr>
        <w:t xml:space="preserve">For contracts with no minimum guaranteed benefits, ITM is 0% and the row in the table for ITM &lt; 50% would apply. </w:t>
      </w:r>
    </w:p>
    <w:p w14:paraId="37551005" w14:textId="77777777" w:rsidR="003129FE" w:rsidRPr="00D453E9" w:rsidRDefault="003129FE" w:rsidP="004E4618">
      <w:pPr>
        <w:spacing w:after="0" w:line="240" w:lineRule="auto"/>
        <w:ind w:left="2160"/>
        <w:rPr>
          <w:rFonts w:ascii="Times New Roman" w:hAnsi="Times New Roman"/>
        </w:rPr>
      </w:pPr>
    </w:p>
    <w:p w14:paraId="55546EAD" w14:textId="77777777" w:rsidR="003129FE" w:rsidRDefault="003129FE" w:rsidP="004E4618">
      <w:pPr>
        <w:spacing w:after="0" w:line="240" w:lineRule="auto"/>
        <w:ind w:left="2160"/>
        <w:rPr>
          <w:rFonts w:ascii="Times New Roman" w:hAnsi="Times New Roman"/>
        </w:rPr>
      </w:pPr>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p>
    <w:p w14:paraId="2326BB0A" w14:textId="77777777" w:rsidR="003129FE" w:rsidRDefault="003129FE" w:rsidP="004E4618">
      <w:pPr>
        <w:spacing w:after="0" w:line="240" w:lineRule="auto"/>
        <w:ind w:left="2160"/>
        <w:rPr>
          <w:rFonts w:ascii="Times New Roman" w:hAnsi="Times New Roman"/>
        </w:rPr>
      </w:pPr>
    </w:p>
    <w:p w14:paraId="1FE24075" w14:textId="77777777" w:rsidR="003129FE" w:rsidRPr="00FE2B62" w:rsidRDefault="003129FE" w:rsidP="004E4618">
      <w:pPr>
        <w:spacing w:after="0" w:line="240" w:lineRule="auto"/>
        <w:ind w:left="2160"/>
        <w:rPr>
          <w:rFonts w:ascii="Times New Roman" w:eastAsia="Times New Roman" w:hAnsi="Times New Roman"/>
          <w:bCs/>
          <w:color w:val="000000"/>
        </w:rPr>
      </w:pPr>
      <w:r w:rsidRPr="00FE2B62">
        <w:rPr>
          <w:rFonts w:ascii="Times New Roman" w:eastAsia="Times New Roman" w:hAnsi="Times New Roman"/>
          <w:bCs/>
          <w:color w:val="000000"/>
        </w:rPr>
        <w:t>e. For simple 403(b) VA contracts, the following table provides the full surrender rates:</w:t>
      </w:r>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c>
          <w:tcPr>
            <w:tcW w:w="1954" w:type="dxa"/>
          </w:tcPr>
          <w:p w14:paraId="45CF8977" w14:textId="77777777" w:rsidR="003129FE" w:rsidRPr="00FE2B62" w:rsidRDefault="003129FE" w:rsidP="004E4618">
            <w:pPr>
              <w:rPr>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rFonts w:ascii="Times New Roman" w:eastAsia="Times New Roman" w:hAnsi="Times New Roman"/>
                <w:sz w:val="22"/>
                <w:szCs w:val="24"/>
              </w:rPr>
            </w:pPr>
            <w:r w:rsidRPr="00FE2B62">
              <w:rPr>
                <w:rFonts w:ascii="Times New Roman" w:eastAsia="Times New Roman" w:hAnsi="Times New Roman"/>
                <w:sz w:val="22"/>
                <w:szCs w:val="24"/>
              </w:rPr>
              <w:t>Full Surrender for simple 403(b) VA contracts</w:t>
            </w:r>
          </w:p>
        </w:tc>
      </w:tr>
      <w:tr w:rsidR="003129FE" w:rsidRPr="00FE2B62" w14:paraId="12BD6428" w14:textId="77777777" w:rsidTr="004E4618">
        <w:tc>
          <w:tcPr>
            <w:tcW w:w="1954" w:type="dxa"/>
            <w:vAlign w:val="bottom"/>
          </w:tcPr>
          <w:p w14:paraId="11A02401"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Attained Age</w:t>
            </w:r>
          </w:p>
        </w:tc>
        <w:tc>
          <w:tcPr>
            <w:tcW w:w="1866" w:type="dxa"/>
            <w:vAlign w:val="bottom"/>
          </w:tcPr>
          <w:p w14:paraId="4791F209"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In surrender charge period</w:t>
            </w:r>
          </w:p>
        </w:tc>
        <w:tc>
          <w:tcPr>
            <w:tcW w:w="1772" w:type="dxa"/>
            <w:vAlign w:val="bottom"/>
          </w:tcPr>
          <w:p w14:paraId="44FF1B89"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Cs w:val="24"/>
              </w:rPr>
              <w:t>First policy year after the surrender charge period</w:t>
            </w:r>
          </w:p>
        </w:tc>
        <w:tc>
          <w:tcPr>
            <w:tcW w:w="1598" w:type="dxa"/>
            <w:vAlign w:val="bottom"/>
          </w:tcPr>
          <w:p w14:paraId="09D02F90"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xml:space="preserve">, or </w:t>
            </w:r>
            <w:r w:rsidRPr="00FE2B62">
              <w:rPr>
                <w:rFonts w:ascii="Times New Roman" w:eastAsia="Times New Roman" w:hAnsi="Times New Roman"/>
                <w:sz w:val="22"/>
                <w:szCs w:val="24"/>
              </w:rPr>
              <w:lastRenderedPageBreak/>
              <w:t>contracts without a surrender charge period</w:t>
            </w:r>
          </w:p>
        </w:tc>
      </w:tr>
      <w:tr w:rsidR="003129FE" w:rsidRPr="00FE2B62" w14:paraId="1E900552" w14:textId="77777777" w:rsidTr="004E4618">
        <w:tc>
          <w:tcPr>
            <w:tcW w:w="1954" w:type="dxa"/>
            <w:vAlign w:val="bottom"/>
          </w:tcPr>
          <w:p w14:paraId="06B818E5"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lastRenderedPageBreak/>
              <w:t>59 and under</w:t>
            </w:r>
          </w:p>
        </w:tc>
        <w:tc>
          <w:tcPr>
            <w:tcW w:w="1866" w:type="dxa"/>
            <w:vAlign w:val="bottom"/>
          </w:tcPr>
          <w:p w14:paraId="5F9FABCF"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2.0%</w:t>
            </w:r>
          </w:p>
        </w:tc>
        <w:tc>
          <w:tcPr>
            <w:tcW w:w="1772" w:type="dxa"/>
            <w:vAlign w:val="bottom"/>
          </w:tcPr>
          <w:p w14:paraId="0B8EFAE5"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4.0%</w:t>
            </w:r>
          </w:p>
        </w:tc>
        <w:tc>
          <w:tcPr>
            <w:tcW w:w="1598" w:type="dxa"/>
            <w:vAlign w:val="bottom"/>
          </w:tcPr>
          <w:p w14:paraId="073BDCBD"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4.0%</w:t>
            </w:r>
          </w:p>
        </w:tc>
      </w:tr>
      <w:tr w:rsidR="003129FE" w:rsidRPr="00FE2B62" w14:paraId="3B7DBB75" w14:textId="77777777" w:rsidTr="004E4618">
        <w:tc>
          <w:tcPr>
            <w:tcW w:w="1954" w:type="dxa"/>
            <w:vAlign w:val="bottom"/>
          </w:tcPr>
          <w:p w14:paraId="1628D948"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60 – 69</w:t>
            </w:r>
          </w:p>
        </w:tc>
        <w:tc>
          <w:tcPr>
            <w:tcW w:w="1866" w:type="dxa"/>
            <w:vAlign w:val="bottom"/>
          </w:tcPr>
          <w:p w14:paraId="3824655D"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4.0%</w:t>
            </w:r>
          </w:p>
        </w:tc>
        <w:tc>
          <w:tcPr>
            <w:tcW w:w="1772" w:type="dxa"/>
            <w:vAlign w:val="bottom"/>
          </w:tcPr>
          <w:p w14:paraId="67518231"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11.0%</w:t>
            </w:r>
          </w:p>
        </w:tc>
        <w:tc>
          <w:tcPr>
            <w:tcW w:w="1598" w:type="dxa"/>
            <w:vAlign w:val="bottom"/>
          </w:tcPr>
          <w:p w14:paraId="3CFC70BC"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8.0%</w:t>
            </w:r>
          </w:p>
        </w:tc>
      </w:tr>
      <w:tr w:rsidR="003129FE" w:rsidRPr="00FE2B62" w14:paraId="05A5D5C5" w14:textId="77777777" w:rsidTr="004E4618">
        <w:tc>
          <w:tcPr>
            <w:tcW w:w="1954" w:type="dxa"/>
            <w:vAlign w:val="bottom"/>
          </w:tcPr>
          <w:p w14:paraId="618D4534"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70 – 74</w:t>
            </w:r>
          </w:p>
        </w:tc>
        <w:tc>
          <w:tcPr>
            <w:tcW w:w="1866" w:type="dxa"/>
            <w:vAlign w:val="bottom"/>
          </w:tcPr>
          <w:p w14:paraId="03A4C398"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4.0%</w:t>
            </w:r>
          </w:p>
        </w:tc>
        <w:tc>
          <w:tcPr>
            <w:tcW w:w="1772" w:type="dxa"/>
            <w:vAlign w:val="bottom"/>
          </w:tcPr>
          <w:p w14:paraId="62F060AE"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11.0%</w:t>
            </w:r>
          </w:p>
        </w:tc>
        <w:tc>
          <w:tcPr>
            <w:tcW w:w="1598" w:type="dxa"/>
            <w:vAlign w:val="bottom"/>
          </w:tcPr>
          <w:p w14:paraId="3AB9D179"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8.0%</w:t>
            </w:r>
          </w:p>
        </w:tc>
      </w:tr>
      <w:tr w:rsidR="003129FE" w14:paraId="201BE7A1" w14:textId="77777777" w:rsidTr="004E4618">
        <w:tc>
          <w:tcPr>
            <w:tcW w:w="1954" w:type="dxa"/>
            <w:vAlign w:val="bottom"/>
          </w:tcPr>
          <w:p w14:paraId="46068CA1"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75 and over</w:t>
            </w:r>
          </w:p>
        </w:tc>
        <w:tc>
          <w:tcPr>
            <w:tcW w:w="1866" w:type="dxa"/>
            <w:vAlign w:val="bottom"/>
          </w:tcPr>
          <w:p w14:paraId="044DE0D2"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2.0%</w:t>
            </w:r>
          </w:p>
        </w:tc>
        <w:tc>
          <w:tcPr>
            <w:tcW w:w="1772" w:type="dxa"/>
            <w:vAlign w:val="bottom"/>
          </w:tcPr>
          <w:p w14:paraId="3AB69415"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5.0%</w:t>
            </w:r>
          </w:p>
        </w:tc>
        <w:tc>
          <w:tcPr>
            <w:tcW w:w="1598" w:type="dxa"/>
            <w:vAlign w:val="bottom"/>
          </w:tcPr>
          <w:p w14:paraId="095BC186" w14:textId="77777777" w:rsidR="003129FE" w:rsidRPr="00FE2B62" w:rsidRDefault="003129FE" w:rsidP="004E4618">
            <w:pPr>
              <w:jc w:val="center"/>
              <w:rPr>
                <w:rFonts w:ascii="Times New Roman" w:eastAsia="Times New Roman" w:hAnsi="Times New Roman"/>
                <w:sz w:val="22"/>
                <w:szCs w:val="24"/>
              </w:rPr>
            </w:pPr>
            <w:r w:rsidRPr="00FE2B62">
              <w:rPr>
                <w:rFonts w:ascii="Times New Roman" w:eastAsia="Times New Roman" w:hAnsi="Times New Roman"/>
                <w:sz w:val="22"/>
                <w:szCs w:val="24"/>
              </w:rPr>
              <w:t>5.0%</w:t>
            </w:r>
          </w:p>
        </w:tc>
      </w:tr>
    </w:tbl>
    <w:p w14:paraId="6991DCEF" w14:textId="77777777" w:rsidR="003129FE" w:rsidRDefault="003129FE" w:rsidP="004E4618">
      <w:pPr>
        <w:spacing w:after="0" w:line="240" w:lineRule="auto"/>
        <w:ind w:left="2160"/>
        <w:rPr>
          <w:rFonts w:ascii="Times New Roman" w:hAnsi="Times New Roman"/>
        </w:rPr>
      </w:pPr>
    </w:p>
    <w:p w14:paraId="1BD5A7AD" w14:textId="77777777" w:rsidR="003129FE" w:rsidRDefault="003129FE" w:rsidP="004E4618">
      <w:pPr>
        <w:spacing w:after="0" w:line="240" w:lineRule="auto"/>
        <w:ind w:left="2160"/>
        <w:rPr>
          <w:rFonts w:ascii="Times New Roman" w:hAnsi="Times New Roman"/>
        </w:rPr>
      </w:pPr>
    </w:p>
    <w:p w14:paraId="6E8E4C12" w14:textId="77777777" w:rsidR="003129FE" w:rsidRDefault="003129FE" w:rsidP="004E4618">
      <w:pPr>
        <w:spacing w:after="0" w:line="240" w:lineRule="auto"/>
        <w:ind w:left="2160" w:hanging="720"/>
        <w:rPr>
          <w:rFonts w:ascii="Times New Roman" w:hAnsi="Times New Roman"/>
        </w:rPr>
      </w:pPr>
      <w:r>
        <w:rPr>
          <w:rFonts w:ascii="Times New Roman" w:eastAsia="Times New Roman" w:hAnsi="Times New Roman"/>
        </w:rPr>
        <w:t>7</w:t>
      </w:r>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r w:rsidRPr="00D453E9">
        <w:rPr>
          <w:rFonts w:ascii="Times New Roman" w:hAnsi="Times New Roman"/>
        </w:rPr>
        <w:t xml:space="preserve"> </w:t>
      </w:r>
    </w:p>
    <w:p w14:paraId="64093F87" w14:textId="77777777" w:rsidR="003129FE" w:rsidRDefault="003129FE" w:rsidP="004E4618">
      <w:pPr>
        <w:spacing w:after="0" w:line="240" w:lineRule="auto"/>
        <w:ind w:left="2160" w:hanging="720"/>
        <w:rPr>
          <w:rFonts w:ascii="Times New Roman" w:hAnsi="Times New Roman"/>
        </w:rPr>
      </w:pPr>
    </w:p>
    <w:p w14:paraId="51D71AF3"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p>
    <w:p w14:paraId="4431AE40" w14:textId="77777777" w:rsidR="003129FE" w:rsidRPr="00D453E9" w:rsidRDefault="003129FE" w:rsidP="004E4618">
      <w:pPr>
        <w:spacing w:after="0" w:line="240" w:lineRule="auto"/>
        <w:ind w:left="2160" w:hanging="720"/>
        <w:rPr>
          <w:rFonts w:ascii="Times New Roman" w:hAnsi="Times New Roman"/>
        </w:rPr>
      </w:pPr>
    </w:p>
    <w:p w14:paraId="40F69C26"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The annual annuitization rate for a traditional GMIB contract that is immediately exercisable in the projection interval and that has an account value greater than zero, shall follow the Standard Table for Traditional GMIB Annuitization as detailed below in Table II. The Standard Table for Annuitization prescribes different annuitization rates depending on whether the contract is in the first contract year in which the GMIB is exercisable or in a subsequent contract year.</w:t>
      </w:r>
    </w:p>
    <w:p w14:paraId="4FD141E9" w14:textId="77777777" w:rsidR="003129FE" w:rsidRDefault="003129FE" w:rsidP="004E4618">
      <w:pPr>
        <w:spacing w:after="0" w:line="240" w:lineRule="auto"/>
        <w:ind w:left="2160"/>
        <w:rPr>
          <w:rFonts w:ascii="Times New Roman" w:hAnsi="Times New Roman"/>
        </w:rPr>
      </w:pPr>
    </w:p>
    <w:p w14:paraId="29DA54E6" w14:textId="77777777" w:rsidR="003129FE" w:rsidRDefault="003129FE" w:rsidP="004E4618">
      <w:pPr>
        <w:spacing w:after="0" w:line="240" w:lineRule="auto"/>
        <w:ind w:left="2160"/>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9B2657" w14:paraId="3592259A" w14:textId="77777777" w:rsidTr="009B2657">
        <w:trPr>
          <w:trHeight w:val="164"/>
        </w:trPr>
        <w:tc>
          <w:tcPr>
            <w:tcW w:w="9549" w:type="dxa"/>
            <w:gridSpan w:val="3"/>
            <w:tcBorders>
              <w:bottom w:val="single" w:sz="4" w:space="0" w:color="auto"/>
            </w:tcBorders>
          </w:tcPr>
          <w:p w14:paraId="37F7B972"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FF"/>
              </w:rPr>
            </w:pPr>
            <w:r w:rsidRPr="009B2657">
              <w:rPr>
                <w:rFonts w:ascii="Times New Roman" w:eastAsiaTheme="minorHAnsi" w:hAnsi="Times New Roman"/>
                <w:color w:val="0000FF"/>
              </w:rPr>
              <w:t>Table II. Standard Table for Traditional GMIB Annuitization</w:t>
            </w:r>
          </w:p>
        </w:tc>
      </w:tr>
      <w:tr w:rsidR="003129FE" w:rsidRPr="009B2657" w14:paraId="61293368"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Annuitization GAPV </w:t>
            </w:r>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First year of exercisability</w:t>
            </w:r>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Subsequent years</w:t>
            </w:r>
          </w:p>
        </w:tc>
      </w:tr>
      <w:tr w:rsidR="003129FE" w:rsidRPr="009B2657" w14:paraId="1DAB91D1"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0-100% of Account Value </w:t>
            </w:r>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0.0%</w:t>
            </w:r>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0.0%</w:t>
            </w:r>
          </w:p>
        </w:tc>
      </w:tr>
      <w:tr w:rsidR="003129FE" w:rsidRPr="009B2657" w14:paraId="607F0657"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100-125% of Account Value </w:t>
            </w:r>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5.0%</w:t>
            </w:r>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2.5%</w:t>
            </w:r>
          </w:p>
        </w:tc>
      </w:tr>
      <w:tr w:rsidR="003129FE" w:rsidRPr="009B2657" w14:paraId="31A79D2B" w14:textId="77777777" w:rsidTr="009B2657">
        <w:trPr>
          <w:trHeight w:val="165"/>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125-150% of Account Value </w:t>
            </w:r>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10.0%</w:t>
            </w:r>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5.0%</w:t>
            </w:r>
          </w:p>
        </w:tc>
      </w:tr>
      <w:tr w:rsidR="003129FE" w:rsidRPr="009B2657" w14:paraId="72523CD5"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150-175% of Account Value </w:t>
            </w:r>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15.0%</w:t>
            </w:r>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7.5%</w:t>
            </w:r>
          </w:p>
        </w:tc>
      </w:tr>
      <w:tr w:rsidR="003129FE" w:rsidRPr="009B2657" w14:paraId="00BB5C1B"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175-200% of Account Value </w:t>
            </w:r>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20.0%</w:t>
            </w:r>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10.0%</w:t>
            </w:r>
          </w:p>
        </w:tc>
      </w:tr>
      <w:tr w:rsidR="003129FE" w:rsidRPr="009B2657" w14:paraId="2F103304"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200%+ of Account Value </w:t>
            </w:r>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25.0%</w:t>
            </w:r>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9B2657"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9B2657">
              <w:rPr>
                <w:rFonts w:ascii="Times New Roman" w:eastAsiaTheme="minorHAnsi" w:hAnsi="Times New Roman"/>
                <w:color w:val="0000FF"/>
              </w:rPr>
              <w:t>12.5%</w:t>
            </w:r>
          </w:p>
        </w:tc>
      </w:tr>
    </w:tbl>
    <w:p w14:paraId="1B81F2BA" w14:textId="77777777" w:rsidR="003129FE" w:rsidRDefault="003129FE" w:rsidP="004E4618">
      <w:pPr>
        <w:spacing w:after="0" w:line="240" w:lineRule="auto"/>
        <w:ind w:left="2160"/>
        <w:rPr>
          <w:rFonts w:ascii="Times New Roman" w:hAnsi="Times New Roman"/>
        </w:rPr>
      </w:pPr>
    </w:p>
    <w:p w14:paraId="63498DFA"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The annual annuitization rate for a hybrid GMIB contract that is immediately exercisable in the projection interval and that has an Account Value greater than zero shall be determined via the following steps:</w:t>
      </w:r>
    </w:p>
    <w:p w14:paraId="17D8A9CE" w14:textId="77777777" w:rsidR="003129FE" w:rsidRPr="009B2657" w:rsidRDefault="003129FE" w:rsidP="004E4618">
      <w:pPr>
        <w:spacing w:after="0" w:line="240" w:lineRule="auto"/>
        <w:ind w:left="2160"/>
        <w:rPr>
          <w:rFonts w:ascii="Times New Roman" w:hAnsi="Times New Roman"/>
        </w:rPr>
      </w:pPr>
    </w:p>
    <w:p w14:paraId="6DF71295"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If the GMIB’s Withdrawal GAPV exceeds its Annuitization GAPV, the GMIB’s Annuitization GAPV exceeds the contract’s account value, and the contract is not in the last three years in which the GMIB is exercisable, then the annual annuitization rate shall be 0.25%.</w:t>
      </w:r>
    </w:p>
    <w:p w14:paraId="3A90DAA9" w14:textId="77777777" w:rsidR="003129FE" w:rsidRPr="009B2657" w:rsidRDefault="003129FE" w:rsidP="004E4618">
      <w:pPr>
        <w:spacing w:after="0" w:line="240" w:lineRule="auto"/>
        <w:ind w:left="2160"/>
        <w:rPr>
          <w:rFonts w:ascii="Times New Roman" w:hAnsi="Times New Roman"/>
        </w:rPr>
      </w:pPr>
    </w:p>
    <w:p w14:paraId="62215B09"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If the GMIB’s Annuitization GAPV exceeds or equals its Withdrawal GAPV, and the contract is not in the last three years in which the GMIB is exercisable, then the annual annuitization rate shall follow the Standard Table A for Hybrid GMIB Annuitization as detailed below in Table III.</w:t>
      </w:r>
    </w:p>
    <w:p w14:paraId="34AE59B6" w14:textId="77777777" w:rsidR="003129FE" w:rsidRDefault="003129FE" w:rsidP="004E4618">
      <w:pPr>
        <w:spacing w:after="0" w:line="240" w:lineRule="auto"/>
        <w:ind w:left="2160"/>
        <w:rPr>
          <w:rFonts w:ascii="Times New Roman" w:hAnsi="Times New Roman"/>
        </w:rPr>
      </w:pPr>
    </w:p>
    <w:p w14:paraId="1FB4751C"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If the contract is in the last three years in which the GMIB is exercisable, then the annual annuitization rate shall follow the Standard Table B for Hybrid GMIB Annuitization as detailed below in Table IV.</w:t>
      </w:r>
    </w:p>
    <w:p w14:paraId="68FD6C6A" w14:textId="77777777" w:rsidR="003129FE" w:rsidRPr="009B2657" w:rsidRDefault="003129FE" w:rsidP="004E4618">
      <w:pPr>
        <w:spacing w:after="0" w:line="240" w:lineRule="auto"/>
        <w:ind w:left="2160"/>
        <w:rPr>
          <w:rFonts w:ascii="Times New Roman" w:hAnsi="Times New Roman"/>
        </w:rPr>
      </w:pPr>
    </w:p>
    <w:p w14:paraId="5D351604" w14:textId="77777777" w:rsidR="003129FE" w:rsidRPr="00373276" w:rsidRDefault="003129FE" w:rsidP="00E87EFC">
      <w:pPr>
        <w:pStyle w:val="ListParagraph"/>
        <w:numPr>
          <w:ilvl w:val="0"/>
          <w:numId w:val="41"/>
        </w:numPr>
        <w:spacing w:after="0" w:line="240" w:lineRule="auto"/>
        <w:rPr>
          <w:rFonts w:ascii="Times New Roman" w:hAnsi="Times New Roman"/>
        </w:rPr>
      </w:pPr>
      <w:r w:rsidRPr="00373276">
        <w:rPr>
          <w:rFonts w:ascii="Times New Roman" w:hAnsi="Times New Roman"/>
        </w:rPr>
        <w:t>Otherwise, the annual annuitization rate shall be zero.</w:t>
      </w:r>
    </w:p>
    <w:p w14:paraId="589A8CCA" w14:textId="77777777" w:rsidR="003129FE" w:rsidRDefault="003129FE" w:rsidP="004E4618">
      <w:pPr>
        <w:spacing w:after="0" w:line="240" w:lineRule="auto"/>
        <w:ind w:left="2160"/>
        <w:rPr>
          <w:rFonts w:ascii="Times New Roman" w:hAnsi="Times New Roman"/>
        </w:rPr>
      </w:pPr>
    </w:p>
    <w:p w14:paraId="3C180C75" w14:textId="77777777" w:rsidR="003129FE" w:rsidRDefault="003129FE" w:rsidP="004E4618">
      <w:pPr>
        <w:spacing w:after="0" w:line="240" w:lineRule="auto"/>
        <w:ind w:left="2160"/>
        <w:rPr>
          <w:rFonts w:ascii="Times New Roman" w:hAnsi="Times New Roman"/>
        </w:rPr>
      </w:pPr>
    </w:p>
    <w:p w14:paraId="01A2ADA3" w14:textId="77777777" w:rsidR="003129FE" w:rsidRDefault="003129FE" w:rsidP="004E4618">
      <w:pPr>
        <w:spacing w:after="0" w:line="240" w:lineRule="auto"/>
        <w:ind w:left="2160"/>
        <w:rPr>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7174BA59" w14:textId="77777777" w:rsidTr="009B2657">
        <w:trPr>
          <w:trHeight w:val="164"/>
        </w:trPr>
        <w:tc>
          <w:tcPr>
            <w:tcW w:w="5838" w:type="dxa"/>
            <w:gridSpan w:val="2"/>
            <w:tcBorders>
              <w:bottom w:val="single" w:sz="4" w:space="0" w:color="auto"/>
            </w:tcBorders>
          </w:tcPr>
          <w:p w14:paraId="58EC047B"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FF"/>
              </w:rPr>
            </w:pPr>
            <w:r w:rsidRPr="009B2657">
              <w:rPr>
                <w:rFonts w:ascii="Times New Roman" w:eastAsiaTheme="minorHAnsi" w:hAnsi="Times New Roman"/>
                <w:color w:val="0000FF"/>
              </w:rPr>
              <w:t>Table III. Standard Table A for Hybrid GMIB Annuitization</w:t>
            </w:r>
          </w:p>
        </w:tc>
      </w:tr>
      <w:tr w:rsidR="003129FE" w:rsidRPr="009B2657" w14:paraId="73A58D59" w14:textId="77777777" w:rsidTr="009B2657">
        <w:trPr>
          <w:trHeight w:val="164"/>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Annuitization GAPV </w:t>
            </w:r>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Annual annuitization rate </w:t>
            </w:r>
          </w:p>
        </w:tc>
      </w:tr>
      <w:tr w:rsidR="003129FE" w:rsidRPr="009B2657" w14:paraId="340D1826"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0-100% of Account Value </w:t>
            </w:r>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0.0% </w:t>
            </w:r>
          </w:p>
        </w:tc>
      </w:tr>
      <w:tr w:rsidR="003129FE" w:rsidRPr="009B2657" w14:paraId="54AF50C0"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100-125% of Account Value </w:t>
            </w:r>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0.5% </w:t>
            </w:r>
          </w:p>
        </w:tc>
      </w:tr>
      <w:tr w:rsidR="003129FE" w:rsidRPr="009B2657" w14:paraId="045A3EFE"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125-150% of Account Value </w:t>
            </w:r>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1.0% </w:t>
            </w:r>
          </w:p>
        </w:tc>
      </w:tr>
      <w:tr w:rsidR="003129FE" w:rsidRPr="009B2657" w14:paraId="0C8B474E"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150-175% of Account Value </w:t>
            </w:r>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1.5% </w:t>
            </w:r>
          </w:p>
        </w:tc>
      </w:tr>
      <w:tr w:rsidR="003129FE" w:rsidRPr="009B2657" w14:paraId="13547696"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175-200% of Account Value </w:t>
            </w:r>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2.0% </w:t>
            </w:r>
          </w:p>
        </w:tc>
      </w:tr>
      <w:tr w:rsidR="003129FE" w:rsidRPr="009B2657" w14:paraId="52371F81"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200%+ of Account Value </w:t>
            </w:r>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2.5% </w:t>
            </w:r>
          </w:p>
        </w:tc>
      </w:tr>
    </w:tbl>
    <w:p w14:paraId="27C0736D" w14:textId="77777777" w:rsidR="003129FE" w:rsidRPr="00D453E9" w:rsidRDefault="003129FE" w:rsidP="004E4618">
      <w:pPr>
        <w:spacing w:after="0" w:line="240" w:lineRule="auto"/>
        <w:ind w:left="2160"/>
        <w:rPr>
          <w:rFonts w:ascii="Times New Roman" w:hAnsi="Times New Roman"/>
        </w:rPr>
      </w:pPr>
    </w:p>
    <w:p w14:paraId="1D18F517" w14:textId="77777777" w:rsidR="003129FE" w:rsidRDefault="003129FE" w:rsidP="00CC2E32">
      <w:pPr>
        <w:spacing w:after="0" w:line="240" w:lineRule="auto"/>
        <w:rPr>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68FB48C7" w14:textId="77777777" w:rsidTr="00316A0E">
        <w:trPr>
          <w:trHeight w:val="164"/>
        </w:trPr>
        <w:tc>
          <w:tcPr>
            <w:tcW w:w="5838" w:type="dxa"/>
            <w:gridSpan w:val="2"/>
            <w:tcBorders>
              <w:bottom w:val="single" w:sz="4" w:space="0" w:color="auto"/>
            </w:tcBorders>
          </w:tcPr>
          <w:p w14:paraId="617F3AAF"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FF"/>
              </w:rPr>
            </w:pPr>
            <w:r>
              <w:rPr>
                <w:rFonts w:ascii="Times New Roman" w:eastAsiaTheme="minorHAnsi" w:hAnsi="Times New Roman"/>
                <w:color w:val="0000FF"/>
              </w:rPr>
              <w:t>Table IV</w:t>
            </w:r>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p>
        </w:tc>
      </w:tr>
      <w:tr w:rsidR="003129FE" w:rsidRPr="009B2657" w14:paraId="7B61A65F" w14:textId="77777777" w:rsidTr="00316A0E">
        <w:trPr>
          <w:trHeight w:val="164"/>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Annuitization GAPV </w:t>
            </w:r>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Annual annuitization rate </w:t>
            </w:r>
          </w:p>
        </w:tc>
      </w:tr>
      <w:tr w:rsidR="003129FE" w:rsidRPr="009B2657" w14:paraId="5116F87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0-100% of Account Value </w:t>
            </w:r>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0.0% </w:t>
            </w:r>
          </w:p>
        </w:tc>
      </w:tr>
      <w:tr w:rsidR="003129FE" w:rsidRPr="009B2657" w14:paraId="7B32B179"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100-125% of Account Value </w:t>
            </w:r>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FF"/>
              </w:rPr>
              <w:t>5.0</w:t>
            </w:r>
            <w:r w:rsidRPr="009B2657">
              <w:rPr>
                <w:rFonts w:ascii="Times New Roman" w:eastAsiaTheme="minorHAnsi" w:hAnsi="Times New Roman"/>
                <w:color w:val="0000FF"/>
              </w:rPr>
              <w:t xml:space="preserve">% </w:t>
            </w:r>
          </w:p>
        </w:tc>
      </w:tr>
      <w:tr w:rsidR="003129FE" w:rsidRPr="009B2657" w14:paraId="37502F4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125-150% of Account Value </w:t>
            </w:r>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p>
        </w:tc>
      </w:tr>
      <w:tr w:rsidR="003129FE" w:rsidRPr="009B2657" w14:paraId="07AD77EF"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150-175% of Account Value </w:t>
            </w:r>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p>
        </w:tc>
      </w:tr>
      <w:tr w:rsidR="003129FE" w:rsidRPr="009B2657" w14:paraId="36276247"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 xml:space="preserve">175-200% of Account Value </w:t>
            </w:r>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p>
        </w:tc>
      </w:tr>
      <w:tr w:rsidR="003129FE" w:rsidRPr="009B2657" w14:paraId="3D3D0E56"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00"/>
              </w:rPr>
            </w:pPr>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p>
        </w:tc>
      </w:tr>
      <w:tr w:rsidR="003129FE" w:rsidRPr="009B2657" w14:paraId="3583870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FF"/>
              </w:rPr>
            </w:pPr>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FF"/>
              </w:rPr>
            </w:pPr>
            <w:r>
              <w:rPr>
                <w:rFonts w:ascii="Times New Roman" w:eastAsiaTheme="minorHAnsi" w:hAnsi="Times New Roman"/>
                <w:color w:val="0000FF"/>
              </w:rPr>
              <w:t>30.0%</w:t>
            </w:r>
          </w:p>
        </w:tc>
      </w:tr>
      <w:tr w:rsidR="003129FE" w:rsidRPr="009B2657" w14:paraId="05CB53E1"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9B2657" w:rsidRDefault="003129FE" w:rsidP="00CC2E32">
            <w:pPr>
              <w:autoSpaceDE w:val="0"/>
              <w:autoSpaceDN w:val="0"/>
              <w:adjustRightInd w:val="0"/>
              <w:spacing w:after="0" w:line="240" w:lineRule="auto"/>
              <w:rPr>
                <w:rFonts w:ascii="Times New Roman" w:eastAsiaTheme="minorHAnsi" w:hAnsi="Times New Roman"/>
                <w:color w:val="0000FF"/>
              </w:rPr>
            </w:pPr>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9B2657" w:rsidRDefault="003129FE" w:rsidP="004E4618">
            <w:pPr>
              <w:autoSpaceDE w:val="0"/>
              <w:autoSpaceDN w:val="0"/>
              <w:adjustRightInd w:val="0"/>
              <w:spacing w:after="0" w:line="240" w:lineRule="auto"/>
              <w:rPr>
                <w:rFonts w:ascii="Times New Roman" w:eastAsiaTheme="minorHAnsi" w:hAnsi="Times New Roman"/>
                <w:color w:val="0000FF"/>
              </w:rPr>
            </w:pPr>
            <w:r>
              <w:rPr>
                <w:rFonts w:ascii="Times New Roman" w:eastAsiaTheme="minorHAnsi" w:hAnsi="Times New Roman"/>
                <w:color w:val="0000FF"/>
              </w:rPr>
              <w:t>35.0%</w:t>
            </w:r>
          </w:p>
        </w:tc>
      </w:tr>
    </w:tbl>
    <w:p w14:paraId="645D86C0" w14:textId="77777777" w:rsidR="003129FE" w:rsidRPr="00A716C0" w:rsidRDefault="003129FE" w:rsidP="00CC2E32">
      <w:pPr>
        <w:spacing w:after="0" w:line="240" w:lineRule="auto"/>
        <w:rPr>
          <w:rFonts w:ascii="Times New Roman" w:hAnsi="Times New Roman"/>
          <w:sz w:val="20"/>
          <w:szCs w:val="20"/>
        </w:rPr>
      </w:pPr>
    </w:p>
    <w:p w14:paraId="73074D70" w14:textId="77777777" w:rsidR="003129FE" w:rsidRPr="00373276" w:rsidRDefault="003129FE" w:rsidP="00E87EFC">
      <w:pPr>
        <w:pStyle w:val="ListParagraph"/>
        <w:numPr>
          <w:ilvl w:val="0"/>
          <w:numId w:val="41"/>
        </w:numPr>
        <w:spacing w:after="220" w:line="240" w:lineRule="auto"/>
        <w:rPr>
          <w:rFonts w:ascii="Times New Roman" w:eastAsia="Times New Roman" w:hAnsi="Times New Roman"/>
        </w:rPr>
      </w:pPr>
      <w:r w:rsidRPr="00373276">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p>
    <w:p w14:paraId="7A32ABC8" w14:textId="77777777" w:rsidR="003129FE" w:rsidRPr="00373276" w:rsidRDefault="003129FE" w:rsidP="00E87EFC">
      <w:pPr>
        <w:pStyle w:val="ListParagraph"/>
        <w:numPr>
          <w:ilvl w:val="0"/>
          <w:numId w:val="42"/>
        </w:numPr>
        <w:spacing w:after="220" w:line="240" w:lineRule="auto"/>
        <w:ind w:left="2520"/>
        <w:rPr>
          <w:rFonts w:ascii="Times New Roman" w:eastAsia="Times New Roman" w:hAnsi="Times New Roman"/>
        </w:rPr>
      </w:pPr>
      <w:r w:rsidRPr="00373276">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p>
    <w:p w14:paraId="04F51FA8" w14:textId="77777777" w:rsidR="003129FE" w:rsidRPr="00E544F5" w:rsidRDefault="003129FE" w:rsidP="00063E8C">
      <w:pPr>
        <w:spacing w:after="220" w:line="240" w:lineRule="auto"/>
        <w:ind w:left="2160" w:hanging="720"/>
        <w:rPr>
          <w:rFonts w:ascii="Times New Roman" w:eastAsia="Times New Roman" w:hAnsi="Times New Roman"/>
        </w:rPr>
      </w:pPr>
      <w:r>
        <w:rPr>
          <w:rFonts w:ascii="Times New Roman" w:eastAsia="Times New Roman" w:hAnsi="Times New Roman"/>
        </w:rPr>
        <w:t>8</w:t>
      </w:r>
      <w:r w:rsidRPr="00E544F5">
        <w:rPr>
          <w:rFonts w:ascii="Times New Roman" w:eastAsia="Times New Roman" w:hAnsi="Times New Roman"/>
        </w:rPr>
        <w:t>.</w:t>
      </w:r>
      <w:r w:rsidRPr="00E544F5">
        <w:rPr>
          <w:rFonts w:ascii="Times New Roman" w:eastAsia="Times New Roman" w:hAnsi="Times New Roman"/>
        </w:rPr>
        <w:tab/>
        <w:t xml:space="preserve">Account </w:t>
      </w:r>
      <w:r>
        <w:rPr>
          <w:rFonts w:ascii="Times New Roman" w:eastAsia="Times New Roman" w:hAnsi="Times New Roman"/>
        </w:rPr>
        <w:t>t</w:t>
      </w:r>
      <w:r w:rsidRPr="00E544F5">
        <w:rPr>
          <w:rFonts w:ascii="Times New Roman" w:eastAsia="Times New Roman" w:hAnsi="Times New Roman"/>
        </w:rPr>
        <w:t xml:space="preserve">ransfers and </w:t>
      </w:r>
      <w:r>
        <w:rPr>
          <w:rFonts w:ascii="Times New Roman" w:eastAsia="Times New Roman" w:hAnsi="Times New Roman"/>
        </w:rPr>
        <w:t>f</w:t>
      </w:r>
      <w:r w:rsidRPr="00E544F5">
        <w:rPr>
          <w:rFonts w:ascii="Times New Roman" w:eastAsia="Times New Roman" w:hAnsi="Times New Roman"/>
        </w:rPr>
        <w:t xml:space="preserve">uture </w:t>
      </w:r>
      <w:r>
        <w:rPr>
          <w:rFonts w:ascii="Times New Roman" w:eastAsia="Times New Roman" w:hAnsi="Times New Roman"/>
        </w:rPr>
        <w:t>d</w:t>
      </w:r>
      <w:r w:rsidRPr="00E544F5">
        <w:rPr>
          <w:rFonts w:ascii="Times New Roman" w:eastAsia="Times New Roman" w:hAnsi="Times New Roman"/>
        </w:rPr>
        <w:t>eposits</w:t>
      </w:r>
    </w:p>
    <w:p w14:paraId="4ACC1738" w14:textId="65A855FA"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r w:rsidRPr="00373276">
        <w:rPr>
          <w:rFonts w:ascii="Times New Roman" w:eastAsia="Times New Roman" w:hAnsi="Times New Roman"/>
        </w:rPr>
        <w:t>No transfers between funds shall be assumed in the projection 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293591E1" w14:textId="43DBF894" w:rsidR="003129FE" w:rsidRDefault="003129FE" w:rsidP="00063E8C">
      <w:pPr>
        <w:pStyle w:val="ListParagraph"/>
        <w:numPr>
          <w:ilvl w:val="0"/>
          <w:numId w:val="43"/>
        </w:numPr>
        <w:spacing w:after="220" w:line="240" w:lineRule="auto"/>
        <w:ind w:left="2520"/>
        <w:rPr>
          <w:rFonts w:ascii="Times New Roman" w:eastAsia="Times New Roman" w:hAnsi="Times New Roman"/>
        </w:rPr>
      </w:pPr>
      <w:r w:rsidRPr="007A7C7D">
        <w:rPr>
          <w:rFonts w:ascii="Times New Roman" w:eastAsia="Times New Roman" w:hAnsi="Times New Roman"/>
        </w:rPr>
        <w:t>Except for simple 403(b) VA contracts,</w:t>
      </w:r>
      <w:r>
        <w:rPr>
          <w:rFonts w:ascii="Times New Roman" w:eastAsia="Times New Roman" w:hAnsi="Times New Roman"/>
        </w:rPr>
        <w:t xml:space="preserve"> n</w:t>
      </w:r>
      <w:r w:rsidRPr="00373276">
        <w:rPr>
          <w:rFonts w:ascii="Times New Roman" w:eastAsia="Times New Roman" w:hAnsi="Times New Roman"/>
        </w:rPr>
        <w:t>o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072A1BE4" w14:textId="77777777" w:rsidR="003129FE" w:rsidRPr="007A7C7D" w:rsidRDefault="003129FE" w:rsidP="00E87EFC">
      <w:pPr>
        <w:pStyle w:val="ListParagraph"/>
        <w:numPr>
          <w:ilvl w:val="0"/>
          <w:numId w:val="43"/>
        </w:numPr>
        <w:spacing w:after="220" w:line="240" w:lineRule="auto"/>
        <w:ind w:left="2520"/>
        <w:rPr>
          <w:rFonts w:ascii="Times New Roman" w:eastAsia="Times New Roman" w:hAnsi="Times New Roman"/>
          <w:bCs/>
          <w:color w:val="000000"/>
        </w:rPr>
      </w:pPr>
      <w:r w:rsidRPr="007A7C7D">
        <w:rPr>
          <w:rFonts w:ascii="Times New Roman" w:eastAsia="Times New Roman" w:hAnsi="Times New Roman"/>
          <w:bCs/>
          <w:color w:val="000000"/>
        </w:rPr>
        <w:t xml:space="preserve">For simple 403(b) VA contracts, total deposits to account value in any projected future policy year shall be modeled as a percentage of the total deposits from the immediately preceding policy year. The percentage shall be determined based on the </w:t>
      </w:r>
      <w:r w:rsidRPr="007A7C7D">
        <w:rPr>
          <w:rFonts w:ascii="Times New Roman" w:eastAsia="Times New Roman" w:hAnsi="Times New Roman"/>
          <w:bCs/>
          <w:color w:val="000000"/>
        </w:rPr>
        <w:lastRenderedPageBreak/>
        <w:t>following table:</w:t>
      </w:r>
    </w:p>
    <w:tbl>
      <w:tblPr>
        <w:tblStyle w:val="TableGrid"/>
        <w:tblW w:w="0" w:type="auto"/>
        <w:tblInd w:w="2160" w:type="dxa"/>
        <w:tblLayout w:type="fixed"/>
        <w:tblLook w:val="04A0" w:firstRow="1" w:lastRow="0" w:firstColumn="1" w:lastColumn="0" w:noHBand="0" w:noVBand="1"/>
      </w:tblPr>
      <w:tblGrid>
        <w:gridCol w:w="4675"/>
        <w:gridCol w:w="4675"/>
      </w:tblGrid>
      <w:tr w:rsidR="00063E8C" w:rsidRPr="007A7C7D" w14:paraId="5543D5A1" w14:textId="77777777" w:rsidTr="00063E8C">
        <w:tc>
          <w:tcPr>
            <w:tcW w:w="4675" w:type="dxa"/>
            <w:vAlign w:val="center"/>
          </w:tcPr>
          <w:p w14:paraId="12C5855E" w14:textId="7860552D" w:rsidR="00063E8C" w:rsidRPr="00B70048" w:rsidRDefault="00063E8C" w:rsidP="00063E8C">
            <w:pPr>
              <w:spacing w:after="220"/>
              <w:jc w:val="center"/>
              <w:rPr>
                <w:rFonts w:ascii="Times New Roman" w:hAnsi="Times New Roman"/>
              </w:rPr>
            </w:pPr>
            <w:r w:rsidRPr="00B70048">
              <w:rPr>
                <w:rFonts w:ascii="Times New Roman" w:hAnsi="Times New Roman"/>
              </w:rPr>
              <w:t>Attained Age</w:t>
            </w:r>
          </w:p>
        </w:tc>
        <w:tc>
          <w:tcPr>
            <w:tcW w:w="4675" w:type="dxa"/>
            <w:vAlign w:val="center"/>
          </w:tcPr>
          <w:p w14:paraId="3A832C36" w14:textId="6FF5C14A" w:rsidR="00063E8C" w:rsidRPr="00B70048" w:rsidRDefault="00063E8C" w:rsidP="00063E8C">
            <w:pPr>
              <w:spacing w:after="220"/>
              <w:jc w:val="center"/>
              <w:rPr>
                <w:rFonts w:ascii="Times New Roman" w:hAnsi="Times New Roman"/>
              </w:rPr>
            </w:pPr>
            <w:r w:rsidRPr="007A7C7D">
              <w:rPr>
                <w:rFonts w:ascii="Times New Roman" w:eastAsia="Times New Roman" w:hAnsi="Times New Roman"/>
              </w:rPr>
              <w:t>Percent of prior year’s deposits</w:t>
            </w:r>
          </w:p>
        </w:tc>
      </w:tr>
      <w:tr w:rsidR="00063E8C" w:rsidRPr="007A7C7D" w14:paraId="353E4DCC" w14:textId="77777777" w:rsidTr="00063E8C">
        <w:tc>
          <w:tcPr>
            <w:tcW w:w="4675" w:type="dxa"/>
            <w:vAlign w:val="center"/>
          </w:tcPr>
          <w:p w14:paraId="745D9B0A" w14:textId="0CBBE0C1" w:rsidR="00063E8C" w:rsidRPr="00B70048" w:rsidRDefault="00063E8C" w:rsidP="00063E8C">
            <w:pPr>
              <w:spacing w:after="220"/>
              <w:jc w:val="center"/>
              <w:rPr>
                <w:rFonts w:ascii="Times New Roman" w:hAnsi="Times New Roman"/>
              </w:rPr>
            </w:pPr>
            <w:r w:rsidRPr="007A7C7D">
              <w:rPr>
                <w:rFonts w:ascii="Times New Roman" w:eastAsia="Times New Roman" w:hAnsi="Times New Roman"/>
              </w:rPr>
              <w:t>54 and under</w:t>
            </w:r>
          </w:p>
        </w:tc>
        <w:tc>
          <w:tcPr>
            <w:tcW w:w="4675" w:type="dxa"/>
            <w:vAlign w:val="center"/>
          </w:tcPr>
          <w:p w14:paraId="4611D5A7" w14:textId="1EA9FD58" w:rsidR="00063E8C" w:rsidRPr="00B70048" w:rsidRDefault="00063E8C" w:rsidP="00063E8C">
            <w:pPr>
              <w:spacing w:after="220"/>
              <w:jc w:val="center"/>
              <w:rPr>
                <w:rFonts w:ascii="Times New Roman" w:hAnsi="Times New Roman"/>
              </w:rPr>
            </w:pPr>
            <w:r w:rsidRPr="007A7C7D">
              <w:rPr>
                <w:rFonts w:ascii="Times New Roman" w:eastAsia="Times New Roman" w:hAnsi="Times New Roman"/>
              </w:rPr>
              <w:t>90</w:t>
            </w:r>
            <w:r w:rsidRPr="00B70048">
              <w:rPr>
                <w:rFonts w:ascii="Times New Roman" w:hAnsi="Times New Roman"/>
              </w:rPr>
              <w:t>%</w:t>
            </w:r>
          </w:p>
        </w:tc>
      </w:tr>
      <w:tr w:rsidR="00063E8C" w:rsidRPr="007A7C7D" w14:paraId="6828EA8F" w14:textId="77777777" w:rsidTr="00063E8C">
        <w:tc>
          <w:tcPr>
            <w:tcW w:w="4675" w:type="dxa"/>
            <w:vAlign w:val="center"/>
          </w:tcPr>
          <w:p w14:paraId="3F652117" w14:textId="1A5D0A7F" w:rsidR="00063E8C" w:rsidRPr="00B70048" w:rsidRDefault="00063E8C" w:rsidP="00063E8C">
            <w:pPr>
              <w:spacing w:after="220"/>
              <w:jc w:val="center"/>
              <w:rPr>
                <w:rFonts w:ascii="Times New Roman" w:hAnsi="Times New Roman"/>
              </w:rPr>
            </w:pPr>
            <w:r w:rsidRPr="007A7C7D">
              <w:rPr>
                <w:rFonts w:ascii="Times New Roman" w:eastAsia="Times New Roman" w:hAnsi="Times New Roman"/>
              </w:rPr>
              <w:t>55 through 69</w:t>
            </w:r>
          </w:p>
        </w:tc>
        <w:tc>
          <w:tcPr>
            <w:tcW w:w="4675" w:type="dxa"/>
            <w:vAlign w:val="center"/>
          </w:tcPr>
          <w:p w14:paraId="25B33C9C" w14:textId="7E68798F" w:rsidR="00063E8C" w:rsidRPr="00B70048" w:rsidRDefault="00063E8C" w:rsidP="00063E8C">
            <w:pPr>
              <w:spacing w:after="220"/>
              <w:jc w:val="center"/>
              <w:rPr>
                <w:rFonts w:ascii="Times New Roman" w:hAnsi="Times New Roman"/>
              </w:rPr>
            </w:pPr>
            <w:r w:rsidRPr="007A7C7D">
              <w:rPr>
                <w:rFonts w:ascii="Times New Roman" w:eastAsia="Times New Roman" w:hAnsi="Times New Roman"/>
              </w:rPr>
              <w:t>80</w:t>
            </w:r>
            <w:r w:rsidRPr="00B70048">
              <w:rPr>
                <w:rFonts w:ascii="Times New Roman" w:hAnsi="Times New Roman"/>
              </w:rPr>
              <w:t>%</w:t>
            </w:r>
          </w:p>
        </w:tc>
      </w:tr>
      <w:tr w:rsidR="003129FE" w14:paraId="3D182FD6" w14:textId="77777777" w:rsidTr="004E4618">
        <w:tc>
          <w:tcPr>
            <w:tcW w:w="4675" w:type="dxa"/>
            <w:vAlign w:val="center"/>
          </w:tcPr>
          <w:p w14:paraId="111FA8EA" w14:textId="77777777" w:rsidR="003129FE" w:rsidRPr="007A7C7D" w:rsidRDefault="003129FE" w:rsidP="004E4618">
            <w:pPr>
              <w:spacing w:after="220"/>
              <w:jc w:val="center"/>
              <w:rPr>
                <w:rFonts w:ascii="Times New Roman" w:eastAsia="Times New Roman" w:hAnsi="Times New Roman"/>
              </w:rPr>
            </w:pPr>
            <w:r w:rsidRPr="007A7C7D">
              <w:rPr>
                <w:rFonts w:ascii="Times New Roman" w:eastAsia="Times New Roman" w:hAnsi="Times New Roman"/>
              </w:rPr>
              <w:t>70 and over</w:t>
            </w:r>
          </w:p>
        </w:tc>
        <w:tc>
          <w:tcPr>
            <w:tcW w:w="4675" w:type="dxa"/>
            <w:vAlign w:val="center"/>
          </w:tcPr>
          <w:p w14:paraId="069FD76D" w14:textId="77777777" w:rsidR="003129FE" w:rsidRDefault="003129FE" w:rsidP="004E4618">
            <w:pPr>
              <w:spacing w:after="220"/>
              <w:jc w:val="center"/>
              <w:rPr>
                <w:rFonts w:ascii="Times New Roman" w:eastAsia="Times New Roman" w:hAnsi="Times New Roman"/>
              </w:rPr>
            </w:pPr>
            <w:r w:rsidRPr="007A7C7D">
              <w:rPr>
                <w:rFonts w:ascii="Times New Roman" w:eastAsia="Times New Roman" w:hAnsi="Times New Roman"/>
              </w:rPr>
              <w:t>0%</w:t>
            </w:r>
          </w:p>
        </w:tc>
      </w:tr>
    </w:tbl>
    <w:p w14:paraId="63F00A45" w14:textId="77777777"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p>
    <w:p w14:paraId="0AC6D7A1" w14:textId="24AC0118" w:rsidR="003129FE" w:rsidRPr="00E544F5"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9</w:t>
      </w:r>
      <w:r w:rsidRPr="00E544F5">
        <w:rPr>
          <w:rFonts w:ascii="Times New Roman" w:eastAsia="Times New Roman" w:hAnsi="Times New Roman"/>
        </w:rPr>
        <w:t>.</w:t>
      </w:r>
      <w:r w:rsidRPr="00E544F5">
        <w:rPr>
          <w:rFonts w:ascii="Times New Roman" w:eastAsia="Times New Roman" w:hAnsi="Times New Roman"/>
        </w:rPr>
        <w:tab/>
        <w:t>Mortality</w:t>
      </w:r>
    </w:p>
    <w:p w14:paraId="1C117C25" w14:textId="03F9954C" w:rsidR="003129FE" w:rsidRDefault="003129FE" w:rsidP="004E4618">
      <w:pPr>
        <w:spacing w:after="220" w:line="240" w:lineRule="auto"/>
        <w:ind w:left="2160"/>
        <w:rPr>
          <w:rFonts w:ascii="Times New Roman" w:eastAsia="Times New Roman" w:hAnsi="Times New Roman"/>
        </w:rPr>
      </w:pPr>
      <w:r w:rsidRPr="008D657A">
        <w:rPr>
          <w:rFonts w:ascii="Times New Roman" w:eastAsia="Times New Roman" w:hAnsi="Times New Roman"/>
        </w:rPr>
        <w:t xml:space="preserve">The mortality rate for a </w:t>
      </w:r>
      <w:r>
        <w:rPr>
          <w:rFonts w:ascii="Times New Roman" w:eastAsia="Times New Roman" w:hAnsi="Times New Roman"/>
        </w:rPr>
        <w:t>contract holder</w:t>
      </w:r>
      <w:r w:rsidRPr="008D657A">
        <w:rPr>
          <w:rFonts w:ascii="Times New Roman" w:eastAsia="Times New Roman" w:hAnsi="Times New Roman"/>
        </w:rPr>
        <w:t xml:space="preserve"> with age x in year (2012 + n) shall be calculated using the following formula, where </w:t>
      </w:r>
      <w:proofErr w:type="spellStart"/>
      <w:r w:rsidRPr="008D657A">
        <w:rPr>
          <w:rFonts w:ascii="Times New Roman" w:eastAsia="Times New Roman" w:hAnsi="Times New Roman"/>
        </w:rPr>
        <w:t>q</w:t>
      </w:r>
      <w:r w:rsidRPr="008D657A">
        <w:rPr>
          <w:rFonts w:ascii="Times New Roman" w:eastAsia="Times New Roman" w:hAnsi="Times New Roman"/>
          <w:vertAlign w:val="subscript"/>
        </w:rPr>
        <w:t>x</w:t>
      </w:r>
      <w:proofErr w:type="spellEnd"/>
      <w:r w:rsidRPr="008D657A">
        <w:rPr>
          <w:rFonts w:ascii="Times New Roman" w:eastAsia="Times New Roman" w:hAnsi="Times New Roman"/>
        </w:rPr>
        <w:t xml:space="preserve"> denotes mortality from the 2012 IAM Basic</w:t>
      </w:r>
      <w:r>
        <w:rPr>
          <w:rFonts w:ascii="Times New Roman" w:eastAsia="Times New Roman" w:hAnsi="Times New Roman"/>
        </w:rPr>
        <w:t xml:space="preserve"> </w:t>
      </w:r>
      <w:r w:rsidRPr="00E544F5">
        <w:rPr>
          <w:rFonts w:ascii="Times New Roman" w:eastAsia="Times New Roman" w:hAnsi="Times New Roman"/>
        </w:rPr>
        <w:t>Mortality</w:t>
      </w:r>
      <w:r>
        <w:rPr>
          <w:rFonts w:ascii="Times New Roman" w:eastAsia="Times New Roman" w:hAnsi="Times New Roman"/>
        </w:rPr>
        <w:t xml:space="preserve"> </w:t>
      </w:r>
      <w:r w:rsidRPr="008D657A">
        <w:rPr>
          <w:rFonts w:ascii="Times New Roman" w:eastAsia="Times New Roman" w:hAnsi="Times New Roman"/>
        </w:rPr>
        <w:t>Table and G2</w:t>
      </w:r>
      <w:r w:rsidRPr="00F3281E">
        <w:rPr>
          <w:rFonts w:ascii="Times New Roman" w:eastAsia="Times New Roman" w:hAnsi="Times New Roman"/>
          <w:vertAlign w:val="subscript"/>
        </w:rPr>
        <w:t>x</w:t>
      </w:r>
      <w:r w:rsidRPr="008D657A">
        <w:rPr>
          <w:rFonts w:ascii="Times New Roman" w:eastAsia="Times New Roman" w:hAnsi="Times New Roman"/>
        </w:rPr>
        <w:t xml:space="preserve"> denotes mortality improvement from Projection Scale G2:</w:t>
      </w:r>
    </w:p>
    <w:p w14:paraId="65D456E7" w14:textId="77777777" w:rsidR="003129FE" w:rsidRDefault="00960FE5" w:rsidP="004E4618">
      <w:pPr>
        <w:spacing w:after="22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1E16D65A" w14:textId="77777777" w:rsidR="003129FE" w:rsidRDefault="003129FE" w:rsidP="004E4618">
      <w:pPr>
        <w:spacing w:after="220" w:line="240" w:lineRule="auto"/>
        <w:ind w:left="2160"/>
        <w:rPr>
          <w:rFonts w:ascii="Times New Roman" w:eastAsia="Times New Roman" w:hAnsi="Times New Roman"/>
        </w:rPr>
      </w:pPr>
      <w:r w:rsidRPr="00E544F5">
        <w:rPr>
          <w:rFonts w:ascii="Times New Roman" w:eastAsia="Times New Roman" w:hAnsi="Times New Roman"/>
        </w:rPr>
        <w:t xml:space="preserve"> </w:t>
      </w:r>
    </w:p>
    <w:p w14:paraId="6D2A0CE4" w14:textId="77777777" w:rsidR="003129FE" w:rsidRPr="00E544F5"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10</w:t>
      </w:r>
      <w:r w:rsidRPr="00E544F5">
        <w:rPr>
          <w:rFonts w:ascii="Times New Roman" w:eastAsia="Times New Roman" w:hAnsi="Times New Roman"/>
        </w:rPr>
        <w:t>.</w:t>
      </w:r>
      <w:r w:rsidRPr="00E544F5">
        <w:rPr>
          <w:rFonts w:ascii="Times New Roman" w:eastAsia="Times New Roman" w:hAnsi="Times New Roman"/>
        </w:rPr>
        <w:tab/>
      </w:r>
      <w:r w:rsidRPr="009C2D71">
        <w:rPr>
          <w:rFonts w:ascii="Times New Roman" w:eastAsia="Times New Roman" w:hAnsi="Times New Roman"/>
        </w:rPr>
        <w:t>Account Value Depletions</w:t>
      </w:r>
    </w:p>
    <w:p w14:paraId="013D6AA3" w14:textId="77777777" w:rsidR="003129FE" w:rsidRPr="009C2D71" w:rsidRDefault="003129FE" w:rsidP="004E4618">
      <w:pPr>
        <w:spacing w:after="220" w:line="240" w:lineRule="auto"/>
        <w:ind w:left="2160"/>
        <w:rPr>
          <w:rFonts w:ascii="Times New Roman" w:eastAsia="Times New Roman" w:hAnsi="Times New Roman"/>
        </w:rPr>
      </w:pPr>
      <w:r w:rsidRPr="009C2D71">
        <w:rPr>
          <w:rFonts w:ascii="Times New Roman" w:eastAsia="Times New Roman" w:hAnsi="Times New Roman"/>
        </w:rPr>
        <w:t>The following assumptions shall be used when a contract’s Account Value reaches zero:</w:t>
      </w:r>
    </w:p>
    <w:p w14:paraId="2C30A098"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a</w:t>
      </w:r>
      <w:r w:rsidRPr="009C2D71">
        <w:rPr>
          <w:rFonts w:ascii="Times New Roman" w:eastAsia="Times New Roman" w:hAnsi="Times New Roman"/>
        </w:rPr>
        <w:t>) If the contract has a GMWB, the contract shall take partial withdrawals that equal in amount</w:t>
      </w:r>
      <w:r>
        <w:rPr>
          <w:rFonts w:ascii="Times New Roman" w:eastAsia="Times New Roman" w:hAnsi="Times New Roman"/>
        </w:rPr>
        <w:t xml:space="preserve"> </w:t>
      </w:r>
      <w:r w:rsidRPr="00E544F5">
        <w:rPr>
          <w:rFonts w:ascii="Times New Roman" w:eastAsia="Times New Roman" w:hAnsi="Times New Roman"/>
        </w:rPr>
        <w:t xml:space="preserve">each year to </w:t>
      </w:r>
      <w:r w:rsidRPr="009C2D71">
        <w:rPr>
          <w:rFonts w:ascii="Times New Roman" w:eastAsia="Times New Roman" w:hAnsi="Times New Roman"/>
        </w:rPr>
        <w:t>the guaranteed maximum annual withdrawal amount.</w:t>
      </w:r>
    </w:p>
    <w:p w14:paraId="608DB598"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b</w:t>
      </w:r>
      <w:r w:rsidRPr="009C2D71">
        <w:rPr>
          <w:rFonts w:ascii="Times New Roman" w:eastAsia="Times New Roman" w:hAnsi="Times New Roman"/>
        </w:rPr>
        <w:t xml:space="preserve">) If the contract has a GMIB, the contract shall annuitize immediately. If the GMIB contractually terminates upon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 depletion, such termination provision is assumed to be voided in order to approximate the contract</w:t>
      </w:r>
      <w:r>
        <w:rPr>
          <w:rFonts w:ascii="Times New Roman" w:eastAsia="Times New Roman" w:hAnsi="Times New Roman"/>
        </w:rPr>
        <w:t xml:space="preserve"> </w:t>
      </w:r>
      <w:r w:rsidRPr="009C2D71">
        <w:rPr>
          <w:rFonts w:ascii="Times New Roman" w:eastAsia="Times New Roman" w:hAnsi="Times New Roman"/>
        </w:rPr>
        <w:t xml:space="preserve">holder’s electing to annuitize immediately before the depletion of the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w:t>
      </w:r>
    </w:p>
    <w:p w14:paraId="377C6D69"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c</w:t>
      </w:r>
      <w:r w:rsidRPr="003D2590">
        <w:rPr>
          <w:rFonts w:ascii="Times New Roman" w:eastAsia="Times New Roman" w:hAnsi="Times New Roman"/>
        </w:rPr>
        <w:t>) If</w:t>
      </w:r>
      <w:r w:rsidRPr="003D2590">
        <w:t xml:space="preserve"> </w:t>
      </w:r>
      <w:r w:rsidRPr="003D2590">
        <w:rPr>
          <w:rFonts w:ascii="Times New Roman" w:eastAsia="Times New Roman" w:hAnsi="Times New Roman"/>
        </w:rPr>
        <w:t xml:space="preserve">the contract has any other guaranteed benefits, including a GMDB, the contract shall remain in-force. If the guaranteed benefits contractually terminate upon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depletion, such termination provisions are assumed to be voided in order to approximate the contract</w:t>
      </w:r>
      <w:r>
        <w:rPr>
          <w:rFonts w:ascii="Times New Roman" w:eastAsia="Times New Roman" w:hAnsi="Times New Roman"/>
        </w:rPr>
        <w:t xml:space="preserve"> </w:t>
      </w:r>
      <w:r w:rsidRPr="003D2590">
        <w:rPr>
          <w:rFonts w:ascii="Times New Roman" w:eastAsia="Times New Roman" w:hAnsi="Times New Roman"/>
        </w:rPr>
        <w:t>holder’s retaining adequate Account Value to maintain the guaranteed benefits in-force. At the option</w:t>
      </w:r>
      <w:r>
        <w:rPr>
          <w:rFonts w:ascii="Times New Roman" w:eastAsia="Times New Roman" w:hAnsi="Times New Roman"/>
        </w:rPr>
        <w:t xml:space="preserve"> </w:t>
      </w:r>
      <w:r w:rsidRPr="00E544F5">
        <w:rPr>
          <w:rFonts w:ascii="Times New Roman" w:eastAsia="Times New Roman" w:hAnsi="Times New Roman"/>
        </w:rPr>
        <w:t xml:space="preserve">of the </w:t>
      </w:r>
      <w:r>
        <w:rPr>
          <w:rFonts w:ascii="Times New Roman" w:eastAsia="Times New Roman" w:hAnsi="Times New Roman"/>
        </w:rPr>
        <w:t>company</w:t>
      </w:r>
      <w:r w:rsidRPr="003D2590">
        <w:rPr>
          <w:rFonts w:ascii="Times New Roman" w:eastAsia="Times New Roman" w:hAnsi="Times New Roman"/>
        </w:rPr>
        <w:t xml:space="preserve">, fees associated with the contract and guaranteed benefits may continue to be charged and modeled as collected even if the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has reached zero.</w:t>
      </w:r>
    </w:p>
    <w:p w14:paraId="3B7E2791" w14:textId="77777777" w:rsidR="003129FE" w:rsidRDefault="003129FE" w:rsidP="004E4618">
      <w:pPr>
        <w:spacing w:after="220" w:line="240" w:lineRule="auto"/>
        <w:ind w:left="2160" w:hanging="720"/>
        <w:rPr>
          <w:rFonts w:ascii="Times New Roman" w:eastAsia="Times New Roman" w:hAnsi="Times New Roman"/>
        </w:rPr>
      </w:pPr>
      <w:r>
        <w:rPr>
          <w:rFonts w:ascii="Times New Roman" w:eastAsia="Times New Roman" w:hAnsi="Times New Roman"/>
        </w:rPr>
        <w:t>11</w:t>
      </w:r>
      <w:r w:rsidRPr="00E544F5">
        <w:rPr>
          <w:rFonts w:ascii="Times New Roman" w:eastAsia="Times New Roman" w:hAnsi="Times New Roman"/>
        </w:rPr>
        <w:t>.</w:t>
      </w:r>
      <w:r w:rsidRPr="00E544F5">
        <w:rPr>
          <w:rFonts w:ascii="Times New Roman" w:eastAsia="Times New Roman" w:hAnsi="Times New Roman"/>
        </w:rPr>
        <w:tab/>
      </w:r>
      <w:r w:rsidRPr="003D2590">
        <w:rPr>
          <w:rFonts w:ascii="Times New Roman" w:eastAsia="Times New Roman" w:hAnsi="Times New Roman"/>
        </w:rPr>
        <w:t xml:space="preserve">Other Voluntary Contract Terminations. </w:t>
      </w:r>
    </w:p>
    <w:p w14:paraId="71C0B805" w14:textId="77777777" w:rsidR="003129FE" w:rsidRPr="003D2590" w:rsidRDefault="003129FE" w:rsidP="004E4618">
      <w:pPr>
        <w:spacing w:after="220" w:line="240" w:lineRule="auto"/>
        <w:ind w:left="2160"/>
        <w:rPr>
          <w:rFonts w:ascii="Times New Roman" w:eastAsia="Times New Roman" w:hAnsi="Times New Roman"/>
        </w:rPr>
      </w:pPr>
      <w:r w:rsidRPr="003D2590">
        <w:rPr>
          <w:rFonts w:ascii="Times New Roman" w:eastAsia="Times New Roman" w:hAnsi="Times New Roman"/>
        </w:rPr>
        <w:t>For contracts that have other elective provisions that allow a contract</w:t>
      </w:r>
      <w:r>
        <w:rPr>
          <w:rFonts w:ascii="Times New Roman" w:eastAsia="Times New Roman" w:hAnsi="Times New Roman"/>
        </w:rPr>
        <w:t xml:space="preserve"> </w:t>
      </w:r>
      <w:r w:rsidRPr="003D2590">
        <w:rPr>
          <w:rFonts w:ascii="Times New Roman" w:eastAsia="Times New Roman" w:hAnsi="Times New Roman"/>
        </w:rPr>
        <w:t>holder to terminate the contract voluntarily, the termination rate shall be calculated based on the Standard Table for Full Surrenders as detailed above in Table I with the following adjustments:</w:t>
      </w:r>
    </w:p>
    <w:p w14:paraId="09608990" w14:textId="77777777" w:rsidR="003129FE" w:rsidRPr="003D2590"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a</w:t>
      </w:r>
      <w:r w:rsidRPr="003D2590">
        <w:rPr>
          <w:rFonts w:ascii="Times New Roman" w:eastAsia="Times New Roman" w:hAnsi="Times New Roman"/>
        </w:rPr>
        <w:t xml:space="preserve">) If the </w:t>
      </w:r>
      <w:r>
        <w:rPr>
          <w:rFonts w:ascii="Times New Roman" w:eastAsia="Times New Roman" w:hAnsi="Times New Roman"/>
        </w:rPr>
        <w:t>contract holder</w:t>
      </w:r>
      <w:r w:rsidRPr="003D2590">
        <w:rPr>
          <w:rFonts w:ascii="Times New Roman" w:eastAsia="Times New Roman" w:hAnsi="Times New Roman"/>
        </w:rPr>
        <w:t xml:space="preserve"> is not yet eligible to terminate the contract under the elective provisions, the termination rate shall be zero.</w:t>
      </w:r>
    </w:p>
    <w:p w14:paraId="578A0299"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b</w:t>
      </w:r>
      <w:r w:rsidRPr="003D2590">
        <w:rPr>
          <w:rFonts w:ascii="Times New Roman" w:eastAsia="Times New Roman" w:hAnsi="Times New Roman"/>
        </w:rPr>
        <w:t xml:space="preserve">) After the </w:t>
      </w:r>
      <w:r>
        <w:rPr>
          <w:rFonts w:ascii="Times New Roman" w:eastAsia="Times New Roman" w:hAnsi="Times New Roman"/>
        </w:rPr>
        <w:t>contract holder</w:t>
      </w:r>
      <w:r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I.</w:t>
      </w:r>
    </w:p>
    <w:p w14:paraId="649284A4" w14:textId="77777777" w:rsidR="003129FE" w:rsidRPr="00C07A86"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lastRenderedPageBreak/>
        <w:t>c</w:t>
      </w:r>
      <w:r w:rsidRPr="00C07A86">
        <w:rPr>
          <w:rFonts w:ascii="Times New Roman" w:eastAsia="Times New Roman" w:hAnsi="Times New Roman"/>
        </w:rPr>
        <w:t xml:space="preserve">) In using Table I, the ITM of a contract’s guaranteed benefit shall be calculated based on the ratio of the guaranteed benefit’s GAPV to the termination value of the contract. The termination value of the contract shall be calculated as the GAPV of the payment stream that the </w:t>
      </w:r>
      <w:r>
        <w:rPr>
          <w:rFonts w:ascii="Times New Roman" w:eastAsia="Times New Roman" w:hAnsi="Times New Roman"/>
        </w:rPr>
        <w:t>contract holder</w:t>
      </w:r>
      <w:r w:rsidRPr="00C07A86">
        <w:rPr>
          <w:rFonts w:ascii="Times New Roman" w:eastAsia="Times New Roman" w:hAnsi="Times New Roman"/>
        </w:rPr>
        <w:t xml:space="preserve"> is entitled to receive upon termination of the contract; if the </w:t>
      </w:r>
      <w:r>
        <w:rPr>
          <w:rFonts w:ascii="Times New Roman" w:eastAsia="Times New Roman" w:hAnsi="Times New Roman"/>
        </w:rPr>
        <w:t>contract holder</w:t>
      </w:r>
      <w:r w:rsidRPr="00C07A86">
        <w:rPr>
          <w:rFonts w:ascii="Times New Roman" w:eastAsia="Times New Roman" w:hAnsi="Times New Roman"/>
        </w:rPr>
        <w:t xml:space="preserve"> has multiple options for the payment stream, the termination value shall be the highest GAPV of these options.</w:t>
      </w:r>
    </w:p>
    <w:p w14:paraId="63F77858" w14:textId="77777777" w:rsidR="003129FE" w:rsidRDefault="003129FE" w:rsidP="004E4618">
      <w:pPr>
        <w:spacing w:after="220" w:line="240" w:lineRule="auto"/>
        <w:ind w:left="2160"/>
        <w:rPr>
          <w:rFonts w:ascii="Times New Roman" w:eastAsia="Times New Roman" w:hAnsi="Times New Roman"/>
        </w:rPr>
      </w:pPr>
      <w:r>
        <w:rPr>
          <w:rFonts w:ascii="Times New Roman" w:eastAsia="Times New Roman" w:hAnsi="Times New Roman"/>
        </w:rPr>
        <w:t>d</w:t>
      </w:r>
      <w:r w:rsidRPr="00C07A86">
        <w:rPr>
          <w:rFonts w:ascii="Times New Roman" w:eastAsia="Times New Roman" w:hAnsi="Times New Roman"/>
        </w:rPr>
        <w:t>) For GMWB or hybrid GMIB contracts that have taken a withdrawal not in excess of the GMWB’s guaranteed maximum annual withdrawal amount or the GMIB’s dollar-for-dollar maximum withdrawal amount as of the valuation date or in a prior</w:t>
      </w:r>
      <w:r>
        <w:rPr>
          <w:rFonts w:ascii="Times New Roman" w:eastAsia="Times New Roman" w:hAnsi="Times New Roman"/>
        </w:rPr>
        <w:t xml:space="preserve"> </w:t>
      </w:r>
      <w:r w:rsidRPr="00E544F5">
        <w:rPr>
          <w:rFonts w:ascii="Times New Roman" w:eastAsia="Times New Roman" w:hAnsi="Times New Roman"/>
        </w:rPr>
        <w:t>projection</w:t>
      </w:r>
      <w:r>
        <w:rPr>
          <w:rFonts w:ascii="Times New Roman" w:eastAsia="Times New Roman" w:hAnsi="Times New Roman"/>
        </w:rPr>
        <w:t xml:space="preserve"> </w:t>
      </w:r>
      <w:r w:rsidRPr="00C07A86">
        <w:rPr>
          <w:rFonts w:ascii="Times New Roman" w:eastAsia="Times New Roman" w:hAnsi="Times New Roman"/>
        </w:rPr>
        <w:t>interval, the termination rate obtained from Table I shall be additionally multiplied by 60%.</w:t>
      </w:r>
    </w:p>
    <w:p w14:paraId="27D0AFF9" w14:textId="77777777" w:rsidR="003129FE" w:rsidRDefault="003129FE" w:rsidP="004E4618">
      <w:pPr>
        <w:spacing w:after="220" w:line="240" w:lineRule="auto"/>
        <w:ind w:left="2160"/>
        <w:rPr>
          <w:rFonts w:ascii="Times New Roman" w:eastAsia="Times New Roman" w:hAnsi="Times New Roman"/>
        </w:rPr>
      </w:pPr>
      <w:r w:rsidRPr="00C07A86">
        <w:rPr>
          <w:rFonts w:ascii="Times New Roman" w:eastAsia="Times New Roman" w:hAnsi="Times New Roman"/>
        </w:rPr>
        <w:t>For calculating the ITM of a hybrid GMIB, the guaranteed benefit’s GAPV shall be the larger of the Annuitization GAPV or the Withdrawal GAPV.</w:t>
      </w:r>
    </w:p>
    <w:p w14:paraId="1C9E52F8" w14:textId="525446D6" w:rsidR="003129FE" w:rsidRPr="00E544F5" w:rsidRDefault="003129FE" w:rsidP="004E4618">
      <w:pPr>
        <w:spacing w:after="220" w:line="240" w:lineRule="auto"/>
        <w:ind w:left="1440"/>
        <w:rPr>
          <w:rFonts w:ascii="Times New Roman" w:eastAsia="Times New Roman" w:hAnsi="Times New Roman"/>
        </w:rPr>
      </w:pPr>
    </w:p>
    <w:p w14:paraId="66364536" w14:textId="508A3F17" w:rsidR="003129FE" w:rsidRPr="00325F0B" w:rsidRDefault="003129FE" w:rsidP="004E4618">
      <w:pPr>
        <w:spacing w:after="220" w:line="240" w:lineRule="auto"/>
        <w:ind w:left="2160"/>
        <w:rPr>
          <w:rFonts w:ascii="Times New Roman" w:eastAsia="Times New Roman" w:hAnsi="Times New Roman"/>
        </w:rPr>
      </w:pPr>
    </w:p>
    <w:p w14:paraId="4B0A02FB" w14:textId="77777777" w:rsidR="003129FE" w:rsidRPr="00325F0B" w:rsidRDefault="003129FE" w:rsidP="00CC2E32">
      <w:pPr>
        <w:pStyle w:val="ListParagraph"/>
        <w:spacing w:after="220" w:line="240" w:lineRule="auto"/>
        <w:ind w:left="2160"/>
        <w:contextualSpacing w:val="0"/>
        <w:rPr>
          <w:rFonts w:ascii="Times New Roman" w:eastAsia="Times New Roman" w:hAnsi="Times New Roman"/>
        </w:rPr>
      </w:pPr>
      <w:r w:rsidRPr="00325F0B">
        <w:rPr>
          <w:rFonts w:ascii="Times New Roman" w:eastAsia="Times New Roman" w:hAnsi="Times New Roman"/>
        </w:rPr>
        <w:tab/>
      </w:r>
    </w:p>
    <w:p w14:paraId="5A213345" w14:textId="77777777" w:rsidR="003129FE" w:rsidRPr="001509AF" w:rsidRDefault="003129FE" w:rsidP="004E4618">
      <w:pPr>
        <w:pStyle w:val="Heading3"/>
        <w:spacing w:after="220"/>
        <w:jc w:val="left"/>
      </w:pPr>
    </w:p>
    <w:p w14:paraId="7B75C3ED" w14:textId="532EC4BE" w:rsidR="003129FE" w:rsidRDefault="003129FE">
      <w:pPr>
        <w:rPr>
          <w:rFonts w:ascii="Times New Roman" w:eastAsia="Times New Roman" w:hAnsi="Times New Roman"/>
        </w:rPr>
      </w:pPr>
      <w:r>
        <w:rPr>
          <w:rFonts w:ascii="Times New Roman" w:eastAsia="Times New Roman" w:hAnsi="Times New Roman"/>
        </w:rPr>
        <w:br w:type="page"/>
      </w:r>
    </w:p>
    <w:p w14:paraId="20326468" w14:textId="77777777" w:rsidR="003129FE" w:rsidRPr="00CD6EBB" w:rsidRDefault="003129FE" w:rsidP="004E4618">
      <w:pPr>
        <w:pStyle w:val="Heading2"/>
        <w:spacing w:after="280"/>
        <w:jc w:val="center"/>
        <w:rPr>
          <w:rFonts w:ascii="Times New Roman" w:hAnsi="Times New Roman"/>
          <w:sz w:val="22"/>
          <w:szCs w:val="22"/>
          <w:u w:val="none"/>
        </w:rPr>
      </w:pPr>
      <w:bookmarkStart w:id="17" w:name="_VM-21:_Requirements_for"/>
      <w:bookmarkEnd w:id="17"/>
      <w:r w:rsidRPr="00CD6EBB">
        <w:rPr>
          <w:rFonts w:ascii="Times New Roman" w:hAnsi="Times New Roman"/>
          <w:sz w:val="22"/>
          <w:szCs w:val="22"/>
          <w:u w:val="none"/>
        </w:rPr>
        <w:lastRenderedPageBreak/>
        <w:t>VM-21: Requirements for Principle-Based Reserves for Variable Annuities</w:t>
      </w:r>
    </w:p>
    <w:p w14:paraId="4842B130" w14:textId="77777777" w:rsidR="003129FE" w:rsidRDefault="003129FE" w:rsidP="00C1202E">
      <w:pPr>
        <w:pStyle w:val="Heading3"/>
        <w:rPr>
          <w:sz w:val="22"/>
          <w:szCs w:val="22"/>
        </w:rPr>
      </w:pPr>
    </w:p>
    <w:p w14:paraId="41945C3F" w14:textId="62A33EDA" w:rsidR="003129FE" w:rsidRPr="00325F0B" w:rsidRDefault="003129FE" w:rsidP="0021502F">
      <w:pPr>
        <w:pStyle w:val="Heading3"/>
        <w:spacing w:after="220"/>
        <w:rPr>
          <w:sz w:val="22"/>
          <w:szCs w:val="22"/>
        </w:rPr>
      </w:pPr>
      <w:r>
        <w:rPr>
          <w:sz w:val="22"/>
          <w:szCs w:val="22"/>
        </w:rPr>
        <w:t xml:space="preserve">Section 7: </w:t>
      </w:r>
      <w:r w:rsidRPr="00325F0B">
        <w:rPr>
          <w:sz w:val="22"/>
          <w:szCs w:val="22"/>
        </w:rPr>
        <w:t>Alternative Methodology</w:t>
      </w:r>
    </w:p>
    <w:p w14:paraId="73A3C69C" w14:textId="77777777" w:rsidR="003129FE" w:rsidRPr="00325F0B" w:rsidRDefault="003129FE"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6D0733D3" w14:textId="77777777"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485C07E2" w14:textId="0F5AF343" w:rsidR="003129FE" w:rsidRPr="00325F0B" w:rsidRDefault="003129FE" w:rsidP="0021502F">
      <w:pPr>
        <w:spacing w:after="220" w:line="240" w:lineRule="auto"/>
        <w:ind w:left="1440"/>
        <w:jc w:val="both"/>
        <w:rPr>
          <w:rFonts w:ascii="Times New Roman" w:eastAsia="Times New Roman" w:hAnsi="Times New Roman"/>
        </w:rPr>
      </w:pPr>
      <w:r>
        <w:rPr>
          <w:rFonts w:ascii="Times New Roman" w:eastAsia="Times New Roman" w:hAnsi="Times New Roman"/>
        </w:rPr>
        <w:t xml:space="preserve">a. </w:t>
      </w:r>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r>
        <w:rPr>
          <w:rFonts w:ascii="Times New Roman" w:eastAsia="Times New Roman" w:hAnsi="Times New Roman"/>
        </w:rPr>
        <w:t>reserve</w:t>
      </w:r>
      <w:r w:rsidRPr="00325F0B">
        <w:rPr>
          <w:rFonts w:ascii="Times New Roman" w:eastAsia="Times New Roman" w:hAnsi="Times New Roman"/>
        </w:rPr>
        <w:t xml:space="preserve"> may be determined by using the method outlined below rather than by using the approach described in Section </w:t>
      </w:r>
      <w:r>
        <w:rPr>
          <w:rFonts w:ascii="Times New Roman" w:eastAsia="Times New Roman" w:hAnsi="Times New Roman"/>
        </w:rPr>
        <w:t>3.C and Section 3</w:t>
      </w:r>
      <w:r w:rsidRPr="00325F0B">
        <w:rPr>
          <w:rFonts w:ascii="Times New Roman" w:eastAsia="Times New Roman" w:hAnsi="Times New Roman"/>
        </w:rPr>
        <w:t xml:space="preserve">.D (i.e., based on projections), provided the approach described in Section </w:t>
      </w:r>
      <w:r>
        <w:rPr>
          <w:rFonts w:ascii="Times New Roman" w:eastAsia="Times New Roman" w:hAnsi="Times New Roman"/>
        </w:rPr>
        <w:t>3</w:t>
      </w:r>
      <w:r w:rsidRPr="00325F0B">
        <w:rPr>
          <w:rFonts w:ascii="Times New Roman" w:eastAsia="Times New Roman" w:hAnsi="Times New Roman"/>
        </w:rPr>
        <w:t xml:space="preserve">.D has not been used in prior valuations or else approval has been obtained from the </w:t>
      </w:r>
      <w:r>
        <w:rPr>
          <w:rFonts w:ascii="Times New Roman" w:eastAsia="Times New Roman" w:hAnsi="Times New Roman"/>
        </w:rPr>
        <w:t>d</w:t>
      </w:r>
      <w:r w:rsidRPr="00325F0B">
        <w:rPr>
          <w:rFonts w:ascii="Times New Roman" w:eastAsia="Times New Roman" w:hAnsi="Times New Roman"/>
        </w:rPr>
        <w:t xml:space="preserve">omiciliary </w:t>
      </w:r>
      <w:r>
        <w:rPr>
          <w:rFonts w:ascii="Times New Roman" w:eastAsia="Times New Roman" w:hAnsi="Times New Roman"/>
        </w:rPr>
        <w:t>c</w:t>
      </w:r>
      <w:r w:rsidRPr="00325F0B">
        <w:rPr>
          <w:rFonts w:ascii="Times New Roman" w:eastAsia="Times New Roman" w:hAnsi="Times New Roman"/>
        </w:rPr>
        <w:t>ommissioner.</w:t>
      </w:r>
    </w:p>
    <w:p w14:paraId="6583606D" w14:textId="7F423E0B" w:rsidR="003129FE" w:rsidRPr="00325F0B" w:rsidRDefault="003129FE" w:rsidP="00063E8C">
      <w:pPr>
        <w:spacing w:after="220" w:line="240" w:lineRule="auto"/>
        <w:ind w:left="1440"/>
        <w:jc w:val="both"/>
        <w:rPr>
          <w:rFonts w:ascii="Times New Roman" w:eastAsia="Times New Roman" w:hAnsi="Times New Roman"/>
        </w:rPr>
      </w:pPr>
      <w:r>
        <w:rPr>
          <w:rFonts w:ascii="Times New Roman" w:eastAsia="Times New Roman" w:hAnsi="Times New Roman"/>
        </w:rPr>
        <w:t xml:space="preserve">b. </w:t>
      </w:r>
      <w:r w:rsidRPr="00325F0B">
        <w:rPr>
          <w:rFonts w:ascii="Times New Roman" w:eastAsia="Times New Roman" w:hAnsi="Times New Roman"/>
        </w:rPr>
        <w:t xml:space="preserve">The </w:t>
      </w:r>
      <w:r>
        <w:rPr>
          <w:rFonts w:ascii="Times New Roman" w:eastAsia="Times New Roman" w:hAnsi="Times New Roman"/>
        </w:rPr>
        <w:t>reserve</w:t>
      </w:r>
      <w:r w:rsidRPr="00325F0B">
        <w:rPr>
          <w:rFonts w:ascii="Times New Roman" w:eastAsia="Times New Roman" w:hAnsi="Times New Roman"/>
        </w:rPr>
        <w:t xml:space="preserve"> determined using the Alternative Methodology for a group of contracts with GMDBs shall be determined as the sum of amounts obtained by applying factors to each contract in</w:t>
      </w:r>
      <w:r>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Pr>
          <w:rFonts w:ascii="Times New Roman" w:eastAsia="Times New Roman" w:hAnsi="Times New Roman"/>
        </w:rPr>
        <w:t>c</w:t>
      </w:r>
      <w:r w:rsidRPr="00325F0B">
        <w:rPr>
          <w:rFonts w:ascii="Times New Roman" w:eastAsia="Times New Roman" w:hAnsi="Times New Roman"/>
        </w:rPr>
        <w:t xml:space="preserve">ash </w:t>
      </w:r>
      <w:r>
        <w:rPr>
          <w:rFonts w:ascii="Times New Roman" w:eastAsia="Times New Roman" w:hAnsi="Times New Roman"/>
        </w:rPr>
        <w:t>s</w:t>
      </w:r>
      <w:r w:rsidRPr="00325F0B">
        <w:rPr>
          <w:rFonts w:ascii="Times New Roman" w:eastAsia="Times New Roman" w:hAnsi="Times New Roman"/>
        </w:rPr>
        <w:t xml:space="preserve">urrender </w:t>
      </w:r>
      <w:r>
        <w:rPr>
          <w:rFonts w:ascii="Times New Roman" w:eastAsia="Times New Roman" w:hAnsi="Times New Roman"/>
        </w:rPr>
        <w:t>v</w:t>
      </w:r>
      <w:r w:rsidRPr="00325F0B">
        <w:rPr>
          <w:rFonts w:ascii="Times New Roman" w:eastAsia="Times New Roman" w:hAnsi="Times New Roman"/>
        </w:rPr>
        <w:t xml:space="preserve">alue. </w:t>
      </w:r>
      <w:r w:rsidRPr="00C52A54">
        <w:rPr>
          <w:rFonts w:ascii="Times New Roman" w:eastAsia="Times New Roman" w:hAnsi="Times New Roman"/>
          <w:bCs/>
        </w:rPr>
        <w:t>c.</w:t>
      </w:r>
      <w:r w:rsidRPr="00063E8C">
        <w:rPr>
          <w:rFonts w:ascii="Times New Roman" w:hAnsi="Times New Roman"/>
        </w:rPr>
        <w:t xml:space="preserve"> </w:t>
      </w:r>
      <w:r w:rsidRPr="00532EE6">
        <w:rPr>
          <w:rFonts w:ascii="Times New Roman" w:eastAsia="Times New Roman" w:hAnsi="Times New Roman"/>
        </w:rPr>
        <w:t>The amount that is added to a</w:t>
      </w:r>
      <w:r>
        <w:rPr>
          <w:rFonts w:ascii="Times New Roman" w:eastAsia="Times New Roman" w:hAnsi="Times New Roman"/>
        </w:rPr>
        <w:t>n individual</w:t>
      </w:r>
      <w:r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r>
        <w:rPr>
          <w:rFonts w:ascii="Times New Roman" w:eastAsia="Times New Roman" w:hAnsi="Times New Roman"/>
        </w:rPr>
        <w:t xml:space="preserve">  </w:t>
      </w:r>
      <w:r w:rsidRPr="00B16B29">
        <w:rPr>
          <w:rFonts w:ascii="Times New Roman" w:eastAsia="Times New Roman" w:hAnsi="Times New Roman"/>
        </w:rPr>
        <w:t xml:space="preserve">The resulting reserve in aggregate shall not be less than the greater of the cash surrender value or the reserve determined by applying </w:t>
      </w:r>
      <w:r>
        <w:rPr>
          <w:rFonts w:ascii="Times New Roman" w:eastAsia="Times New Roman" w:hAnsi="Times New Roman"/>
        </w:rPr>
        <w:t>Guideline XXXIII in VM-C</w:t>
      </w:r>
      <w:r w:rsidRPr="00B16B29">
        <w:rPr>
          <w:rFonts w:ascii="Times New Roman" w:eastAsia="Times New Roman" w:hAnsi="Times New Roman"/>
        </w:rPr>
        <w:t>, each in aggregate for the group of contracts to which the Alternative Methodology is applied.</w:t>
      </w:r>
    </w:p>
    <w:p w14:paraId="7C1729A9" w14:textId="30BC734F" w:rsidR="003129FE" w:rsidRPr="00325F0B" w:rsidRDefault="003129FE" w:rsidP="0021502F">
      <w:pPr>
        <w:spacing w:after="220" w:line="240" w:lineRule="auto"/>
        <w:ind w:left="1440"/>
        <w:jc w:val="both"/>
        <w:rPr>
          <w:rFonts w:ascii="Times New Roman" w:eastAsia="Times New Roman" w:hAnsi="Times New Roman"/>
        </w:rPr>
      </w:pPr>
      <w:r>
        <w:rPr>
          <w:rFonts w:ascii="Times New Roman" w:eastAsia="Times New Roman" w:hAnsi="Times New Roman"/>
        </w:rPr>
        <w:t xml:space="preserve">d. </w:t>
      </w:r>
      <w:r w:rsidRPr="00325F0B">
        <w:rPr>
          <w:rFonts w:ascii="Times New Roman" w:eastAsia="Times New Roman" w:hAnsi="Times New Roman"/>
        </w:rPr>
        <w:t xml:space="preserve">The </w:t>
      </w:r>
      <w:r>
        <w:rPr>
          <w:rFonts w:ascii="Times New Roman" w:eastAsia="Times New Roman" w:hAnsi="Times New Roman"/>
        </w:rPr>
        <w:t>reserve</w:t>
      </w:r>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r>
        <w:rPr>
          <w:rFonts w:ascii="Times New Roman" w:eastAsia="Times New Roman" w:hAnsi="Times New Roman"/>
        </w:rPr>
        <w:t>Guideline XXXIII in VM-C,</w:t>
      </w:r>
      <w:r w:rsidRPr="00325F0B">
        <w:rPr>
          <w:rFonts w:ascii="Times New Roman" w:eastAsia="Times New Roman" w:hAnsi="Times New Roman"/>
        </w:rPr>
        <w:t xml:space="preserve"> as described below.</w:t>
      </w:r>
    </w:p>
    <w:p w14:paraId="1FA62019" w14:textId="77777777" w:rsidR="003129FE" w:rsidRPr="00325F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77777777" w:rsidR="003129FE" w:rsidRPr="00325F0B" w:rsidRDefault="003129FE" w:rsidP="0021502F">
      <w:pPr>
        <w:spacing w:after="220" w:line="240" w:lineRule="auto"/>
        <w:ind w:left="1440"/>
        <w:jc w:val="both"/>
        <w:rPr>
          <w:rFonts w:ascii="Times New Roman" w:eastAsia="Times New Roman" w:hAnsi="Times New Roman"/>
        </w:rPr>
      </w:pPr>
      <w:r>
        <w:rPr>
          <w:rFonts w:ascii="Times New Roman" w:eastAsia="Times New Roman" w:hAnsi="Times New Roman"/>
        </w:rPr>
        <w:t xml:space="preserve">e. </w:t>
      </w:r>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4255AFC2" w14:textId="48A078A9"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r>
        <w:rPr>
          <w:rFonts w:ascii="Times New Roman" w:eastAsia="Times New Roman" w:hAnsi="Times New Roman"/>
          <w:position w:val="-1"/>
        </w:rPr>
        <w:t>T</w:t>
      </w:r>
      <w:r w:rsidRPr="00465680">
        <w:rPr>
          <w:rFonts w:ascii="Times New Roman" w:eastAsia="Times New Roman" w:hAnsi="Times New Roman"/>
          <w:position w:val="-1"/>
        </w:rPr>
        <w:t>his</w:t>
      </w:r>
      <w:r w:rsidRPr="00325F0B">
        <w:rPr>
          <w:rFonts w:ascii="Times New Roman" w:eastAsia="Times New Roman" w:hAnsi="Times New Roman"/>
          <w:position w:val="-1"/>
        </w:rPr>
        <w:t xml:space="preserve"> Section</w:t>
      </w:r>
    </w:p>
    <w:p w14:paraId="6C446C4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Pr>
          <w:rFonts w:ascii="Times New Roman" w:eastAsia="Times New Roman" w:hAnsi="Times New Roman"/>
        </w:rPr>
        <w:t>e</w:t>
      </w:r>
      <w:r w:rsidRPr="00325F0B">
        <w:rPr>
          <w:rFonts w:ascii="Times New Roman" w:eastAsia="Times New Roman" w:hAnsi="Times New Roman"/>
        </w:rPr>
        <w:t>xposure refers to the greatest possible loss to the insurance company from the value of assets underlying general or separate account contracts falling to zero.</w:t>
      </w:r>
    </w:p>
    <w:p w14:paraId="122D403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Pr>
          <w:rFonts w:ascii="Times New Roman" w:eastAsia="Times New Roman" w:hAnsi="Times New Roman"/>
        </w:rPr>
        <w:t>d</w:t>
      </w:r>
      <w:r w:rsidRPr="00325F0B">
        <w:rPr>
          <w:rFonts w:ascii="Times New Roman" w:eastAsia="Times New Roman" w:hAnsi="Times New Roman"/>
        </w:rPr>
        <w:t xml:space="preserve">eterministic </w:t>
      </w:r>
      <w:r>
        <w:rPr>
          <w:rFonts w:ascii="Times New Roman" w:eastAsia="Times New Roman" w:hAnsi="Times New Roman"/>
        </w:rPr>
        <w:t>c</w:t>
      </w:r>
      <w:r w:rsidRPr="00325F0B">
        <w:rPr>
          <w:rFonts w:ascii="Times New Roman" w:eastAsia="Times New Roman" w:hAnsi="Times New Roman"/>
        </w:rPr>
        <w:t xml:space="preserve">alculation, a given event (e.g., asset returns going up by 7% </w:t>
      </w:r>
      <w:r>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A84271A" w14:textId="4F41D8DD" w:rsidR="003129FE" w:rsidRPr="00063E8C" w:rsidRDefault="003129FE"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lastRenderedPageBreak/>
        <w:t>e.</w:t>
      </w:r>
      <w:r w:rsidRPr="00325F0B">
        <w:rPr>
          <w:rFonts w:ascii="Times New Roman" w:eastAsia="Times New Roman" w:hAnsi="Times New Roman"/>
          <w:position w:val="-1"/>
        </w:rPr>
        <w:tab/>
        <w:t xml:space="preserve">Foreign Securities: </w:t>
      </w:r>
      <w:r>
        <w:rPr>
          <w:rFonts w:ascii="Times New Roman" w:eastAsia="Times New Roman" w:hAnsi="Times New Roman"/>
          <w:position w:val="-1"/>
        </w:rPr>
        <w:t>These are s</w:t>
      </w:r>
      <w:r w:rsidRPr="00325F0B">
        <w:rPr>
          <w:rFonts w:ascii="Times New Roman" w:eastAsia="Times New Roman" w:hAnsi="Times New Roman"/>
          <w:position w:val="-1"/>
        </w:rPr>
        <w:t xml:space="preserve">ecurities issued by entities outside the </w:t>
      </w:r>
      <w:r>
        <w:rPr>
          <w:rFonts w:ascii="Times New Roman" w:eastAsia="Times New Roman" w:hAnsi="Times New Roman"/>
          <w:position w:val="-1"/>
        </w:rPr>
        <w:t>U.S.</w:t>
      </w:r>
      <w:r w:rsidRPr="00325F0B">
        <w:rPr>
          <w:rFonts w:ascii="Times New Roman" w:eastAsia="Times New Roman" w:hAnsi="Times New Roman"/>
          <w:position w:val="-1"/>
        </w:rPr>
        <w:t xml:space="preserve"> </w:t>
      </w:r>
    </w:p>
    <w:p w14:paraId="2ADCECD5"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Pr>
          <w:rFonts w:ascii="Times New Roman" w:eastAsia="Times New Roman" w:hAnsi="Times New Roman"/>
        </w:rPr>
        <w:t>f</w:t>
      </w:r>
      <w:r w:rsidRPr="00325F0B">
        <w:rPr>
          <w:rFonts w:ascii="Times New Roman" w:eastAsia="Times New Roman" w:hAnsi="Times New Roman"/>
        </w:rPr>
        <w:t xml:space="preserve">und </w:t>
      </w:r>
      <w:r>
        <w:rPr>
          <w:rFonts w:ascii="Times New Roman" w:eastAsia="Times New Roman" w:hAnsi="Times New Roman"/>
        </w:rPr>
        <w:t>h</w:t>
      </w:r>
      <w:r w:rsidRPr="00325F0B">
        <w:rPr>
          <w:rFonts w:ascii="Times New Roman" w:eastAsia="Times New Roman" w:hAnsi="Times New Roman"/>
        </w:rPr>
        <w:t>oldings relate to guarantees that apply across multiple deposits or for an entire contract instead of on a deposit-by-deposit basis.</w:t>
      </w:r>
    </w:p>
    <w:p w14:paraId="78767FCB"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 xml:space="preserve">alue is the benefit base or a substitute for the account value (if greater than the account value) in the calculation of living benefits or death benefits. The methodology for setting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alue is defined in the variable annuity contract.</w:t>
      </w:r>
    </w:p>
    <w:p w14:paraId="75117578" w14:textId="2C297E9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Pr>
          <w:rFonts w:ascii="Times New Roman" w:eastAsia="Times New Roman" w:hAnsi="Times New Roman"/>
        </w:rPr>
        <w:t>y</w:t>
      </w:r>
      <w:r w:rsidRPr="00325F0B">
        <w:rPr>
          <w:rFonts w:ascii="Times New Roman" w:eastAsia="Times New Roman" w:hAnsi="Times New Roman"/>
        </w:rPr>
        <w:t xml:space="preserve">ield </w:t>
      </w:r>
      <w:r>
        <w:rPr>
          <w:rFonts w:ascii="Times New Roman" w:eastAsia="Times New Roman" w:hAnsi="Times New Roman"/>
        </w:rPr>
        <w:t>b</w:t>
      </w:r>
      <w:r w:rsidRPr="00325F0B">
        <w:rPr>
          <w:rFonts w:ascii="Times New Roman" w:eastAsia="Times New Roman" w:hAnsi="Times New Roman"/>
        </w:rPr>
        <w:t xml:space="preserve">onds are below investment grade, with NAIC ratings (if assigned) of 3, 4, 5 or 6. Compared to investment grade bonds, these bonds have higher risk of loss due to credit events. Funds predominately containing securities that are not NAIC rated as 1 or 2 (or similar agency ratings) are considered to be </w:t>
      </w:r>
      <w:r>
        <w:rPr>
          <w:rFonts w:ascii="Times New Roman" w:eastAsia="Times New Roman" w:hAnsi="Times New Roman"/>
        </w:rPr>
        <w:t>h</w:t>
      </w:r>
      <w:r w:rsidRPr="00325F0B">
        <w:rPr>
          <w:rFonts w:ascii="Times New Roman" w:eastAsia="Times New Roman" w:hAnsi="Times New Roman"/>
        </w:rPr>
        <w:t>igh-</w:t>
      </w:r>
      <w:r>
        <w:rPr>
          <w:rFonts w:ascii="Times New Roman" w:eastAsia="Times New Roman" w:hAnsi="Times New Roman"/>
        </w:rPr>
        <w:t>y</w:t>
      </w:r>
      <w:r w:rsidRPr="00325F0B">
        <w:rPr>
          <w:rFonts w:ascii="Times New Roman" w:eastAsia="Times New Roman" w:hAnsi="Times New Roman"/>
        </w:rPr>
        <w:t>ield.</w:t>
      </w:r>
    </w:p>
    <w:p w14:paraId="39D47DF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i.</w:t>
      </w:r>
      <w:r w:rsidRPr="00325F0B">
        <w:rPr>
          <w:rFonts w:ascii="Times New Roman" w:eastAsia="Times New Roman" w:hAnsi="Times New Roman"/>
        </w:rPr>
        <w:tab/>
        <w:t xml:space="preserve">Investment Grade Fixed Income Securities: Securities with NAIC ratings of 1 or 2 are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 xml:space="preserve">rade. Funds containing securities predominately with NAIC ratings of 1 or 2 or with similar agency ratings are considered to be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rade.</w:t>
      </w:r>
    </w:p>
    <w:p w14:paraId="27F26DC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j.</w:t>
      </w:r>
      <w:r w:rsidRPr="00325F0B">
        <w:rPr>
          <w:rFonts w:ascii="Times New Roman" w:eastAsia="Times New Roman" w:hAnsi="Times New Roman"/>
        </w:rPr>
        <w:tab/>
        <w:t>Liquid Securities: These securities can be sold and converted into cash at a price close to its true value in a short period of time.</w:t>
      </w:r>
    </w:p>
    <w:p w14:paraId="1A6AA32B" w14:textId="4EEA145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Pr>
          <w:rFonts w:ascii="Times New Roman" w:eastAsia="Times New Roman" w:hAnsi="Times New Roman"/>
        </w:rPr>
        <w:t>o</w:t>
      </w:r>
      <w:r w:rsidRPr="00325F0B">
        <w:rPr>
          <w:rFonts w:ascii="Times New Roman" w:eastAsia="Times New Roman" w:hAnsi="Times New Roman"/>
        </w:rPr>
        <w:t xml:space="preserve">ffset is the portion of charges plus any </w:t>
      </w:r>
      <w:r>
        <w:rPr>
          <w:rFonts w:ascii="Times New Roman" w:eastAsia="Times New Roman" w:hAnsi="Times New Roman"/>
        </w:rPr>
        <w:t>r</w:t>
      </w:r>
      <w:r w:rsidRPr="00325F0B">
        <w:rPr>
          <w:rFonts w:ascii="Times New Roman" w:eastAsia="Times New Roman" w:hAnsi="Times New Roman"/>
        </w:rPr>
        <w:t>evenue</w:t>
      </w:r>
      <w:r>
        <w:rPr>
          <w:rFonts w:ascii="Times New Roman" w:eastAsia="Times New Roman" w:hAnsi="Times New Roman"/>
        </w:rPr>
        <w:t>-s</w:t>
      </w:r>
      <w:r w:rsidRPr="00325F0B">
        <w:rPr>
          <w:rFonts w:ascii="Times New Roman" w:eastAsia="Times New Roman" w:hAnsi="Times New Roman"/>
        </w:rPr>
        <w:t xml:space="preserve">haring allowed under Section </w:t>
      </w:r>
      <w:r>
        <w:rPr>
          <w:rFonts w:ascii="Times New Roman" w:eastAsia="Times New Roman" w:hAnsi="Times New Roman"/>
        </w:rPr>
        <w:t>4</w:t>
      </w:r>
      <w:r w:rsidRPr="00325F0B">
        <w:rPr>
          <w:rFonts w:ascii="Times New Roman" w:eastAsia="Times New Roman" w:hAnsi="Times New Roman"/>
        </w:rPr>
        <w:t>.A.5 available to fund claims and amortization of the unamortized surrender charges allowance.</w:t>
      </w:r>
    </w:p>
    <w:p w14:paraId="080278B9"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Pr>
          <w:rFonts w:ascii="Times New Roman" w:eastAsia="Times New Roman" w:hAnsi="Times New Roman"/>
        </w:rPr>
        <w:t>m</w:t>
      </w:r>
      <w:r w:rsidRPr="00325F0B">
        <w:rPr>
          <w:rFonts w:ascii="Times New Roman" w:eastAsia="Times New Roman" w:hAnsi="Times New Roman"/>
        </w:rPr>
        <w:t xml:space="preserve">odel </w:t>
      </w:r>
      <w:r>
        <w:rPr>
          <w:rFonts w:ascii="Times New Roman" w:eastAsia="Times New Roman" w:hAnsi="Times New Roman"/>
        </w:rPr>
        <w:t>o</w:t>
      </w:r>
      <w:r w:rsidRPr="00325F0B">
        <w:rPr>
          <w:rFonts w:ascii="Times New Roman" w:eastAsia="Times New Roman" w:hAnsi="Times New Roman"/>
        </w:rPr>
        <w:t>ffice converts many contracts with similar features into one contract with specific features for modeling purposes.</w:t>
      </w:r>
    </w:p>
    <w:p w14:paraId="1E6653BD" w14:textId="7D34EC0D"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p>
    <w:p w14:paraId="56A73D8B" w14:textId="784914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n</w:t>
      </w:r>
      <w:r w:rsidRPr="00325F0B">
        <w:rPr>
          <w:rFonts w:ascii="Times New Roman" w:eastAsia="Times New Roman" w:hAnsi="Times New Roman"/>
        </w:rPr>
        <w:t>.</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7250A33C"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o</w:t>
      </w:r>
      <w:r w:rsidRPr="00325F0B">
        <w:rPr>
          <w:rFonts w:ascii="Times New Roman" w:eastAsia="Times New Roman" w:hAnsi="Times New Roman"/>
        </w:rPr>
        <w:t>.</w:t>
      </w:r>
      <w:r w:rsidRPr="00325F0B">
        <w:rPr>
          <w:rFonts w:ascii="Times New Roman" w:eastAsia="Times New Roman" w:hAnsi="Times New Roman"/>
        </w:rPr>
        <w:tab/>
        <w:t xml:space="preserve">Resets: A </w:t>
      </w:r>
      <w:r>
        <w:rPr>
          <w:rFonts w:ascii="Times New Roman" w:eastAsia="Times New Roman" w:hAnsi="Times New Roman"/>
        </w:rPr>
        <w:t>r</w:t>
      </w:r>
      <w:r w:rsidRPr="00325F0B">
        <w:rPr>
          <w:rFonts w:ascii="Times New Roman" w:eastAsia="Times New Roman" w:hAnsi="Times New Roman"/>
        </w:rPr>
        <w:t>eset benefit results in a future minimum guaranteed benefit being set equal to the contract’s account value at previous set date(s) after contract inception.</w:t>
      </w:r>
    </w:p>
    <w:p w14:paraId="7DC36A68" w14:textId="1A9320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p</w:t>
      </w:r>
      <w:r w:rsidRPr="00325F0B">
        <w:rPr>
          <w:rFonts w:ascii="Times New Roman" w:eastAsia="Times New Roman" w:hAnsi="Times New Roman"/>
        </w:rPr>
        <w:t>.</w:t>
      </w:r>
      <w:r w:rsidRPr="00325F0B">
        <w:rPr>
          <w:rFonts w:ascii="Times New Roman" w:eastAsia="Times New Roman" w:hAnsi="Times New Roman"/>
        </w:rPr>
        <w:tab/>
        <w:t xml:space="preserve">Risk Mitigation Strategy: A </w:t>
      </w:r>
      <w:r>
        <w:rPr>
          <w:rFonts w:ascii="Times New Roman" w:eastAsia="Times New Roman" w:hAnsi="Times New Roman"/>
        </w:rPr>
        <w:t>r</w:t>
      </w:r>
      <w:r w:rsidRPr="00325F0B">
        <w:rPr>
          <w:rFonts w:ascii="Times New Roman" w:eastAsia="Times New Roman" w:hAnsi="Times New Roman"/>
        </w:rPr>
        <w:t xml:space="preserve">isk </w:t>
      </w:r>
      <w:r>
        <w:rPr>
          <w:rFonts w:ascii="Times New Roman" w:eastAsia="Times New Roman" w:hAnsi="Times New Roman"/>
        </w:rPr>
        <w:t>m</w:t>
      </w:r>
      <w:r w:rsidRPr="00325F0B">
        <w:rPr>
          <w:rFonts w:ascii="Times New Roman" w:eastAsia="Times New Roman" w:hAnsi="Times New Roman"/>
        </w:rPr>
        <w:t xml:space="preserve">itigation </w:t>
      </w:r>
      <w:r>
        <w:rPr>
          <w:rFonts w:ascii="Times New Roman" w:eastAsia="Times New Roman" w:hAnsi="Times New Roman"/>
        </w:rPr>
        <w:t>s</w:t>
      </w:r>
      <w:r w:rsidRPr="00325F0B">
        <w:rPr>
          <w:rFonts w:ascii="Times New Roman" w:eastAsia="Times New Roman" w:hAnsi="Times New Roman"/>
        </w:rPr>
        <w:t>trategy is a device to reduce the probability and/or impact of a risk below an acceptable threshold.</w:t>
      </w:r>
    </w:p>
    <w:p w14:paraId="4CD611B0" w14:textId="194036F6" w:rsidR="003129FE" w:rsidRPr="00325F0B" w:rsidRDefault="003129FE" w:rsidP="0021502F">
      <w:pPr>
        <w:spacing w:after="220" w:line="240" w:lineRule="auto"/>
        <w:ind w:left="2160" w:hanging="720"/>
        <w:jc w:val="both"/>
        <w:rPr>
          <w:rFonts w:ascii="Times New Roman" w:eastAsia="Times New Roman" w:hAnsi="Times New Roman"/>
        </w:rPr>
      </w:pPr>
      <w:r>
        <w:rPr>
          <w:rFonts w:ascii="Times New Roman" w:eastAsia="Times New Roman" w:hAnsi="Times New Roman"/>
        </w:rPr>
        <w:t>q</w:t>
      </w:r>
      <w:r w:rsidRPr="00325F0B">
        <w:rPr>
          <w:rFonts w:ascii="Times New Roman" w:eastAsia="Times New Roman" w:hAnsi="Times New Roman"/>
        </w:rPr>
        <w:t>.</w:t>
      </w:r>
      <w:r w:rsidRPr="00325F0B">
        <w:rPr>
          <w:rFonts w:ascii="Times New Roman" w:eastAsia="Times New Roman" w:hAnsi="Times New Roman"/>
        </w:rPr>
        <w:tab/>
        <w:t xml:space="preserve">Risk Profile: Risk </w:t>
      </w:r>
      <w:r>
        <w:rPr>
          <w:rFonts w:ascii="Times New Roman" w:eastAsia="Times New Roman" w:hAnsi="Times New Roman"/>
        </w:rPr>
        <w:t>p</w:t>
      </w:r>
      <w:r w:rsidRPr="00325F0B">
        <w:rPr>
          <w:rFonts w:ascii="Times New Roman" w:eastAsia="Times New Roman" w:hAnsi="Times New Roman"/>
        </w:rPr>
        <w:t>rofile in these requirements relates to the prescribed asset class categorized by the volatility of returns associated with that class.</w:t>
      </w:r>
    </w:p>
    <w:p w14:paraId="4B717B28" w14:textId="4F89385C" w:rsidR="003129FE" w:rsidRPr="00325F0B" w:rsidRDefault="003129FE" w:rsidP="0021502F">
      <w:pPr>
        <w:spacing w:after="220" w:line="240" w:lineRule="auto"/>
        <w:ind w:left="2160" w:hanging="720"/>
        <w:jc w:val="both"/>
        <w:rPr>
          <w:rFonts w:ascii="Times New Roman" w:eastAsia="Times New Roman" w:hAnsi="Times New Roman"/>
        </w:rPr>
      </w:pPr>
      <w:r>
        <w:rPr>
          <w:rFonts w:ascii="Times New Roman" w:eastAsia="Times New Roman" w:hAnsi="Times New Roman"/>
        </w:rPr>
        <w:t>r</w:t>
      </w:r>
      <w:r w:rsidRPr="00325F0B">
        <w:rPr>
          <w:rFonts w:ascii="Times New Roman" w:eastAsia="Times New Roman" w:hAnsi="Times New Roman"/>
        </w:rPr>
        <w:t>.</w:t>
      </w:r>
      <w:r w:rsidRPr="00325F0B">
        <w:rPr>
          <w:rFonts w:ascii="Times New Roman" w:eastAsia="Times New Roman" w:hAnsi="Times New Roman"/>
        </w:rPr>
        <w:tab/>
        <w:t xml:space="preserve">Risk Transfer Arrangements: A </w:t>
      </w:r>
      <w:r>
        <w:rPr>
          <w:rFonts w:ascii="Times New Roman" w:eastAsia="Times New Roman" w:hAnsi="Times New Roman"/>
        </w:rPr>
        <w:t>r</w:t>
      </w:r>
      <w:r w:rsidRPr="00325F0B">
        <w:rPr>
          <w:rFonts w:ascii="Times New Roman" w:eastAsia="Times New Roman" w:hAnsi="Times New Roman"/>
        </w:rPr>
        <w:t xml:space="preserve">isk </w:t>
      </w:r>
      <w:r>
        <w:rPr>
          <w:rFonts w:ascii="Times New Roman" w:eastAsia="Times New Roman" w:hAnsi="Times New Roman"/>
        </w:rPr>
        <w:t>t</w:t>
      </w:r>
      <w:r w:rsidRPr="00325F0B">
        <w:rPr>
          <w:rFonts w:ascii="Times New Roman" w:eastAsia="Times New Roman" w:hAnsi="Times New Roman"/>
        </w:rPr>
        <w:t xml:space="preserve">ransfer </w:t>
      </w:r>
      <w:r>
        <w:rPr>
          <w:rFonts w:ascii="Times New Roman" w:eastAsia="Times New Roman" w:hAnsi="Times New Roman"/>
        </w:rPr>
        <w:t>a</w:t>
      </w:r>
      <w:r w:rsidRPr="00325F0B">
        <w:rPr>
          <w:rFonts w:ascii="Times New Roman" w:eastAsia="Times New Roman" w:hAnsi="Times New Roman"/>
        </w:rPr>
        <w:t>rrangement shifts risk exposures (e.g., the responsibility to pay at least a portion of future contingent claims) away from the original insurer.</w:t>
      </w:r>
    </w:p>
    <w:p w14:paraId="5B8E8EC9" w14:textId="5E43F5B7" w:rsidR="003129FE" w:rsidRPr="00325F0B" w:rsidRDefault="003129FE" w:rsidP="0021502F">
      <w:pPr>
        <w:spacing w:after="220" w:line="240" w:lineRule="auto"/>
        <w:ind w:left="2160" w:hanging="720"/>
        <w:jc w:val="both"/>
        <w:rPr>
          <w:rFonts w:ascii="Times New Roman" w:eastAsia="Times New Roman" w:hAnsi="Times New Roman"/>
        </w:rPr>
      </w:pPr>
      <w:r>
        <w:rPr>
          <w:rFonts w:ascii="Times New Roman" w:eastAsia="Times New Roman" w:hAnsi="Times New Roman"/>
        </w:rPr>
        <w:t>s</w:t>
      </w:r>
      <w:r w:rsidRPr="00325F0B">
        <w:rPr>
          <w:rFonts w:ascii="Times New Roman" w:eastAsia="Times New Roman" w:hAnsi="Times New Roman"/>
        </w:rPr>
        <w:t>.</w:t>
      </w:r>
      <w:r w:rsidRPr="00325F0B">
        <w:rPr>
          <w:rFonts w:ascii="Times New Roman" w:eastAsia="Times New Roman" w:hAnsi="Times New Roman"/>
        </w:rPr>
        <w:tab/>
        <w:t xml:space="preserve">Roll-Up: A </w:t>
      </w:r>
      <w:r>
        <w:rPr>
          <w:rFonts w:ascii="Times New Roman" w:eastAsia="Times New Roman" w:hAnsi="Times New Roman"/>
        </w:rPr>
        <w:t>r</w:t>
      </w:r>
      <w:r w:rsidRPr="00325F0B">
        <w:rPr>
          <w:rFonts w:ascii="Times New Roman" w:eastAsia="Times New Roman" w:hAnsi="Times New Roman"/>
        </w:rPr>
        <w:t>oll-</w:t>
      </w:r>
      <w:r>
        <w:rPr>
          <w:rFonts w:ascii="Times New Roman" w:eastAsia="Times New Roman" w:hAnsi="Times New Roman"/>
        </w:rPr>
        <w:t>u</w:t>
      </w:r>
      <w:r w:rsidRPr="00325F0B">
        <w:rPr>
          <w:rFonts w:ascii="Times New Roman" w:eastAsia="Times New Roman" w:hAnsi="Times New Roman"/>
        </w:rPr>
        <w:t>p benefit results in the guaranteed value associated with a minimum contractual guarantee increasing at a contractually defined interest rate.</w:t>
      </w:r>
    </w:p>
    <w:p w14:paraId="0708AC62" w14:textId="70365494" w:rsidR="003129FE" w:rsidRPr="00325F0B" w:rsidRDefault="003129FE" w:rsidP="0021502F">
      <w:pPr>
        <w:spacing w:after="220" w:line="240" w:lineRule="auto"/>
        <w:ind w:left="2160" w:hanging="720"/>
        <w:jc w:val="both"/>
        <w:rPr>
          <w:rFonts w:ascii="Times New Roman" w:eastAsia="Times New Roman" w:hAnsi="Times New Roman"/>
        </w:rPr>
      </w:pPr>
      <w:r>
        <w:rPr>
          <w:rFonts w:ascii="Times New Roman" w:eastAsia="Times New Roman" w:hAnsi="Times New Roman"/>
          <w:position w:val="-1"/>
        </w:rPr>
        <w:t>t</w:t>
      </w:r>
      <w:r w:rsidRPr="00325F0B">
        <w:rPr>
          <w:rFonts w:ascii="Times New Roman" w:eastAsia="Times New Roman" w:hAnsi="Times New Roman"/>
          <w:position w:val="-1"/>
        </w:rPr>
        <w:t>.</w:t>
      </w:r>
      <w:r w:rsidRPr="00325F0B">
        <w:rPr>
          <w:rFonts w:ascii="Times New Roman" w:eastAsia="Times New Roman" w:hAnsi="Times New Roman"/>
          <w:position w:val="-1"/>
        </w:rPr>
        <w:tab/>
        <w:t>Volatility: Volatility refers to the annualized standard deviation of asset returns.</w:t>
      </w:r>
    </w:p>
    <w:p w14:paraId="72C9ECA3" w14:textId="77777777" w:rsidR="003129FE" w:rsidRPr="00325F0B" w:rsidRDefault="003129FE" w:rsidP="004E4618">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lastRenderedPageBreak/>
        <w:t>3.</w:t>
      </w:r>
      <w:r w:rsidRPr="00325F0B">
        <w:rPr>
          <w:rFonts w:ascii="Times New Roman" w:eastAsia="Times New Roman" w:hAnsi="Times New Roman"/>
        </w:rPr>
        <w:tab/>
        <w:t xml:space="preserve">Contract-by-Contract Application for Contracts </w:t>
      </w:r>
      <w:r>
        <w:rPr>
          <w:rFonts w:ascii="Times New Roman" w:eastAsia="Times New Roman" w:hAnsi="Times New Roman"/>
        </w:rPr>
        <w:t>T</w:t>
      </w:r>
      <w:r w:rsidRPr="00325F0B">
        <w:rPr>
          <w:rFonts w:ascii="Times New Roman" w:eastAsia="Times New Roman" w:hAnsi="Times New Roman"/>
        </w:rPr>
        <w:t>hat Contain No Guaranteed Living or Death Benefits</w:t>
      </w:r>
    </w:p>
    <w:p w14:paraId="47881C88" w14:textId="67FF3073" w:rsidR="003129FE" w:rsidRPr="00325F0B" w:rsidRDefault="003129FE"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r>
        <w:rPr>
          <w:rFonts w:ascii="Times New Roman" w:eastAsia="Times New Roman" w:hAnsi="Times New Roman"/>
        </w:rPr>
        <w:t>Guideline XXXIII in VM-C</w:t>
      </w:r>
      <w:r w:rsidRPr="00325F0B">
        <w:rPr>
          <w:rFonts w:ascii="Times New Roman" w:eastAsia="Times New Roman" w:hAnsi="Times New Roman"/>
        </w:rPr>
        <w:t>. The application shall assume a return on separate account assets equal to the valuation interest rate</w:t>
      </w:r>
      <w:r>
        <w:rPr>
          <w:rFonts w:ascii="Times New Roman" w:eastAsia="Times New Roman" w:hAnsi="Times New Roman"/>
        </w:rPr>
        <w:t xml:space="preserve"> for a non-variable annuity with similar features issued during the first calendar quarter of the same calendar year</w:t>
      </w:r>
      <w:r w:rsidRPr="00325F0B">
        <w:rPr>
          <w:rFonts w:ascii="Times New Roman" w:eastAsia="Times New Roman" w:hAnsi="Times New Roman"/>
        </w:rPr>
        <w:t xml:space="preserve"> less appropriate </w:t>
      </w:r>
      <w:r w:rsidR="003C482A" w:rsidRPr="00325F0B">
        <w:rPr>
          <w:rFonts w:ascii="Times New Roman" w:eastAsia="Times New Roman" w:hAnsi="Times New Roman"/>
        </w:rPr>
        <w:t>asset-based</w:t>
      </w:r>
      <w:r w:rsidRPr="00325F0B">
        <w:rPr>
          <w:rFonts w:ascii="Times New Roman" w:eastAsia="Times New Roman" w:hAnsi="Times New Roman"/>
        </w:rPr>
        <w:t xml:space="preserve"> charges. It </w:t>
      </w:r>
      <w:r>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6CD9CB8F" w14:textId="227E1DC4" w:rsidR="003129FE" w:rsidRPr="00325F0B" w:rsidRDefault="003129FE"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t>4.</w:t>
      </w:r>
      <w:r w:rsidRPr="00325F0B">
        <w:rPr>
          <w:rFonts w:ascii="Times New Roman" w:eastAsia="Times New Roman" w:hAnsi="Times New Roman"/>
          <w:position w:val="-1"/>
        </w:rPr>
        <w:tab/>
        <w:t xml:space="preserve">Contract-by-Contract Application for Contracts </w:t>
      </w:r>
      <w:r>
        <w:rPr>
          <w:rFonts w:ascii="Times New Roman" w:eastAsia="Times New Roman" w:hAnsi="Times New Roman"/>
          <w:position w:val="-1"/>
        </w:rPr>
        <w:t>T</w:t>
      </w:r>
      <w:r w:rsidRPr="00325F0B">
        <w:rPr>
          <w:rFonts w:ascii="Times New Roman" w:eastAsia="Times New Roman" w:hAnsi="Times New Roman"/>
          <w:position w:val="-1"/>
        </w:rPr>
        <w:t xml:space="preserve">hat Contain GMDBs </w:t>
      </w:r>
      <w:r>
        <w:rPr>
          <w:rFonts w:ascii="Times New Roman" w:eastAsia="Times New Roman" w:hAnsi="Times New Roman"/>
          <w:position w:val="-1"/>
        </w:rPr>
        <w:t>O</w:t>
      </w:r>
      <w:r w:rsidRPr="00465680">
        <w:rPr>
          <w:rFonts w:ascii="Times New Roman" w:eastAsia="Times New Roman" w:hAnsi="Times New Roman"/>
          <w:position w:val="-1"/>
        </w:rPr>
        <w:t>nly</w:t>
      </w:r>
    </w:p>
    <w:p w14:paraId="7A6329B4" w14:textId="77777777" w:rsidR="003129FE" w:rsidRDefault="003129FE" w:rsidP="004E4618">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position w:val="-1"/>
        </w:rPr>
        <w:t>For each contract</w:t>
      </w:r>
      <w:r>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4943C8DD" w14:textId="77777777" w:rsidR="003129FE" w:rsidRPr="00325F0B" w:rsidRDefault="003129FE" w:rsidP="00063E8C">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r>
        <w:rPr>
          <w:rFonts w:ascii="Times New Roman" w:eastAsia="Times New Roman" w:hAnsi="Times New Roman"/>
          <w:position w:val="-1"/>
        </w:rPr>
        <w:t>x (</w:t>
      </w:r>
      <w:r w:rsidRPr="00325F0B">
        <w:rPr>
          <w:rFonts w:ascii="Times New Roman" w:eastAsia="Times New Roman" w:hAnsi="Times New Roman"/>
          <w:i/>
          <w:position w:val="-1"/>
        </w:rPr>
        <w:t xml:space="preserve">CA </w:t>
      </w:r>
      <w:r>
        <w:rPr>
          <w:rFonts w:ascii="Times New Roman" w:eastAsia="Times New Roman" w:hAnsi="Times New Roman"/>
          <w:i/>
          <w:position w:val="-1"/>
        </w:rPr>
        <w:t>+</w:t>
      </w:r>
      <w:r w:rsidRPr="00325F0B">
        <w:rPr>
          <w:rFonts w:ascii="Times New Roman" w:eastAsia="Times New Roman" w:hAnsi="Times New Roman"/>
          <w:i/>
          <w:position w:val="-1"/>
        </w:rPr>
        <w:t xml:space="preserve"> FE</w:t>
      </w:r>
      <w:r>
        <w:rPr>
          <w:rFonts w:ascii="Times New Roman" w:eastAsia="Times New Roman" w:hAnsi="Times New Roman"/>
          <w:i/>
          <w:position w:val="-1"/>
        </w:rPr>
        <w:t>)</w:t>
      </w:r>
      <w:r w:rsidRPr="00325F0B">
        <w:rPr>
          <w:rFonts w:ascii="Times New Roman" w:eastAsia="Times New Roman" w:hAnsi="Times New Roman"/>
          <w:position w:val="-1"/>
        </w:rPr>
        <w:t xml:space="preserve"> </w:t>
      </w:r>
      <w:r>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Pr>
          <w:rFonts w:ascii="Times New Roman" w:eastAsia="Times New Roman" w:hAnsi="Times New Roman"/>
          <w:position w:val="-1"/>
        </w:rPr>
        <w:t>c</w:t>
      </w:r>
      <w:r w:rsidRPr="00325F0B">
        <w:rPr>
          <w:rFonts w:ascii="Times New Roman" w:eastAsia="Times New Roman" w:hAnsi="Times New Roman"/>
          <w:position w:val="-1"/>
        </w:rPr>
        <w:t xml:space="preserve">ash </w:t>
      </w:r>
      <w:r>
        <w:rPr>
          <w:rFonts w:ascii="Times New Roman" w:eastAsia="Times New Roman" w:hAnsi="Times New Roman"/>
          <w:position w:val="-1"/>
        </w:rPr>
        <w:t>s</w:t>
      </w:r>
      <w:r w:rsidRPr="00325F0B">
        <w:rPr>
          <w:rFonts w:ascii="Times New Roman" w:eastAsia="Times New Roman" w:hAnsi="Times New Roman"/>
          <w:position w:val="-1"/>
        </w:rPr>
        <w:t xml:space="preserve">urrender </w:t>
      </w:r>
      <w:r>
        <w:rPr>
          <w:rFonts w:ascii="Times New Roman" w:eastAsia="Times New Roman" w:hAnsi="Times New Roman"/>
          <w:position w:val="-1"/>
        </w:rPr>
        <w:t>v</w:t>
      </w:r>
      <w:r w:rsidRPr="00325F0B">
        <w:rPr>
          <w:rFonts w:ascii="Times New Roman" w:eastAsia="Times New Roman" w:hAnsi="Times New Roman"/>
          <w:position w:val="-1"/>
        </w:rPr>
        <w:t>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Pr>
          <w:rFonts w:ascii="Times New Roman" w:eastAsia="Times New Roman" w:hAnsi="Times New Roman"/>
        </w:rPr>
        <w:t>.</w:t>
      </w:r>
    </w:p>
    <w:p w14:paraId="171B75CC"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Pr>
          <w:rFonts w:ascii="Times New Roman" w:eastAsia="Times New Roman" w:hAnsi="Times New Roman"/>
          <w:spacing w:val="-4"/>
        </w:rPr>
        <w:t>.</w:t>
      </w:r>
    </w:p>
    <w:p w14:paraId="1382E3A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The account value and composition by type of underlying variable or fixed fund</w:t>
      </w:r>
      <w:r>
        <w:rPr>
          <w:rFonts w:ascii="Times New Roman" w:eastAsia="Times New Roman" w:hAnsi="Times New Roman"/>
        </w:rPr>
        <w:t>.</w:t>
      </w:r>
    </w:p>
    <w:p w14:paraId="1F6487FD"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Pr>
          <w:rFonts w:ascii="Times New Roman" w:eastAsia="Times New Roman" w:hAnsi="Times New Roman"/>
        </w:rPr>
        <w:t>.</w:t>
      </w:r>
    </w:p>
    <w:p w14:paraId="6EC1B43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Pr>
          <w:rFonts w:ascii="Times New Roman" w:eastAsia="Times New Roman" w:hAnsi="Times New Roman"/>
        </w:rPr>
        <w:t>.</w:t>
      </w:r>
    </w:p>
    <w:p w14:paraId="182BDB35" w14:textId="0F2C89FC"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complying with the requirements for </w:t>
      </w:r>
      <w:r>
        <w:rPr>
          <w:rFonts w:ascii="Times New Roman" w:eastAsia="Times New Roman" w:hAnsi="Times New Roman"/>
        </w:rPr>
        <w:t>r</w:t>
      </w:r>
      <w:r w:rsidRPr="00325F0B">
        <w:rPr>
          <w:rFonts w:ascii="Times New Roman" w:eastAsia="Times New Roman" w:hAnsi="Times New Roman"/>
        </w:rPr>
        <w:t xml:space="preserve">evenue </w:t>
      </w:r>
      <w:r>
        <w:rPr>
          <w:rFonts w:ascii="Times New Roman" w:eastAsia="Times New Roman" w:hAnsi="Times New Roman"/>
        </w:rPr>
        <w:t>s</w:t>
      </w:r>
      <w:r w:rsidRPr="00325F0B">
        <w:rPr>
          <w:rFonts w:ascii="Times New Roman" w:eastAsia="Times New Roman" w:hAnsi="Times New Roman"/>
        </w:rPr>
        <w:t xml:space="preserve">haring as described in Section </w:t>
      </w:r>
      <w:r>
        <w:rPr>
          <w:rFonts w:ascii="Times New Roman" w:eastAsia="Times New Roman" w:hAnsi="Times New Roman"/>
        </w:rPr>
        <w:t>4</w:t>
      </w:r>
      <w:r w:rsidRPr="00325F0B">
        <w:rPr>
          <w:rFonts w:ascii="Times New Roman" w:eastAsia="Times New Roman" w:hAnsi="Times New Roman"/>
        </w:rPr>
        <w:t>.A.5.</w:t>
      </w:r>
    </w:p>
    <w:p w14:paraId="65853454" w14:textId="77777777" w:rsidR="003129FE" w:rsidRPr="00325F0B" w:rsidRDefault="003129FE"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5.</w:t>
      </w:r>
      <w:r w:rsidRPr="00325F0B">
        <w:rPr>
          <w:rFonts w:ascii="Times New Roman" w:eastAsia="Times New Roman" w:hAnsi="Times New Roman"/>
        </w:rPr>
        <w:tab/>
        <w:t>Factor Components</w:t>
      </w:r>
    </w:p>
    <w:p w14:paraId="42355D92" w14:textId="77777777" w:rsidR="003129FE" w:rsidRPr="00325F0B" w:rsidRDefault="003129FE"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145388D4" w14:textId="77777777" w:rsidR="003129FE" w:rsidRPr="00EA5087" w:rsidRDefault="003129FE"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 xml:space="preserve">Guidance Note: </w:t>
      </w:r>
      <w:r w:rsidRPr="00325F0B">
        <w:rPr>
          <w:rFonts w:ascii="Times New Roman" w:eastAsia="Times New Roman" w:hAnsi="Times New Roman"/>
        </w:rPr>
        <w:t xml:space="preserve">Material to assist in the calculation of the components is available on the </w:t>
      </w:r>
      <w:r w:rsidRPr="00325F0B">
        <w:rPr>
          <w:rFonts w:ascii="Times New Roman" w:eastAsia="Times New Roman" w:hAnsi="Times New Roman"/>
          <w:position w:val="-1"/>
        </w:rPr>
        <w:t>Academy websit</w:t>
      </w:r>
      <w:r w:rsidRPr="00EA5087">
        <w:rPr>
          <w:rFonts w:ascii="Times New Roman" w:eastAsia="Times New Roman" w:hAnsi="Times New Roman"/>
          <w:position w:val="-1"/>
        </w:rPr>
        <w:t>e</w:t>
      </w:r>
      <w:r>
        <w:rPr>
          <w:rFonts w:ascii="Times New Roman" w:eastAsia="Times New Roman" w:hAnsi="Times New Roman"/>
          <w:position w:val="-1"/>
        </w:rPr>
        <w:t xml:space="preserve"> at</w:t>
      </w:r>
      <w:r w:rsidRPr="00EA5087">
        <w:rPr>
          <w:rFonts w:ascii="Times New Roman" w:eastAsia="Times New Roman" w:hAnsi="Times New Roman"/>
          <w:position w:val="-1"/>
        </w:rPr>
        <w:t xml:space="preserve"> </w:t>
      </w:r>
      <w:hyperlink r:id="rId8" w:history="1">
        <w:r w:rsidRPr="003526D4">
          <w:rPr>
            <w:rStyle w:val="Hyperlink"/>
            <w:rFonts w:ascii="Times New Roman" w:hAnsi="Times New Roman"/>
            <w:i/>
            <w:position w:val="-1"/>
          </w:rPr>
          <w:t>www.actuary.org/life/phase2.asp</w:t>
        </w:r>
      </w:hyperlink>
      <w:r w:rsidRPr="00C37C68">
        <w:rPr>
          <w:rStyle w:val="Hyperlink"/>
          <w:rFonts w:ascii="Times New Roman" w:hAnsi="Times New Roman"/>
          <w:position w:val="-1"/>
        </w:rPr>
        <w:t>.</w:t>
      </w:r>
    </w:p>
    <w:p w14:paraId="63B4D7DF" w14:textId="77777777" w:rsidR="003129FE" w:rsidRPr="00325F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but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2BCA8252" w14:textId="77777777" w:rsidR="003129FE" w:rsidRPr="00325F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12F64461" w14:textId="620CE9A7" w:rsidR="003129FE" w:rsidRPr="0009177A"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Pr="00063E8C">
        <w:rPr>
          <w:rFonts w:ascii="Times New Roman" w:hAnsi="Times New Roman"/>
          <w:i/>
          <w:position w:val="-1"/>
        </w:rPr>
        <w:t>F</w:t>
      </w:r>
      <w:r w:rsidRPr="00465680">
        <w:rPr>
          <w:rFonts w:ascii="Times New Roman" w:eastAsia="Times New Roman" w:hAnsi="Times New Roman"/>
          <w:i/>
          <w:position w:val="-1"/>
        </w:rPr>
        <w:t>×</w:t>
      </w:r>
      <w:r w:rsidRPr="00063E8C">
        <w:rPr>
          <w:rFonts w:ascii="Times New Roman" w:hAnsi="Times New Roman"/>
          <w:i/>
          <w:position w:val="-1"/>
        </w:rPr>
        <w:t>GV</w:t>
      </w:r>
      <w:r w:rsidRPr="00465680">
        <w:rPr>
          <w:rFonts w:ascii="Times New Roman" w:eastAsia="Times New Roman" w:hAnsi="Times New Roman"/>
          <w:i/>
          <w:position w:val="-1"/>
        </w:rPr>
        <w:t>-</w:t>
      </w:r>
      <w:r w:rsidRPr="00063E8C">
        <w:rPr>
          <w:rFonts w:ascii="Times New Roman" w:hAnsi="Times New Roman"/>
          <w:i/>
          <w:position w:val="-1"/>
        </w:rPr>
        <w:t>G</w:t>
      </w:r>
      <w:r w:rsidRPr="00465680">
        <w:rPr>
          <w:rFonts w:ascii="Times New Roman" w:eastAsia="Times New Roman" w:hAnsi="Times New Roman"/>
          <w:i/>
          <w:position w:val="-1"/>
        </w:rPr>
        <w:t>×</w:t>
      </w:r>
      <w:r w:rsidRPr="00063E8C">
        <w:rPr>
          <w:rFonts w:ascii="Times New Roman" w:hAnsi="Times New Roman"/>
          <w:i/>
          <w:position w:val="-1"/>
        </w:rPr>
        <w:t>AV</w:t>
      </w:r>
      <w:r w:rsidRPr="00465680">
        <w:rPr>
          <w:rFonts w:ascii="Times New Roman" w:eastAsia="Times New Roman" w:hAnsi="Times New Roman"/>
          <w:i/>
          <w:position w:val="-1"/>
        </w:rPr>
        <w:t>×</w:t>
      </w:r>
      <w:r w:rsidRPr="00063E8C">
        <w:rPr>
          <w:rFonts w:ascii="Times New Roman" w:hAnsi="Times New Roman"/>
          <w:i/>
          <w:position w:val="-1"/>
        </w:rPr>
        <w:t>R</w:t>
      </w:r>
      <w:r w:rsidRPr="00465680">
        <w:rPr>
          <w:rFonts w:ascii="Times New Roman" w:eastAsia="Times New Roman" w:hAnsi="Times New Roman"/>
          <w:i/>
        </w:rPr>
        <w:t>,</w:t>
      </w:r>
      <w:r w:rsidRPr="006711B9">
        <w:rPr>
          <w:noProof/>
        </w:rPr>
        <w:fldChar w:fldCharType="begin"/>
      </w:r>
      <w:r w:rsidRPr="006711B9">
        <w:rPr>
          <w:noProof/>
        </w:rPr>
        <w:fldChar w:fldCharType="end"/>
      </w:r>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r>
        <w:rPr>
          <w:rFonts w:ascii="Times New Roman" w:eastAsia="Times New Roman" w:hAnsi="Times New Roman"/>
        </w:rPr>
        <w:t>7.</w:t>
      </w:r>
      <w:r w:rsidRPr="00325F0B">
        <w:rPr>
          <w:rFonts w:ascii="Times New Roman" w:eastAsia="Times New Roman" w:hAnsi="Times New Roman"/>
        </w:rPr>
        <w:t>C.1</w:t>
      </w:r>
      <w:r>
        <w:rPr>
          <w:rFonts w:ascii="Times New Roman" w:eastAsia="Times New Roman" w:hAnsi="Times New Roman"/>
        </w:rPr>
        <w:t>.</w:t>
      </w:r>
    </w:p>
    <w:p w14:paraId="0CAA06BF" w14:textId="1BCFBA2D" w:rsidR="003129FE" w:rsidRPr="00725291"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lastRenderedPageBreak/>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A scaling factor that is a linear function of the ratio of the margin offset to total account charges (</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r>
          <w:rPr>
            <w:rFonts w:ascii="Cambria Math" w:eastAsia="Times New Roman" w:hAnsi="Cambria Math"/>
          </w:rPr>
          <m:t>×W</m:t>
        </m:r>
      </m:oMath>
      <w:r w:rsidRPr="00725291">
        <w:rPr>
          <w:rFonts w:ascii="Times New Roman" w:eastAsia="Times New Roman" w:hAnsi="Times New Roman"/>
        </w:rPr>
        <w:t>. The intercept and slope factors for this linear function may vary according to:</w:t>
      </w:r>
    </w:p>
    <w:p w14:paraId="71D18821"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p>
    <w:p w14:paraId="0E60436A"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p>
    <w:p w14:paraId="1E0702DD"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p>
    <w:p w14:paraId="0E05AB75"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Attained age.</w:t>
      </w:r>
    </w:p>
    <w:p w14:paraId="0A8F72CF"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p>
    <w:p w14:paraId="3C3437BB"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p>
    <w:p w14:paraId="3A4AD42E"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079BCA0E"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F, G, β</w:t>
      </w:r>
      <w:r w:rsidRPr="00725291">
        <w:rPr>
          <w:rFonts w:ascii="Times New Roman" w:eastAsia="Times New Roman" w:hAnsi="Times New Roman"/>
          <w:i/>
          <w:vertAlign w:val="subscript"/>
        </w:rPr>
        <w:t>1</w:t>
      </w:r>
      <w:r w:rsidRPr="00063E8C">
        <w:rPr>
          <w:rFonts w:ascii="Times New Roman" w:hAnsi="Times New Roman"/>
          <w:i/>
          <w:vertAlign w:val="subscript"/>
        </w:rPr>
        <w:t xml:space="preserve"> </w:t>
      </w:r>
      <w:r w:rsidRPr="00725291">
        <w:rPr>
          <w:rFonts w:ascii="Times New Roman" w:eastAsia="Times New Roman" w:hAnsi="Times New Roman"/>
        </w:rPr>
        <w:t>and</w:t>
      </w:r>
      <w:r w:rsidRPr="00063E8C">
        <w:rPr>
          <w:rFonts w:ascii="Times New Roman" w:hAnsi="Times New Roman"/>
          <w:i/>
        </w:rPr>
        <w:t xml:space="preserve"> </w:t>
      </w:r>
      <w:r w:rsidRPr="00725291">
        <w:rPr>
          <w:rFonts w:ascii="Times New Roman" w:eastAsia="Times New Roman" w:hAnsi="Times New Roman"/>
          <w:i/>
        </w:rPr>
        <w:t>β</w:t>
      </w:r>
      <w:r w:rsidRPr="00725291">
        <w:rPr>
          <w:rFonts w:ascii="Times New Roman" w:eastAsia="Times New Roman" w:hAnsi="Times New Roman"/>
          <w:i/>
          <w:vertAlign w:val="subscript"/>
        </w:rPr>
        <w:t>2</w:t>
      </w:r>
      <w:r w:rsidRPr="00063E8C">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federal income tax are available from the NAIC. In calculating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eastAsia="Times New Roman" w:hAnsi="Times New Roman"/>
        </w:rPr>
        <w:t xml:space="preserve"> 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0DA419F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p>
    <w:p w14:paraId="59EC8BE0"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p>
    <w:p w14:paraId="62BEE69E"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Ratio of account value to GMDB.</w:t>
      </w:r>
    </w:p>
    <w:p w14:paraId="50A217DC" w14:textId="77777777" w:rsidR="003129FE" w:rsidRPr="00725291" w:rsidRDefault="003129FE"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19DF7522"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w:t>
      </w:r>
      <w:r w:rsidRPr="00325F0B">
        <w:rPr>
          <w:rFonts w:ascii="Times New Roman" w:eastAsia="Times New Roman" w:hAnsi="Times New Roman"/>
        </w:rPr>
        <w:t xml:space="preserve">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w:t>
      </w:r>
      <w:r w:rsidRPr="00725291">
        <w:rPr>
          <w:rFonts w:ascii="Times New Roman" w:eastAsia="Times New Roman" w:hAnsi="Times New Roman"/>
        </w:rPr>
        <w:t xml:space="preserve">and revenue sharing described in Section </w:t>
      </w:r>
      <w:r>
        <w:rPr>
          <w:rFonts w:ascii="Times New Roman" w:eastAsia="Times New Roman" w:hAnsi="Times New Roman"/>
        </w:rPr>
        <w:t>4</w:t>
      </w:r>
      <w:r w:rsidRPr="00725291">
        <w:rPr>
          <w:rFonts w:ascii="Times New Roman" w:eastAsia="Times New Roman" w:hAnsi="Times New Roman"/>
        </w:rPr>
        <w:t xml:space="preserve">.A.5. Net asset-based charges equal gross asset-based charges less any company expenses assumed to be incurred expressed as a percentage of account value. All expenses that would be assumed if a stochastic reserve </w:t>
      </w:r>
      <w:r w:rsidR="003C482A" w:rsidRPr="00725291">
        <w:rPr>
          <w:rFonts w:ascii="Times New Roman" w:eastAsia="Times New Roman" w:hAnsi="Times New Roman"/>
        </w:rPr>
        <w:t>was</w:t>
      </w:r>
      <w:r w:rsidRPr="00725291">
        <w:rPr>
          <w:rFonts w:ascii="Times New Roman" w:eastAsia="Times New Roman" w:hAnsi="Times New Roman"/>
        </w:rPr>
        <w:t xml:space="preserve"> being computed as described in Section 4.A.1 should be reflected either in the calculation of the net </w:t>
      </w:r>
      <w:r w:rsidR="003C482A" w:rsidRPr="00725291">
        <w:rPr>
          <w:rFonts w:ascii="Times New Roman" w:eastAsia="Times New Roman" w:hAnsi="Times New Roman"/>
        </w:rPr>
        <w:t>asset-based</w:t>
      </w:r>
      <w:r w:rsidRPr="00725291">
        <w:rPr>
          <w:rFonts w:ascii="Times New Roman" w:eastAsia="Times New Roman" w:hAnsi="Times New Roman"/>
        </w:rPr>
        <w:t xml:space="preserve">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6BE8BCF0"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No adjustment is made for federal income taxes in any of the components listed above.</w:t>
      </w:r>
    </w:p>
    <w:p w14:paraId="5AA544E3" w14:textId="2C9D6568"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For purposes of determining the reserve using the Alternative Methodology, any interpretation and application of the requirements of these requirements shall follow the principles discussed in Section 1.B.</w:t>
      </w:r>
    </w:p>
    <w:p w14:paraId="1150A27E" w14:textId="77777777" w:rsidR="003129FE" w:rsidRPr="00725291" w:rsidRDefault="003129FE"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5D767012"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1.</w:t>
      </w:r>
      <w:r w:rsidRPr="00725291">
        <w:rPr>
          <w:rFonts w:ascii="Times New Roman" w:eastAsia="Times New Roman" w:hAnsi="Times New Roman"/>
        </w:rPr>
        <w:tab/>
        <w:t>General Description</w:t>
      </w:r>
    </w:p>
    <w:p w14:paraId="23B65A80"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25BAB2EC" w14:textId="3F720F77" w:rsidR="003129FE" w:rsidRPr="00725291" w:rsidRDefault="003129FE"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066EDA16" w14:textId="77777777" w:rsidR="003129FE" w:rsidRPr="00725291" w:rsidRDefault="003129FE" w:rsidP="00F918A7">
      <w:pPr>
        <w:tabs>
          <w:tab w:val="left" w:pos="1440"/>
        </w:tabs>
        <w:spacing w:after="220" w:line="240" w:lineRule="auto"/>
        <w:jc w:val="both"/>
        <w:rPr>
          <w:rFonts w:ascii="TimesNewRomanPSMT" w:eastAsiaTheme="minorHAnsi" w:hAnsi="TimesNewRomanPSMT" w:cs="TimesNewRomanPSMT"/>
        </w:rPr>
      </w:pPr>
      <w:r w:rsidRPr="00725291">
        <w:rPr>
          <w:rFonts w:ascii="Times New Roman" w:eastAsia="Times New Roman" w:hAnsi="Times New Roman"/>
          <w:sz w:val="20"/>
          <w:szCs w:val="20"/>
        </w:rPr>
        <w:tab/>
      </w:r>
      <w:r w:rsidR="00190B3A" w:rsidRPr="00725291">
        <w:rPr>
          <w:rFonts w:ascii="Times New Roman" w:hAnsi="Times New Roman"/>
          <w:noProof/>
          <w:position w:val="-32"/>
          <w:sz w:val="20"/>
          <w:szCs w:val="20"/>
        </w:rPr>
        <w:object w:dxaOrig="4140" w:dyaOrig="760" w14:anchorId="2869A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36pt;mso-width-percent:0;mso-height-percent:0;mso-width-percent:0;mso-height-percent:0" o:ole="" fillcolor="window">
            <v:imagedata r:id="rId9" o:title=""/>
          </v:shape>
          <o:OLEObject Type="Embed" ProgID="Equation.3" ShapeID="_x0000_i1025" DrawAspect="Content" ObjectID="_1613468732" r:id="rId10"/>
        </w:object>
      </w:r>
      <w:r w:rsidRPr="00725291">
        <w:rPr>
          <w:rFonts w:ascii="Times New Roman" w:hAnsi="Times New Roman"/>
          <w:sz w:val="20"/>
          <w:szCs w:val="20"/>
        </w:rPr>
        <w:t xml:space="preserve">, </w:t>
      </w:r>
      <w:r w:rsidRPr="00725291">
        <w:rPr>
          <w:rFonts w:ascii="TimesNewRomanPSMT" w:eastAsiaTheme="minorHAnsi" w:hAnsi="TimesNewRomanPSMT" w:cs="TimesNewRomanPSMT"/>
        </w:rPr>
        <w:t xml:space="preserve">where </w:t>
      </w:r>
      <w:r w:rsidRPr="00725291">
        <w:rPr>
          <w:rFonts w:ascii="Times New Roman" w:eastAsiaTheme="minorHAnsi" w:hAnsi="Times New Roman"/>
          <w:i/>
          <w:iCs/>
        </w:rPr>
        <w:t>U</w:t>
      </w:r>
      <w:r w:rsidRPr="00725291">
        <w:rPr>
          <w:rFonts w:ascii="TimesNewRomanPSMT" w:eastAsiaTheme="minorHAnsi" w:hAnsi="TimesNewRomanPSMT" w:cs="TimesNewRomanPSMT"/>
        </w:rPr>
        <w:t xml:space="preserve">=1, </w:t>
      </w:r>
      <w:r w:rsidRPr="00725291">
        <w:rPr>
          <w:rFonts w:ascii="Times New Roman" w:eastAsiaTheme="minorHAnsi" w:hAnsi="Times New Roman"/>
          <w:i/>
          <w:iCs/>
        </w:rPr>
        <w:t>L</w:t>
      </w:r>
      <w:r w:rsidRPr="00725291">
        <w:rPr>
          <w:rFonts w:ascii="TimesNewRomanPSMT" w:eastAsiaTheme="minorHAnsi" w:hAnsi="TimesNewRomanPSMT" w:cs="TimesNewRomanPSMT"/>
        </w:rPr>
        <w:t xml:space="preserve">=0.5, </w:t>
      </w:r>
      <w:r w:rsidRPr="00725291">
        <w:rPr>
          <w:rFonts w:ascii="Times New Roman" w:eastAsiaTheme="minorHAnsi" w:hAnsi="Times New Roman"/>
          <w:i/>
          <w:iCs/>
        </w:rPr>
        <w:t>M</w:t>
      </w:r>
      <w:r w:rsidRPr="00725291">
        <w:rPr>
          <w:rFonts w:ascii="TimesNewRomanPSMT" w:eastAsiaTheme="minorHAnsi" w:hAnsi="TimesNewRomanPSMT" w:cs="TimesNewRomanPSMT"/>
        </w:rPr>
        <w:t xml:space="preserve">=1.25, and </w:t>
      </w:r>
      <w:r w:rsidRPr="00725291">
        <w:rPr>
          <w:rFonts w:ascii="Times New Roman" w:eastAsiaTheme="minorHAnsi" w:hAnsi="Times New Roman"/>
          <w:i/>
          <w:iCs/>
        </w:rPr>
        <w:t>D</w:t>
      </w:r>
      <w:r w:rsidRPr="00725291">
        <w:rPr>
          <w:rFonts w:ascii="TimesNewRomanPSMT" w:eastAsiaTheme="minorHAnsi" w:hAnsi="TimesNewRomanPSMT" w:cs="TimesNewRomanPSMT"/>
        </w:rPr>
        <w:t>=1.1.</w:t>
      </w:r>
    </w:p>
    <w:p w14:paraId="65B12301" w14:textId="77777777" w:rsidR="003129FE" w:rsidRPr="00725291" w:rsidRDefault="003129FE" w:rsidP="00E0308F">
      <w:pPr>
        <w:autoSpaceDE w:val="0"/>
        <w:autoSpaceDN w:val="0"/>
        <w:adjustRightInd w:val="0"/>
        <w:ind w:left="1440"/>
        <w:jc w:val="both"/>
        <w:rPr>
          <w:rFonts w:ascii="Times New Roman" w:hAnsi="Times New Roman"/>
          <w:sz w:val="20"/>
          <w:szCs w:val="20"/>
        </w:rPr>
      </w:pPr>
      <w:r w:rsidRPr="00725291">
        <w:rPr>
          <w:rFonts w:ascii="TimesNewRomanPSMT" w:eastAsiaTheme="minorHAnsi" w:hAnsi="TimesNewRomanPSMT" w:cs="TimesNewRomanPSMT"/>
        </w:rPr>
        <w:t>Present values shall be computed over the period from the valuation date to contract maturity at a discount rate of 5.75%.</w:t>
      </w:r>
    </w:p>
    <w:p w14:paraId="5798D339" w14:textId="17A275A7" w:rsidR="003129FE" w:rsidRDefault="003129FE" w:rsidP="0021502F">
      <w:pPr>
        <w:spacing w:after="220" w:line="240" w:lineRule="auto"/>
        <w:ind w:left="1440"/>
        <w:jc w:val="both"/>
        <w:rPr>
          <w:rFonts w:ascii="Times New Roman" w:eastAsia="Times New Roman" w:hAnsi="Times New Roman"/>
        </w:rPr>
      </w:pPr>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r w:rsidRPr="00725291">
        <w:rPr>
          <w:rFonts w:ascii="Times New Roman" w:eastAsia="Times New Roman" w:hAnsi="Times New Roman"/>
        </w:rPr>
        <w:t xml:space="preserve">Projected fund performance underlying the account values is as shown in the table below. Unlike the </w:t>
      </w:r>
      <w:r w:rsidRPr="00725291">
        <w:rPr>
          <w:rFonts w:ascii="Times New Roman" w:eastAsia="Times New Roman" w:hAnsi="Times New Roman"/>
          <w:i/>
        </w:rPr>
        <w:t xml:space="preserve">GC </w:t>
      </w:r>
      <w:r w:rsidRPr="00725291">
        <w:rPr>
          <w:rFonts w:ascii="Times New Roman" w:eastAsia="Times New Roman" w:hAnsi="Times New Roman"/>
        </w:rPr>
        <w:t xml:space="preserve">component, which requires the entire account value to be mapped, using the fund categorization rules set forth in Section </w:t>
      </w:r>
      <w:r>
        <w:rPr>
          <w:rFonts w:ascii="Times New Roman" w:eastAsia="Times New Roman" w:hAnsi="Times New Roman"/>
        </w:rPr>
        <w:t>7</w:t>
      </w:r>
      <w:r w:rsidRPr="00725291">
        <w:rPr>
          <w:rFonts w:ascii="Times New Roman" w:eastAsia="Times New Roman" w:hAnsi="Times New Roman"/>
        </w:rPr>
        <w:t xml:space="preserve">.D, to a single “equivalent” asset class (as described in Section </w:t>
      </w:r>
      <w:r>
        <w:rPr>
          <w:rFonts w:ascii="Times New Roman" w:eastAsia="Times New Roman" w:hAnsi="Times New Roman"/>
        </w:rPr>
        <w:t>7</w:t>
      </w:r>
      <w:r w:rsidRPr="00725291">
        <w:rPr>
          <w:rFonts w:ascii="Times New Roman" w:eastAsia="Times New Roman" w:hAnsi="Times New Roman"/>
        </w:rPr>
        <w:t xml:space="preserve">.D.3), the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calculation separately projects each variable subaccount (as mapped to the eight prescribed categories shown in Section </w:t>
      </w:r>
      <w:r>
        <w:rPr>
          <w:rFonts w:ascii="Times New Roman" w:eastAsia="Times New Roman" w:hAnsi="Times New Roman"/>
        </w:rPr>
        <w:t>7</w:t>
      </w:r>
      <w:r w:rsidRPr="00725291">
        <w:rPr>
          <w:rFonts w:ascii="Times New Roman" w:eastAsia="Times New Roman" w:hAnsi="Times New Roman"/>
        </w:rPr>
        <w:t>.D using the net asset returns shown in the following table). If surrender charges are based wholly on deposits or premiums as opposed to account value, use of this table may not be necessary.</w:t>
      </w:r>
    </w:p>
    <w:p w14:paraId="1CEC2732" w14:textId="77777777" w:rsidR="003129FE" w:rsidRPr="00725291" w:rsidRDefault="003129FE" w:rsidP="0021502F">
      <w:pPr>
        <w:spacing w:after="220" w:line="240" w:lineRule="auto"/>
        <w:ind w:left="1440"/>
        <w:jc w:val="both"/>
        <w:rPr>
          <w:rFonts w:ascii="Times New Roman" w:eastAsia="Times New Roman" w:hAnsi="Times New Roman"/>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725291" w14:paraId="25327028" w14:textId="77777777" w:rsidTr="00063E8C">
        <w:trPr>
          <w:trHeight w:hRule="exact" w:val="377"/>
        </w:trPr>
        <w:tc>
          <w:tcPr>
            <w:tcW w:w="3241" w:type="dxa"/>
            <w:vAlign w:val="center"/>
          </w:tcPr>
          <w:p w14:paraId="2AA87BD0" w14:textId="4E88434F"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Class/Fund</w:t>
            </w:r>
          </w:p>
        </w:tc>
        <w:tc>
          <w:tcPr>
            <w:tcW w:w="2835" w:type="dxa"/>
            <w:vAlign w:val="center"/>
          </w:tcPr>
          <w:p w14:paraId="1CA29B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3129FE" w:rsidRPr="00725291" w14:paraId="40E6E1EA" w14:textId="77777777" w:rsidTr="00063E8C">
        <w:trPr>
          <w:trHeight w:hRule="exact" w:val="374"/>
        </w:trPr>
        <w:tc>
          <w:tcPr>
            <w:tcW w:w="3241" w:type="dxa"/>
            <w:vAlign w:val="center"/>
          </w:tcPr>
          <w:p w14:paraId="1B057F28"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vAlign w:val="center"/>
          </w:tcPr>
          <w:p w14:paraId="3CEBE61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3129FE" w:rsidRPr="00725291" w14:paraId="7810D375" w14:textId="77777777" w:rsidTr="00063E8C">
        <w:trPr>
          <w:trHeight w:hRule="exact" w:val="374"/>
        </w:trPr>
        <w:tc>
          <w:tcPr>
            <w:tcW w:w="3241" w:type="dxa"/>
            <w:vAlign w:val="center"/>
          </w:tcPr>
          <w:p w14:paraId="74759483"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vAlign w:val="center"/>
          </w:tcPr>
          <w:p w14:paraId="5DCF62DE"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4D0006C7" w14:textId="77777777" w:rsidTr="00063E8C">
        <w:trPr>
          <w:trHeight w:hRule="exact" w:val="374"/>
        </w:trPr>
        <w:tc>
          <w:tcPr>
            <w:tcW w:w="3241" w:type="dxa"/>
            <w:vAlign w:val="center"/>
          </w:tcPr>
          <w:p w14:paraId="388D368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vAlign w:val="center"/>
          </w:tcPr>
          <w:p w14:paraId="1C7198C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12BB82CC" w14:textId="77777777" w:rsidTr="00063E8C">
        <w:trPr>
          <w:trHeight w:hRule="exact" w:val="377"/>
        </w:trPr>
        <w:tc>
          <w:tcPr>
            <w:tcW w:w="3241" w:type="dxa"/>
            <w:vAlign w:val="center"/>
          </w:tcPr>
          <w:p w14:paraId="1510E85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vAlign w:val="center"/>
          </w:tcPr>
          <w:p w14:paraId="44AF43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3129FE" w:rsidRPr="00725291" w14:paraId="5F2886B4" w14:textId="77777777" w:rsidTr="00063E8C">
        <w:trPr>
          <w:trHeight w:hRule="exact" w:val="374"/>
        </w:trPr>
        <w:tc>
          <w:tcPr>
            <w:tcW w:w="3241" w:type="dxa"/>
            <w:vAlign w:val="center"/>
          </w:tcPr>
          <w:p w14:paraId="3E9594C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vAlign w:val="center"/>
          </w:tcPr>
          <w:p w14:paraId="0B79EA91"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2%</w:t>
            </w:r>
          </w:p>
        </w:tc>
      </w:tr>
      <w:tr w:rsidR="003129FE" w:rsidRPr="00725291" w14:paraId="6E753164" w14:textId="77777777" w:rsidTr="00063E8C">
        <w:trPr>
          <w:trHeight w:hRule="exact" w:val="374"/>
        </w:trPr>
        <w:tc>
          <w:tcPr>
            <w:tcW w:w="3241" w:type="dxa"/>
            <w:vAlign w:val="center"/>
          </w:tcPr>
          <w:p w14:paraId="30C492E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vAlign w:val="center"/>
          </w:tcPr>
          <w:p w14:paraId="0044E797"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3%</w:t>
            </w:r>
          </w:p>
        </w:tc>
      </w:tr>
      <w:tr w:rsidR="003129FE" w:rsidRPr="00725291" w14:paraId="63B681B7" w14:textId="77777777" w:rsidTr="00063E8C">
        <w:trPr>
          <w:trHeight w:hRule="exact" w:val="374"/>
        </w:trPr>
        <w:tc>
          <w:tcPr>
            <w:tcW w:w="3241" w:type="dxa"/>
            <w:vAlign w:val="center"/>
          </w:tcPr>
          <w:p w14:paraId="20F4C99C"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vAlign w:val="center"/>
          </w:tcPr>
          <w:p w14:paraId="69E72655"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5%</w:t>
            </w:r>
          </w:p>
        </w:tc>
      </w:tr>
      <w:tr w:rsidR="003129FE" w:rsidRPr="00725291" w14:paraId="677231AA" w14:textId="77777777" w:rsidTr="00063E8C">
        <w:trPr>
          <w:trHeight w:hRule="exact" w:val="377"/>
        </w:trPr>
        <w:tc>
          <w:tcPr>
            <w:tcW w:w="3241" w:type="dxa"/>
            <w:vAlign w:val="center"/>
          </w:tcPr>
          <w:p w14:paraId="6B9B267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vAlign w:val="center"/>
          </w:tcPr>
          <w:p w14:paraId="3A1F8D08"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8%</w:t>
            </w:r>
          </w:p>
        </w:tc>
      </w:tr>
    </w:tbl>
    <w:p w14:paraId="22E824B8" w14:textId="77777777" w:rsidR="003129FE" w:rsidRPr="00725291" w:rsidRDefault="003129FE" w:rsidP="0021502F">
      <w:pPr>
        <w:spacing w:after="0" w:line="240" w:lineRule="auto"/>
        <w:jc w:val="both"/>
        <w:rPr>
          <w:rFonts w:ascii="Times New Roman" w:hAnsi="Times New Roman"/>
        </w:rPr>
      </w:pPr>
    </w:p>
    <w:p w14:paraId="3ED57824" w14:textId="5C8B1E04"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291">
        <w:rPr>
          <w:rFonts w:ascii="Times New Roman" w:eastAsia="Times New Roman" w:hAnsi="Times New Roman"/>
        </w:rPr>
        <w:t>2.</w:t>
      </w:r>
      <w:r w:rsidRPr="00725291">
        <w:rPr>
          <w:rFonts w:ascii="Times New Roman" w:eastAsia="Times New Roman" w:hAnsi="Times New Roman"/>
        </w:rPr>
        <w:tab/>
        <w:t xml:space="preserve">Component </w:t>
      </w:r>
      <w:r w:rsidRPr="00725291">
        <w:rPr>
          <w:rFonts w:ascii="Times New Roman" w:eastAsia="Times New Roman" w:hAnsi="Times New Roman"/>
          <w:i/>
        </w:rPr>
        <w:t>CA</w:t>
      </w:r>
    </w:p>
    <w:p w14:paraId="1E6ED9FE"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008716D"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291">
        <w:rPr>
          <w:rFonts w:ascii="Times New Roman" w:eastAsia="Times New Roman" w:hAnsi="Times New Roman"/>
        </w:rPr>
        <w:t xml:space="preserve">This component can be interpreted as the “amount needed to amortize the unamortized surrender charge allowance for the </w:t>
      </w:r>
      <w:r w:rsidRPr="00725291">
        <w:rPr>
          <w:rFonts w:ascii="Times New Roman" w:eastAsia="Times New Roman" w:hAnsi="Times New Roman"/>
          <w:i/>
        </w:rPr>
        <w:t xml:space="preserve">persisting </w:t>
      </w:r>
      <w:r w:rsidRPr="00725291">
        <w:rPr>
          <w:rFonts w:ascii="Times New Roman" w:eastAsia="Times New Roman" w:hAnsi="Times New Roman"/>
        </w:rPr>
        <w:t xml:space="preserve">policies plus the implied borrowing cost.” By definition, the amortization for non-persisting lives in each time period is exactly offset by the collected surrender charge revenue (ignoring timing differences and any waiver upon death). The unamortized balance </w:t>
      </w:r>
      <w:r w:rsidRPr="00725291">
        <w:rPr>
          <w:rFonts w:ascii="Times New Roman" w:eastAsia="Times New Roman" w:hAnsi="Times New Roman"/>
        </w:rPr>
        <w:lastRenderedPageBreak/>
        <w:t>must be projected to the end of the surrender charge period using the net asset returns and Dynamic Lapse Multiplier, both as described above,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 and may vary according to the attributes of the business being valued including, but not limited to, attained age, contract duration, etc.</w:t>
      </w:r>
    </w:p>
    <w:p w14:paraId="2922BFE8" w14:textId="77777777" w:rsidR="003129FE" w:rsidRPr="00725291"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FE</w:t>
      </w:r>
    </w:p>
    <w:p w14:paraId="3528DE81"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725291"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46E837BA"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55AEBB9A" w14:textId="5B14C88F" w:rsidR="003129FE" w:rsidRPr="00725291"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is calculated as </w:t>
      </w:r>
      <w:r w:rsidRPr="00725291">
        <w:rPr>
          <w:rFonts w:ascii="Times New Roman" w:eastAsia="Times New Roman" w:hAnsi="Times New Roman"/>
          <w:i/>
          <w:position w:val="-1"/>
        </w:rPr>
        <w:t>F×GV-G×AV×R</w:t>
      </w:r>
      <w:r w:rsidRPr="00725291">
        <w:rPr>
          <w:rFonts w:ascii="Times New Roman" w:eastAsia="Times New Roman" w:hAnsi="Times New Roman"/>
          <w:position w:val="-1"/>
        </w:rPr>
        <w:t>,</w:t>
      </w:r>
      <w:r w:rsidRPr="00725291">
        <w:rPr>
          <w:noProof/>
        </w:rPr>
        <w:fldChar w:fldCharType="begin"/>
      </w:r>
      <w:r w:rsidRPr="00725291">
        <w:rPr>
          <w:noProof/>
        </w:rPr>
        <w:fldChar w:fldCharType="end"/>
      </w:r>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r w:rsidRPr="00725291">
        <w:t>β</w:t>
      </w:r>
      <w:r w:rsidRPr="00725291">
        <w:rPr>
          <w:vertAlign w:val="subscript"/>
        </w:rPr>
        <w:t>1</w:t>
      </w:r>
      <w:r w:rsidRPr="00063E8C">
        <w:rPr>
          <w:vertAlign w:val="subscript"/>
        </w:rPr>
        <w:t xml:space="preserve"> </w:t>
      </w:r>
      <w:r w:rsidRPr="00063E8C">
        <w:t xml:space="preserve">and </w:t>
      </w:r>
      <w:r w:rsidRPr="00725291">
        <w:t>β</w:t>
      </w:r>
      <w:r w:rsidRPr="00725291">
        <w:rPr>
          <w:vertAlign w:val="subscript"/>
        </w:rPr>
        <w:t>2</w:t>
      </w:r>
      <w:r w:rsidRPr="00725291">
        <w:rPr>
          <w:rFonts w:ascii="Times New Roman" w:eastAsia="Times New Roman" w:hAnsi="Times New Roman"/>
          <w:position w:val="-1"/>
        </w:rPr>
        <w:t xml:space="preserve">) are pre-calculated factors available from the NAIC and known herein as the “pre-calculated factors.” The factors shall be interpolated as described in Section </w:t>
      </w:r>
      <w:r>
        <w:rPr>
          <w:rFonts w:ascii="Times New Roman" w:eastAsia="Times New Roman" w:hAnsi="Times New Roman"/>
          <w:position w:val="-1"/>
        </w:rPr>
        <w:t>7</w:t>
      </w:r>
      <w:r w:rsidRPr="00725291">
        <w:rPr>
          <w:rFonts w:ascii="Times New Roman" w:eastAsia="Times New Roman" w:hAnsi="Times New Roman"/>
          <w:position w:val="-1"/>
        </w:rPr>
        <w:t xml:space="preserve">.C.6 and modified as necessary as described in Section </w:t>
      </w:r>
      <w:r>
        <w:rPr>
          <w:rFonts w:ascii="Times New Roman" w:eastAsia="Times New Roman" w:hAnsi="Times New Roman"/>
          <w:position w:val="-1"/>
        </w:rPr>
        <w:t>7</w:t>
      </w:r>
      <w:r w:rsidRPr="00725291">
        <w:rPr>
          <w:rFonts w:ascii="Times New Roman" w:eastAsia="Times New Roman" w:hAnsi="Times New Roman"/>
          <w:position w:val="-1"/>
        </w:rPr>
        <w:t xml:space="preserve">.C.7 and Section </w:t>
      </w:r>
      <w:r>
        <w:rPr>
          <w:rFonts w:ascii="Times New Roman" w:eastAsia="Times New Roman" w:hAnsi="Times New Roman"/>
          <w:position w:val="-1"/>
        </w:rPr>
        <w:t>7</w:t>
      </w:r>
      <w:r w:rsidRPr="00725291">
        <w:rPr>
          <w:rFonts w:ascii="Times New Roman" w:eastAsia="Times New Roman" w:hAnsi="Times New Roman"/>
          <w:position w:val="-1"/>
        </w:rPr>
        <w:t>.C.8.</w:t>
      </w:r>
    </w:p>
    <w:p w14:paraId="2B5FE567"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18F06DD2"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5AB1DD1D" w14:textId="475EFC9A"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r>
        <w:rPr>
          <w:rFonts w:ascii="Times New Roman" w:eastAsia="Times New Roman" w:hAnsi="Times New Roman"/>
        </w:rPr>
        <w:t>7</w:t>
      </w:r>
      <w:r w:rsidRPr="00725291">
        <w:rPr>
          <w:rFonts w:ascii="Times New Roman" w:eastAsia="Times New Roman" w:hAnsi="Times New Roman"/>
        </w:rPr>
        <w:t>.C.3.</w:t>
      </w:r>
    </w:p>
    <w:p w14:paraId="747C9AD7" w14:textId="7925AFC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r>
        <w:rPr>
          <w:rFonts w:ascii="Times New Roman" w:eastAsia="Times New Roman" w:hAnsi="Times New Roman"/>
        </w:rPr>
        <w:t>7</w:t>
      </w:r>
      <w:r w:rsidRPr="00725291">
        <w:rPr>
          <w:rFonts w:ascii="Times New Roman" w:eastAsia="Times New Roman" w:hAnsi="Times New Roman"/>
        </w:rPr>
        <w:t xml:space="preserve">.C.4 and Section </w:t>
      </w:r>
      <w:r>
        <w:rPr>
          <w:rFonts w:ascii="Times New Roman" w:eastAsia="Times New Roman" w:hAnsi="Times New Roman"/>
        </w:rPr>
        <w:t>7</w:t>
      </w:r>
      <w:r w:rsidRPr="00725291">
        <w:rPr>
          <w:rFonts w:ascii="Times New Roman" w:eastAsia="Times New Roman" w:hAnsi="Times New Roman"/>
        </w:rPr>
        <w:t>.C.5.</w:t>
      </w:r>
    </w:p>
    <w:p w14:paraId="6B4D2D3A" w14:textId="35D54D38"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r>
        <w:rPr>
          <w:rFonts w:ascii="Times New Roman" w:eastAsia="Times New Roman" w:hAnsi="Times New Roman"/>
        </w:rPr>
        <w:t>7</w:t>
      </w:r>
      <w:r w:rsidRPr="00725291">
        <w:rPr>
          <w:rFonts w:ascii="Times New Roman" w:eastAsia="Times New Roman" w:hAnsi="Times New Roman"/>
        </w:rPr>
        <w:t>.C.5.</w:t>
      </w:r>
    </w:p>
    <w:p w14:paraId="0ACD057B" w14:textId="530034C9"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r>
        <w:rPr>
          <w:rFonts w:ascii="Times New Roman" w:eastAsia="Times New Roman" w:hAnsi="Times New Roman"/>
        </w:rPr>
        <w:t>7</w:t>
      </w:r>
      <w:r w:rsidRPr="00725291">
        <w:rPr>
          <w:rFonts w:ascii="Times New Roman" w:eastAsia="Times New Roman" w:hAnsi="Times New Roman"/>
        </w:rPr>
        <w:t xml:space="preserve">.C.6. </w:t>
      </w:r>
    </w:p>
    <w:p w14:paraId="7657F973" w14:textId="7777777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2809B2B4" w14:textId="77777777" w:rsidR="003129FE" w:rsidRPr="00725291" w:rsidRDefault="003129FE"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17197C09" w14:textId="78015746" w:rsidR="003129FE" w:rsidRPr="00725291" w:rsidRDefault="003129FE"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r>
        <w:rPr>
          <w:rFonts w:ascii="Times New Roman" w:eastAsia="Times New Roman" w:hAnsi="Times New Roman"/>
        </w:rPr>
        <w:t>7</w:t>
      </w:r>
      <w:r w:rsidRPr="00725291">
        <w:rPr>
          <w:rFonts w:ascii="Times New Roman" w:eastAsia="Times New Roman" w:hAnsi="Times New Roman"/>
        </w:rPr>
        <w:t xml:space="preserve">.D, using the fund categorization rules in Section </w:t>
      </w:r>
      <w:r>
        <w:rPr>
          <w:rFonts w:ascii="Times New Roman" w:eastAsia="Times New Roman" w:hAnsi="Times New Roman"/>
        </w:rPr>
        <w:t>7</w:t>
      </w:r>
      <w:r w:rsidRPr="00725291">
        <w:rPr>
          <w:rFonts w:ascii="Times New Roman" w:eastAsia="Times New Roman" w:hAnsi="Times New Roman"/>
        </w:rPr>
        <w:t>.D.</w:t>
      </w:r>
    </w:p>
    <w:p w14:paraId="47B8142D" w14:textId="77777777" w:rsidR="003129FE" w:rsidRPr="00725291"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7BEAD0F2" w14:textId="768697B8" w:rsidR="003129FE" w:rsidRPr="00725291" w:rsidRDefault="003129FE" w:rsidP="00063E8C">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063E8C">
        <w:rPr>
          <w:rFonts w:ascii="Times New Roman" w:hAnsi="Times New Roman"/>
        </w:rPr>
        <w:t xml:space="preserve"> </w:t>
      </w:r>
      <w:r w:rsidRPr="00725291">
        <w:rPr>
          <w:rFonts w:ascii="Times New Roman" w:eastAsia="Times New Roman" w:hAnsi="Times New Roman"/>
        </w:rPr>
        <w:t>are available with the pre-calculated factors for the following GMDB product designs:</w:t>
      </w:r>
    </w:p>
    <w:p w14:paraId="7A5EC28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Return of premium (ROP).</w:t>
      </w:r>
    </w:p>
    <w:p w14:paraId="2058D2F7" w14:textId="129B49C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b.</w:t>
      </w:r>
      <w:r w:rsidRPr="00725291">
        <w:rPr>
          <w:rFonts w:ascii="Times New Roman" w:eastAsia="Times New Roman" w:hAnsi="Times New Roman"/>
        </w:rPr>
        <w:tab/>
        <w:t>Premiums less withdrawals accumulated at 3% per annum, capped at 2.5 times premiums less withdrawals, with no further increase beyond age 80 (ROLL3).</w:t>
      </w:r>
    </w:p>
    <w:p w14:paraId="0AA20A34" w14:textId="505F7DB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Premiums less withdrawals accumulated at 5% per annum, capped at 2.5 times premiums less withdrawals, with no further increase beyond age 80 (ROLL5).</w:t>
      </w:r>
    </w:p>
    <w:p w14:paraId="056E1069" w14:textId="434DC8C3"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An annual ratchet design (maximum anniversary value), for which the guaranteed benefit never decreases and is increased to equal the previous contract anniversary account value, if larger, with no further increases beyond age 80 (MAV).</w:t>
      </w:r>
    </w:p>
    <w:p w14:paraId="6A78435D" w14:textId="23D3094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 design having a guaranteed benefit equal to the larger of the benefits in designs c and d, above (HIGH).</w:t>
      </w:r>
    </w:p>
    <w:p w14:paraId="22BD41F8" w14:textId="41202B84"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(EDB) equal to 40% of the net earnings on the account (i.e., 40% of account value </w:t>
      </w:r>
      <w:proofErr w:type="gramStart"/>
      <w:r w:rsidRPr="00725291">
        <w:rPr>
          <w:rFonts w:ascii="Times New Roman" w:eastAsia="Times New Roman" w:hAnsi="Times New Roman"/>
        </w:rPr>
        <w:t>less</w:t>
      </w:r>
      <w:proofErr w:type="gramEnd"/>
      <w:r w:rsidRPr="00725291">
        <w:rPr>
          <w:rFonts w:ascii="Times New Roman" w:eastAsia="Times New Roman" w:hAnsi="Times New Roman"/>
        </w:rPr>
        <w:t xml:space="preserve"> total premiums paid plus withdrawals made), with this latter benefit capped at 40% of premiums less withdrawals.</w:t>
      </w:r>
    </w:p>
    <w:p w14:paraId="5198923F" w14:textId="77777777" w:rsidR="003129FE" w:rsidRPr="00725291" w:rsidRDefault="003129FE"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652F5BD8" w14:textId="49FCE4D3" w:rsidR="003129FE" w:rsidRPr="00063E8C" w:rsidRDefault="003129FE" w:rsidP="00063E8C">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 xml:space="preserve">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eastAsia="Times New Roman" w:hAnsi="Times New Roman"/>
        </w:rPr>
        <w:t xml:space="preserve"> </w:t>
      </w:r>
      <w:r w:rsidRPr="00725291">
        <w:rPr>
          <w:rFonts w:ascii="Times New Roman" w:eastAsia="Times New Roman" w:hAnsi="Times New Roman"/>
          <w:position w:val="3"/>
        </w:rPr>
        <w:t>are available within the pre-calculated factors for the following set of attributes:</w:t>
      </w:r>
      <w:r w:rsidRPr="00725291">
        <w:rPr>
          <w:rFonts w:ascii="Times New Roman" w:eastAsia="Times New Roman" w:hAnsi="Times New Roman"/>
          <w:position w:val="-1"/>
        </w:rPr>
        <w:t xml:space="preserve"> </w:t>
      </w:r>
    </w:p>
    <w:p w14:paraId="7E72B086" w14:textId="7E2AD63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Two partial withdrawal rules—one for contracts having a pro-rata reduction in the GMDB and another for contracts having a dollar-for-dollar reduction.</w:t>
      </w:r>
    </w:p>
    <w:p w14:paraId="10EAF680" w14:textId="4C694A7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r>
        <w:rPr>
          <w:rFonts w:ascii="Times New Roman" w:eastAsia="Times New Roman" w:hAnsi="Times New Roman"/>
        </w:rPr>
        <w:t>7</w:t>
      </w:r>
      <w:r w:rsidRPr="00725291">
        <w:rPr>
          <w:rFonts w:ascii="Times New Roman" w:eastAsia="Times New Roman" w:hAnsi="Times New Roman"/>
        </w:rPr>
        <w:t>.D.2.</w:t>
      </w:r>
    </w:p>
    <w:p w14:paraId="20FF3CA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p>
    <w:p w14:paraId="7AC7B12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p>
    <w:p w14:paraId="59E526F9"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063E8C">
        <w:rPr>
          <w:rFonts w:ascii="Times New Roman" w:hAnsi="Times New Roman"/>
          <w:i/>
        </w:rPr>
        <w:t>GV</w:t>
      </w:r>
      <w:r w:rsidRPr="00725291">
        <w:rPr>
          <w:rFonts w:ascii="Times New Roman" w:eastAsia="Times New Roman" w:hAnsi="Times New Roman"/>
        </w:rPr>
        <w:t>/</w:t>
      </w:r>
      <w:r w:rsidRPr="00063E8C">
        <w:rPr>
          <w:rFonts w:ascii="Times New Roman" w:hAnsi="Times New Roman"/>
          <w:i/>
        </w:rPr>
        <w:t>AV</w:t>
      </w:r>
      <w:r w:rsidRPr="00725291">
        <w:rPr>
          <w:rFonts w:ascii="Times New Roman" w:eastAsia="Times New Roman" w:hAnsi="Times New Roman"/>
        </w:rPr>
        <w:t>.</w:t>
      </w:r>
    </w:p>
    <w:p w14:paraId="471502A3"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0C12FB70" w14:textId="59B1DAA6" w:rsidR="003129FE" w:rsidRPr="00725291" w:rsidRDefault="003129FE" w:rsidP="00063E8C">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p>
    <w:p w14:paraId="4F44B175" w14:textId="19C58CBE"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r>
        <w:rPr>
          <w:rFonts w:ascii="Times New Roman" w:eastAsia="Times New Roman" w:hAnsi="Times New Roman"/>
        </w:rPr>
        <w:t>7</w:t>
      </w:r>
      <w:r w:rsidRPr="00725291">
        <w:rPr>
          <w:rFonts w:ascii="Times New Roman" w:eastAsia="Times New Roman" w:hAnsi="Times New Roman"/>
        </w:rPr>
        <w:t xml:space="preserve">.E.1 and shall be determined by selecting values for the appropriate partial withdrawal rule and asset class and then using multipoint linear interpolation among published values for the last four attributes shown in Section </w:t>
      </w:r>
      <w:r>
        <w:rPr>
          <w:rFonts w:ascii="Times New Roman" w:eastAsia="Times New Roman" w:hAnsi="Times New Roman"/>
        </w:rPr>
        <w:t>7</w:t>
      </w:r>
      <w:r w:rsidRPr="00725291">
        <w:rPr>
          <w:rFonts w:ascii="Times New Roman" w:eastAsia="Times New Roman" w:hAnsi="Times New Roman"/>
        </w:rPr>
        <w:t>.C.5.</w:t>
      </w:r>
    </w:p>
    <w:p w14:paraId="1958B112" w14:textId="1D78AF2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m:oMath>
        <m:r>
          <w:rPr>
            <w:rFonts w:ascii="Cambria Math" w:eastAsia="Times New Roman" w:hAnsi="Cambria Math"/>
          </w:rPr>
          <m:t>÷</m:t>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annualized account charge differential, as listed in Section </w:t>
      </w:r>
      <w:r>
        <w:rPr>
          <w:rFonts w:ascii="Times New Roman" w:eastAsia="Times New Roman" w:hAnsi="Times New Roman"/>
        </w:rPr>
        <w:t>7</w:t>
      </w:r>
      <w:r w:rsidRPr="00725291">
        <w:rPr>
          <w:rFonts w:ascii="Times New Roman" w:eastAsia="Times New Roman" w:hAnsi="Times New Roman"/>
        </w:rPr>
        <w:t>.E.3 (i.e., capped at +100 and floored at –100 bps).</w:t>
      </w:r>
    </w:p>
    <w:p w14:paraId="7A8DB1AA" w14:textId="49E7664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eastAsia="Times New Roman" w:hAnsi="Times New Roman"/>
        </w:rPr>
        <w:t xml:space="preserve">, the interpolation should be performed on the 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r w:rsidRPr="00725291">
        <w:rPr>
          <w:rFonts w:ascii="Times New Roman" w:hAnsi="Times New Roman"/>
        </w:rPr>
        <w:t>β</w:t>
      </w:r>
      <w:r w:rsidRPr="00725291">
        <w:rPr>
          <w:rFonts w:ascii="Times New Roman" w:hAnsi="Times New Roman"/>
          <w:vertAlign w:val="subscript"/>
        </w:rPr>
        <w:t>1</w:t>
      </w:r>
      <w:r w:rsidRPr="00725291">
        <w:rPr>
          <w:rFonts w:ascii="Times New Roman" w:hAnsi="Times New Roman"/>
        </w:rPr>
        <w:t>, β</w:t>
      </w:r>
      <w:r w:rsidRPr="00725291">
        <w:rPr>
          <w:rFonts w:ascii="Times New Roman" w:hAnsi="Times New Roman"/>
          <w:vertAlign w:val="subscript"/>
        </w:rPr>
        <w:t>2</w:t>
      </w:r>
      <w:r w:rsidRPr="00725291">
        <w:rPr>
          <w:rFonts w:ascii="Times New Roman" w:eastAsia="Times New Roman" w:hAnsi="Times New Roman"/>
        </w:rPr>
        <w:t>, using the ratio of margin offset to total asset charges (</w:t>
      </w:r>
      <w:r w:rsidRPr="00725291">
        <w:rPr>
          <w:rFonts w:ascii="Times New Roman" w:eastAsia="Times New Roman" w:hAnsi="Times New Roman"/>
          <w:i/>
        </w:rPr>
        <w:t>W</w:t>
      </w:r>
      <w:r w:rsidRPr="00725291">
        <w:rPr>
          <w:rFonts w:ascii="Times New Roman" w:eastAsia="Times New Roman" w:hAnsi="Times New Roman"/>
        </w:rPr>
        <w:t xml:space="preserve">), not on the factors </w:t>
      </w:r>
      <w:r w:rsidRPr="00725291">
        <w:rPr>
          <w:rFonts w:ascii="Times New Roman" w:hAnsi="Times New Roman"/>
        </w:rPr>
        <w:t>β</w:t>
      </w:r>
      <w:r w:rsidRPr="00725291">
        <w:rPr>
          <w:rFonts w:ascii="Times New Roman" w:hAnsi="Times New Roman"/>
          <w:vertAlign w:val="subscript"/>
        </w:rPr>
        <w:t>1</w:t>
      </w:r>
      <w:r w:rsidRPr="00063E8C">
        <w:rPr>
          <w:rFonts w:ascii="Times New Roman" w:hAnsi="Times New Roman"/>
          <w:vertAlign w:val="subscript"/>
        </w:rPr>
        <w:t xml:space="preserve"> </w:t>
      </w:r>
      <w:r w:rsidRPr="00725291">
        <w:rPr>
          <w:rFonts w:ascii="Times New Roman" w:eastAsia="Times New Roman" w:hAnsi="Times New Roman"/>
        </w:rPr>
        <w:t xml:space="preserve">and </w:t>
      </w:r>
      <w:r w:rsidRPr="00725291">
        <w:rPr>
          <w:rFonts w:ascii="Times New Roman" w:hAnsi="Times New Roman"/>
        </w:rPr>
        <w:t>β</w:t>
      </w:r>
      <w:r w:rsidRPr="00725291">
        <w:rPr>
          <w:rFonts w:ascii="Times New Roman" w:hAnsi="Times New Roman"/>
          <w:vertAlign w:val="subscript"/>
        </w:rPr>
        <w:t>2</w:t>
      </w:r>
      <w:r w:rsidRPr="00725291">
        <w:rPr>
          <w:rFonts w:ascii="Times New Roman" w:eastAsia="Times New Roman" w:hAnsi="Times New Roman"/>
        </w:rPr>
        <w:t xml:space="preserve"> themselves.</w:t>
      </w:r>
    </w:p>
    <w:p w14:paraId="28E5B474" w14:textId="4D4C2D41" w:rsidR="003129FE"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An Excel workbook, Excel add-in and companion dynamic link library (.</w:t>
      </w:r>
      <w:proofErr w:type="spellStart"/>
      <w:r w:rsidRPr="00725291">
        <w:rPr>
          <w:rFonts w:ascii="Times New Roman" w:eastAsia="Times New Roman" w:hAnsi="Times New Roman"/>
        </w:rPr>
        <w:t>dll</w:t>
      </w:r>
      <w:proofErr w:type="spellEnd"/>
      <w:r w:rsidRPr="00725291">
        <w:rPr>
          <w:rFonts w:ascii="Times New Roman" w:eastAsia="Times New Roman" w:hAnsi="Times New Roman"/>
        </w:rPr>
        <w:t>) program is available from the NAIC that can be used to determine the correct values and perform the multipoint linear interpolation.</w:t>
      </w:r>
    </w:p>
    <w:p w14:paraId="7440A924" w14:textId="77777777" w:rsidR="00FB1D77" w:rsidRDefault="00FB1D77" w:rsidP="00FB1D77">
      <w:pPr>
        <w:pBdr>
          <w:top w:val="single" w:sz="4" w:space="1" w:color="auto"/>
          <w:left w:val="single" w:sz="4" w:space="4" w:color="auto"/>
          <w:bottom w:val="single" w:sz="4" w:space="1" w:color="auto"/>
          <w:right w:val="single" w:sz="4" w:space="4" w:color="auto"/>
        </w:pBdr>
        <w:rPr>
          <w:rFonts w:eastAsiaTheme="minorHAnsi"/>
          <w:color w:val="1F497D"/>
        </w:rPr>
      </w:pPr>
      <w:r>
        <w:rPr>
          <w:rFonts w:ascii="Times New Roman" w:eastAsia="Times New Roman" w:hAnsi="Times New Roman"/>
        </w:rPr>
        <w:lastRenderedPageBreak/>
        <w:t xml:space="preserve">Drafting Note: Find a permanent the location of this spreadsheet.  </w:t>
      </w:r>
      <w:hyperlink r:id="rId12" w:history="1">
        <w:r>
          <w:rPr>
            <w:rStyle w:val="Hyperlink"/>
          </w:rPr>
          <w:t>http://www.actuary.org/content/c3-phase-ii-rbc-and-reserves-project</w:t>
        </w:r>
      </w:hyperlink>
    </w:p>
    <w:p w14:paraId="5D37503C" w14:textId="3B5F4ADD" w:rsidR="00FB1D77" w:rsidRPr="00725291" w:rsidRDefault="00FB1D77" w:rsidP="00FB1D77">
      <w:pPr>
        <w:spacing w:after="220" w:line="240" w:lineRule="auto"/>
        <w:ind w:left="2160" w:hanging="720"/>
        <w:rPr>
          <w:rFonts w:ascii="Times New Roman" w:eastAsia="Times New Roman" w:hAnsi="Times New Roman"/>
        </w:rPr>
      </w:pPr>
    </w:p>
    <w:p w14:paraId="0F489CFC" w14:textId="4ED6778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Alternatively, published documentation can be referenced on performing multipoint linear interpolation and the required 16 values determined using a 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Section </w:t>
      </w:r>
      <w:r>
        <w:rPr>
          <w:rFonts w:ascii="Times New Roman" w:eastAsia="Times New Roman" w:hAnsi="Times New Roman"/>
        </w:rPr>
        <w:t>7</w:t>
      </w:r>
      <w:r w:rsidRPr="00725291">
        <w:rPr>
          <w:rFonts w:ascii="Times New Roman" w:eastAsia="Times New Roman" w:hAnsi="Times New Roman"/>
        </w:rPr>
        <w:t>.E.3.</w:t>
      </w:r>
    </w:p>
    <w:p w14:paraId="6FBB3707" w14:textId="14B447A5"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for Product Variations and Risk Mitigation/Transfer</w:t>
      </w:r>
    </w:p>
    <w:p w14:paraId="7C3AEC51" w14:textId="77777777" w:rsidR="003129FE" w:rsidRPr="00725291" w:rsidRDefault="003129FE"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7B88EB77" w14:textId="57D0E99D"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 variation in product form wherein the definition of the guaranteed benefit is materially different from those for which factors are available. (See Section </w:t>
      </w:r>
      <w:r>
        <w:rPr>
          <w:rFonts w:ascii="Times New Roman" w:eastAsia="Times New Roman" w:hAnsi="Times New Roman"/>
        </w:rPr>
        <w:t>7</w:t>
      </w:r>
      <w:r w:rsidRPr="00725291">
        <w:rPr>
          <w:rFonts w:ascii="Times New Roman" w:eastAsia="Times New Roman" w:hAnsi="Times New Roman"/>
        </w:rPr>
        <w:t>.C.8.)</w:t>
      </w:r>
    </w:p>
    <w:p w14:paraId="4EBE20CD"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03A52B8C"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58C5ABD8" w14:textId="049F218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However, if the contract design is sufficiently different from those provided and/or the risk mitigation strategy is nonlinear in its impact on the reserve,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69DAB143"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subsection 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05CF5599" w14:textId="268B55D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r>
        <w:rPr>
          <w:rFonts w:ascii="Times New Roman" w:eastAsia="Times New Roman" w:hAnsi="Times New Roman"/>
          <w:spacing w:val="-2"/>
        </w:rPr>
        <w:t>7</w:t>
      </w:r>
      <w:r w:rsidRPr="00725291">
        <w:rPr>
          <w:rFonts w:ascii="Times New Roman" w:eastAsia="Times New Roman" w:hAnsi="Times New Roman"/>
          <w:spacing w:val="-2"/>
        </w:rPr>
        <w:t xml:space="preserve">.C.4 that is similar to the product being valued. Execute cash-flow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r>
        <w:rPr>
          <w:rFonts w:ascii="Times New Roman" w:eastAsia="Times New Roman" w:hAnsi="Times New Roman"/>
          <w:spacing w:val="-2"/>
        </w:rPr>
        <w:t>7</w:t>
      </w:r>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lastRenderedPageBreak/>
        <w:t xml:space="preserve">Asset-Based Fund Charges </w:t>
      </w:r>
      <w:r w:rsidRPr="00725291">
        <w:rPr>
          <w:rFonts w:ascii="Times New Roman" w:eastAsia="Times New Roman" w:hAnsi="Times New Roman"/>
          <w:spacing w:val="-2"/>
        </w:rPr>
        <w:t xml:space="preserve">in Section </w:t>
      </w:r>
      <w:r>
        <w:rPr>
          <w:rFonts w:ascii="Times New Roman" w:eastAsia="Times New Roman" w:hAnsi="Times New Roman"/>
          <w:spacing w:val="-2"/>
        </w:rPr>
        <w:t>7</w:t>
      </w:r>
      <w:r w:rsidRPr="00725291">
        <w:rPr>
          <w:rFonts w:ascii="Times New Roman" w:eastAsia="Times New Roman" w:hAnsi="Times New Roman"/>
          <w:spacing w:val="-2"/>
        </w:rPr>
        <w:t xml:space="preserve">.E.2) and the scenarios </w:t>
      </w:r>
      <w:r>
        <w:rPr>
          <w:rFonts w:ascii="Times New Roman" w:eastAsia="Times New Roman" w:hAnsi="Times New Roman"/>
          <w:spacing w:val="-2"/>
        </w:rPr>
        <w:t xml:space="preserve">from the prescribed generator </w:t>
      </w:r>
      <w:r w:rsidRPr="00725291">
        <w:rPr>
          <w:rFonts w:ascii="Times New Roman" w:eastAsia="Times New Roman" w:hAnsi="Times New Roman"/>
          <w:spacing w:val="-2"/>
        </w:rPr>
        <w:t>for a set of representative cells (combinations of attained age, contract duration, asset class, AV/GMDB ratio and asset-based charges). These cells should correspond to nodes in the table of precalculated factors. Rank (order) the sample distribution of results for the present value of net cost. Determine those scenarios that comprise CTE (65).</w:t>
      </w:r>
    </w:p>
    <w:p w14:paraId="7E138487" w14:textId="77777777" w:rsidR="003129FE" w:rsidRPr="00725291"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725291" w:rsidRDefault="003129FE"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proofErr w:type="spellStart"/>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proofErr w:type="spellEnd"/>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063E8C">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proofErr w:type="spellStart"/>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proofErr w:type="spellEnd"/>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456F641E" w14:textId="4A69941D" w:rsidR="003129FE" w:rsidRPr="00725291" w:rsidRDefault="003129FE"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Extract the corresponding precalculated factors. For each cell, calibrate to the published tables by defining a “model adjustment factor” (denoted by asterisk) separately for the “cost” and “margin offset” components:</w:t>
      </w:r>
    </w:p>
    <w:p w14:paraId="5D60B474" w14:textId="77777777" w:rsidR="003129FE" w:rsidRPr="00725291" w:rsidRDefault="00960FE5" w:rsidP="0021502F">
      <w:pPr>
        <w:spacing w:after="220" w:line="240" w:lineRule="auto"/>
        <w:ind w:left="2160"/>
        <w:jc w:val="both"/>
        <w:rPr>
          <w:rFonts w:ascii="Times New Roman" w:hAnsi="Times New Roman"/>
          <w:position w:val="-27"/>
          <w:sz w:val="20"/>
          <w:szCs w:val="20"/>
        </w:rPr>
      </w:pPr>
      <m:oMath>
        <m:sSubSup>
          <m:sSubSupPr>
            <m:ctrlPr>
              <w:rPr>
                <w:rFonts w:ascii="Cambria Math" w:eastAsia="Times New Roman" w:hAnsi="Cambria Math"/>
                <w:i/>
                <w:position w:val="-1"/>
                <w:sz w:val="24"/>
                <w:szCs w:val="28"/>
              </w:rPr>
            </m:ctrlPr>
          </m:sSubSup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up>
            <m:r>
              <w:rPr>
                <w:rFonts w:ascii="Cambria Math" w:eastAsia="Times New Roman" w:hAnsi="Cambria Math"/>
                <w:position w:val="-1"/>
                <w:sz w:val="24"/>
                <w:szCs w:val="28"/>
              </w:rPr>
              <m:t>*</m:t>
            </m:r>
          </m:sup>
        </m:sSubSup>
        <m:r>
          <w:rPr>
            <w:rFonts w:ascii="Cambria Math" w:eastAsia="Times New Roman" w:hAnsi="Cambria Math"/>
            <w:position w:val="-1"/>
            <w:sz w:val="24"/>
            <w:szCs w:val="28"/>
          </w:rPr>
          <m:t>=</m:t>
        </m:r>
        <m:f>
          <m:fPr>
            <m:ctrlPr>
              <w:rPr>
                <w:rFonts w:ascii="Cambria Math" w:eastAsia="Times New Roman" w:hAnsi="Cambria Math"/>
                <w:i/>
                <w:position w:val="-1"/>
                <w:sz w:val="24"/>
                <w:szCs w:val="28"/>
              </w:rPr>
            </m:ctrlPr>
          </m:fPr>
          <m:num>
            <m:r>
              <w:rPr>
                <w:rFonts w:ascii="Cambria Math" w:eastAsia="Times New Roman" w:hAnsi="Cambria Math"/>
                <w:position w:val="-1"/>
                <w:sz w:val="24"/>
                <w:szCs w:val="28"/>
              </w:rPr>
              <m:t>f(</m:t>
            </m:r>
            <m:acc>
              <m:accPr>
                <m:chr m:val="̃"/>
                <m:ctrlPr>
                  <w:rPr>
                    <w:rFonts w:ascii="Cambria Math" w:eastAsia="Times New Roman" w:hAnsi="Cambria Math"/>
                    <w:i/>
                    <w:position w:val="-1"/>
                    <w:sz w:val="24"/>
                    <w:szCs w:val="28"/>
                  </w:rPr>
                </m:ctrlPr>
              </m:accPr>
              <m:e>
                <m:r>
                  <w:rPr>
                    <w:rFonts w:ascii="Cambria Math" w:eastAsia="Times New Roman" w:hAnsi="Cambria Math"/>
                    <w:position w:val="-1"/>
                    <w:sz w:val="24"/>
                    <w:szCs w:val="28"/>
                  </w:rPr>
                  <m:t>θ</m:t>
                </m:r>
              </m:e>
            </m:acc>
            <m:r>
              <w:rPr>
                <w:rFonts w:ascii="Cambria Math" w:eastAsia="Times New Roman" w:hAnsi="Cambria Math"/>
                <w:position w:val="-1"/>
                <w:sz w:val="24"/>
                <w:szCs w:val="28"/>
              </w:rPr>
              <m:t>)</m:t>
            </m:r>
          </m:num>
          <m:den>
            <m:sSub>
              <m:sSubPr>
                <m:ctrlPr>
                  <w:rPr>
                    <w:rFonts w:ascii="Cambria Math" w:eastAsia="Times New Roman" w:hAnsi="Cambria Math"/>
                    <w:i/>
                    <w:position w:val="-1"/>
                    <w:sz w:val="24"/>
                    <w:szCs w:val="28"/>
                  </w:rPr>
                </m:ctrlPr>
              </m:sSub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Sub>
          </m:den>
        </m:f>
      </m:oMath>
      <w:r w:rsidR="003129FE"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p>
    <w:p w14:paraId="61F7B302" w14:textId="27589752"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cash-flow projections using the documented assumptions and scenarios </w:t>
      </w:r>
      <w:r>
        <w:rPr>
          <w:rFonts w:ascii="Times New Roman" w:eastAsia="Times New Roman" w:hAnsi="Times New Roman"/>
          <w:spacing w:val="-2"/>
        </w:rPr>
        <w:t>from the prescribed generator</w:t>
      </w:r>
      <w:r w:rsidRPr="00063E8C">
        <w:rPr>
          <w:rFonts w:ascii="Times New Roman" w:hAnsi="Times New Roman"/>
          <w:spacing w:val="-2"/>
        </w:rPr>
        <w:t xml:space="preserve"> </w:t>
      </w:r>
      <w:r w:rsidRPr="00725291">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5E07952E" w:rsidR="003129FE" w:rsidRPr="00725291"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d, average the present value of cost for the CTE (65) scenarios and divide by the current guaranteed value. For the </w:t>
      </w:r>
      <w:proofErr w:type="spellStart"/>
      <w:r w:rsidRPr="00725291">
        <w:rPr>
          <w:rFonts w:ascii="Times New Roman" w:eastAsia="Times New Roman" w:hAnsi="Times New Roman"/>
          <w:i/>
        </w:rPr>
        <w:t>J</w:t>
      </w:r>
      <w:r w:rsidRPr="00725291">
        <w:rPr>
          <w:rFonts w:ascii="Times New Roman" w:eastAsia="Times New Roman" w:hAnsi="Times New Roman"/>
          <w:i/>
          <w:vertAlign w:val="superscript"/>
        </w:rPr>
        <w:t>th</w:t>
      </w:r>
      <w:proofErr w:type="spellEnd"/>
      <w:r w:rsidRPr="00725291">
        <w:rPr>
          <w:rFonts w:ascii="Times New Roman" w:eastAsia="Times New Roman" w:hAnsi="Times New Roman"/>
          <w:i/>
          <w:vertAlign w:val="superscript"/>
        </w:rPr>
        <w:t xml:space="preserve"> </w:t>
      </w:r>
      <w:r w:rsidRPr="00725291">
        <w:rPr>
          <w:rFonts w:ascii="Times New Roman" w:eastAsia="Times New Roman" w:hAnsi="Times New Roman"/>
        </w:rPr>
        <w:t xml:space="preserve">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proofErr w:type="spellStart"/>
      <w:r w:rsidRPr="00725291">
        <w:rPr>
          <w:rFonts w:ascii="Times New Roman" w:eastAsia="Times New Roman" w:hAnsi="Times New Roman"/>
          <w:i/>
        </w:rPr>
        <w:t>J</w:t>
      </w:r>
      <w:r w:rsidRPr="00725291">
        <w:rPr>
          <w:rFonts w:ascii="Times New Roman" w:eastAsia="Times New Roman" w:hAnsi="Times New Roman"/>
          <w:i/>
          <w:vertAlign w:val="superscript"/>
        </w:rPr>
        <w:t>th</w:t>
      </w:r>
      <w:proofErr w:type="spellEnd"/>
      <w:r w:rsidRPr="00725291">
        <w:rPr>
          <w:rFonts w:ascii="Times New Roman" w:eastAsia="Times New Roman" w:hAnsi="Times New Roman"/>
        </w:rPr>
        <w:t xml:space="preserve"> 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oMath>
    </w:p>
    <w:p w14:paraId="3F7F882D" w14:textId="2198065D"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reserve for the specific product in question, the company should implement the Alternative Methodology as documented, but use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J</m:t>
            </m:r>
          </m:sub>
          <m:sup>
            <m:r>
              <w:rPr>
                <w:rFonts w:ascii="Cambria Math" w:hAnsi="Cambria Math"/>
              </w:rPr>
              <m:t>*</m:t>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J</m:t>
            </m:r>
          </m:sub>
          <m:sup>
            <m:r>
              <w:rPr>
                <w:rFonts w:ascii="Cambria Math" w:hAnsi="Cambria Math"/>
              </w:rPr>
              <m:t>*</m:t>
            </m:r>
          </m:sup>
        </m:sSubSup>
      </m:oMath>
      <w:r w:rsidRPr="00725291">
        <w:rPr>
          <w:rFonts w:eastAsiaTheme="minorEastAsia"/>
        </w:rPr>
        <w:t xml:space="preserve"> </w:t>
      </w:r>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5547736" w14:textId="0B755299"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prudent estimate of mortality. The development of prudent estimate mortality shall follow the requirements and guidance of Section 1</w:t>
      </w:r>
      <w:r w:rsidR="0049014F">
        <w:rPr>
          <w:rFonts w:ascii="Times New Roman" w:eastAsia="Times New Roman" w:hAnsi="Times New Roman"/>
        </w:rPr>
        <w:t>1</w:t>
      </w:r>
      <w:r w:rsidRPr="00725291">
        <w:rPr>
          <w:rFonts w:ascii="Times New Roman" w:eastAsia="Times New Roman" w:hAnsi="Times New Roman"/>
        </w:rPr>
        <w:t>. Once a company uses the modified method for a block of business, the option to use the unadjusted factors is no longer available for that part of its business. In applying the factors to actual in-force business, a five-year age setback should be used for female annuitants.</w:t>
      </w:r>
    </w:p>
    <w:p w14:paraId="246E3081" w14:textId="4AE8C382"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Develop a set of mortality assumptions based on prudent estimate. In setting these assumptions, the actuary shall be guided by the definition of prudent estimate and the principles discussed in Sections 10 and 11.</w:t>
      </w:r>
    </w:p>
    <w:p w14:paraId="32478F31" w14:textId="5EA1206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b.</w:t>
      </w:r>
      <w:r w:rsidRPr="00725291">
        <w:rPr>
          <w:rFonts w:ascii="Times New Roman" w:eastAsia="Times New Roman" w:hAnsi="Times New Roman"/>
        </w:rPr>
        <w:tab/>
        <w:t>Calculate two sets of NSPs at each attained age: one valued using 100% of the 1994 Variable Annuity MGDB Age Last Birthday (ALB) Mortality Table (with the aforementioned five-year age setback for females) and the other using prudent estimate mortality. These calculations shall assume an interest rate of 3.75% and a lapse rate of 7% per year.</w:t>
      </w:r>
    </w:p>
    <w:p w14:paraId="7E4D2BD4"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factor is multiplied by the ratio, for the specific attained age being valued, of the NSP calculated using the prudent estimate mortality to the NSP calculated using the 1994 Variable Annuity MGDB ALB Mortality Table (with the aforementioned five-year age setback for females).</w:t>
      </w:r>
    </w:p>
    <w:p w14:paraId="71976CD5" w14:textId="77777777" w:rsidR="003129FE" w:rsidRPr="00725291" w:rsidRDefault="003129FE"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59371B4B"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321EE61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20AAEA08"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57E100A8"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Fixed income: This class is invested primarily in investment grade fixed income securities. Up to 25% of the funds within this class may be invested in diversified equities or high-yield bonds. The expected volatility of the returns for this class will be lower than the balanced fund class.</w:t>
      </w:r>
    </w:p>
    <w:p w14:paraId="1079D74A" w14:textId="6663EE05"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“exotic” equity component should not exceed one-third (33.3%) of the total equities held. Should the fund violate either of these constraints, it should be categorized as an equity fund. This class usually has a long-term volatility in the range of 8%–13%.</w:t>
      </w:r>
    </w:p>
    <w:p w14:paraId="2D44E822"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Diversified equity: This class is invested in a broad-based mix of U.S. and foreign equities. The foreign equity component (maximum 25% of total holdings) must be comprised of liquid securities in well-developed markets. Funds in this class would exhibit long-term </w:t>
      </w:r>
      <w:r w:rsidRPr="00725291">
        <w:rPr>
          <w:rFonts w:ascii="Times New Roman" w:eastAsia="Times New Roman" w:hAnsi="Times New Roman"/>
        </w:rPr>
        <w:lastRenderedPageBreak/>
        <w:t>volatility comparable to that of the S&amp;P 500. These funds should usually have a long-term volatility in the range of 13%–18%.</w:t>
      </w:r>
    </w:p>
    <w:p w14:paraId="478A274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15E386B8"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22AF2C48"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In summary, mapping the benefit exposure (i.e., the asset exposure that applies to the calculation of the guaranteed minimum death benefits) to one of the prescribed asset classes is a multistep process:</w:t>
      </w:r>
    </w:p>
    <w:p w14:paraId="6E4DD9CD"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Map each separate and/or general account investment option to one of the prescribed asset classes. For some funds, this mapping will be obvious, but for others, it will involve a review of the fund’s investment policy, performance benchmarks, composition and expected long-term volatility.</w:t>
      </w:r>
    </w:p>
    <w:p w14:paraId="3BA98030" w14:textId="3542804D"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r>
        <w:rPr>
          <w:rFonts w:ascii="Times New Roman" w:eastAsia="Times New Roman" w:hAnsi="Times New Roman"/>
        </w:rPr>
        <w:t>7</w:t>
      </w:r>
      <w:r w:rsidRPr="00725291">
        <w:rPr>
          <w:rFonts w:ascii="Times New Roman" w:eastAsia="Times New Roman" w:hAnsi="Times New Roman"/>
        </w:rPr>
        <w:t>.D.4.</w:t>
      </w:r>
    </w:p>
    <w:p w14:paraId="70A78EDF"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a, the company should use the fund’s actual experience (i.e., historical performance, inclusive of reinvestment) only as a guide in determining the expected long-term volatility. </w:t>
      </w:r>
      <w:r w:rsidRPr="00725291">
        <w:rPr>
          <w:rFonts w:ascii="Times New Roman" w:eastAsia="Times New Roman" w:hAnsi="Times New Roman"/>
        </w:rPr>
        <w:lastRenderedPageBreak/>
        <w:t>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7B2B7756"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b,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2C1C3576" w14:textId="77777777" w:rsidR="003129FE" w:rsidRPr="00725291" w:rsidRDefault="00190B3A" w:rsidP="0021502F">
      <w:pPr>
        <w:pStyle w:val="ListParagraph"/>
        <w:spacing w:after="220" w:line="240" w:lineRule="auto"/>
        <w:ind w:left="1440" w:firstLine="720"/>
        <w:contextualSpacing w:val="0"/>
        <w:jc w:val="both"/>
        <w:rPr>
          <w:rFonts w:ascii="Times New Roman" w:eastAsia="Times New Roman" w:hAnsi="Times New Roman"/>
          <w:sz w:val="20"/>
          <w:szCs w:val="20"/>
        </w:rPr>
      </w:pPr>
      <w:r w:rsidRPr="00725291">
        <w:rPr>
          <w:rFonts w:ascii="Times New Roman" w:hAnsi="Times New Roman"/>
          <w:noProof/>
          <w:position w:val="-28"/>
          <w:sz w:val="20"/>
          <w:szCs w:val="20"/>
        </w:rPr>
        <w:object w:dxaOrig="2100" w:dyaOrig="680" w14:anchorId="395A8322">
          <v:shape id="_x0000_i1026" type="#_x0000_t75" alt="" style="width:110.25pt;height:38.25pt;mso-width-percent:0;mso-height-percent:0;mso-width-percent:0;mso-height-percent:0" o:ole="" fillcolor="window">
            <v:imagedata r:id="rId13" o:title=""/>
          </v:shape>
          <o:OLEObject Type="Embed" ProgID="Equation.3" ShapeID="_x0000_i1026" DrawAspect="Content" ObjectID="_1613468733" r:id="rId14"/>
        </w:object>
      </w:r>
    </w:p>
    <w:p w14:paraId="513BCA4E" w14:textId="5B9B8DDD"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 where</w:t>
      </w:r>
    </w:p>
    <w:p w14:paraId="7DCCF563" w14:textId="5DB4A9DF" w:rsidR="003129FE" w:rsidRPr="00725291" w:rsidRDefault="003129FE"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00190B3A" w:rsidRPr="00725291">
        <w:rPr>
          <w:rFonts w:ascii="Times New Roman" w:hAnsi="Times New Roman"/>
          <w:noProof/>
          <w:position w:val="-40"/>
          <w:sz w:val="20"/>
          <w:szCs w:val="20"/>
        </w:rPr>
        <w:object w:dxaOrig="1100" w:dyaOrig="740" w14:anchorId="46283E9C">
          <v:shape id="_x0000_i1027" type="#_x0000_t75" alt="" style="width:57.75pt;height:38.25pt;mso-width-percent:0;mso-height-percent:0;mso-width-percent:0;mso-height-percent:0" o:ole="" fillcolor="window">
            <v:imagedata r:id="rId15" o:title=""/>
          </v:shape>
          <o:OLEObject Type="Embed" ProgID="Equation.3" ShapeID="_x0000_i1027" DrawAspect="Content" ObjectID="_1613468734" r:id="rId16"/>
        </w:object>
      </w:r>
      <w:r w:rsidRPr="00725291">
        <w:rPr>
          <w:rFonts w:ascii="Times New Roman" w:eastAsia="Times New Roman" w:hAnsi="Times New Roman"/>
          <w:sz w:val="20"/>
          <w:szCs w:val="20"/>
        </w:rPr>
        <w:t xml:space="preserve"> </w:t>
      </w:r>
    </w:p>
    <w:p w14:paraId="3AEEDC1D" w14:textId="63CBC0B4"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the relative value of fund i expressed as a proportion of total contract value, </w:t>
      </w:r>
      <w:r w:rsidR="00190B3A" w:rsidRPr="00725291">
        <w:rPr>
          <w:rFonts w:ascii="Times New Roman" w:hAnsi="Times New Roman"/>
          <w:noProof/>
          <w:position w:val="-14"/>
        </w:rPr>
        <w:object w:dxaOrig="300" w:dyaOrig="340" w14:anchorId="5B9B14A9">
          <v:shape id="_x0000_i1028" type="#_x0000_t75" alt="" style="width:22.5pt;height:22.5pt;mso-width-percent:0;mso-height-percent:0;mso-width-percent:0;mso-height-percent:0" o:ole="" fillcolor="window">
            <v:imagedata r:id="rId17" o:title=""/>
          </v:shape>
          <o:OLEObject Type="Embed" ProgID="Equation.3" ShapeID="_x0000_i1028" DrawAspect="Content" ObjectID="_1613468735" r:id="rId18"/>
        </w:object>
      </w:r>
      <w:r w:rsidRPr="00725291">
        <w:rPr>
          <w:rFonts w:ascii="Times New Roman" w:hAnsi="Times New Roman"/>
          <w:lang w:val="en-CA"/>
        </w:rPr>
        <w:t xml:space="preserve"> </w:t>
      </w:r>
      <w:r w:rsidRPr="00725291">
        <w:rPr>
          <w:rFonts w:ascii="Times New Roman" w:eastAsia="Times New Roman" w:hAnsi="Times New Roman"/>
        </w:rPr>
        <w:t xml:space="preserve">is the correlation between asset classes i and j, and </w:t>
      </w:r>
      <w:r w:rsidR="00190B3A" w:rsidRPr="00725291">
        <w:rPr>
          <w:rFonts w:ascii="Times New Roman" w:hAnsi="Times New Roman"/>
          <w:noProof/>
          <w:position w:val="-12"/>
        </w:rPr>
        <w:object w:dxaOrig="279" w:dyaOrig="360" w14:anchorId="55BCC75B">
          <v:shape id="_x0000_i1029" type="#_x0000_t75" alt="" style="width:14.25pt;height:21.75pt;mso-width-percent:0;mso-height-percent:0;mso-width-percent:0;mso-height-percent:0" o:ole="" fillcolor="window">
            <v:imagedata r:id="rId19" o:title=""/>
          </v:shape>
          <o:OLEObject Type="Embed" ProgID="Equation.3" ShapeID="_x0000_i1029" DrawAspect="Content" ObjectID="_1613468736" r:id="rId20"/>
        </w:object>
      </w:r>
      <w:r w:rsidRPr="00725291">
        <w:rPr>
          <w:rFonts w:ascii="Times New Roman" w:eastAsia="Times New Roman" w:hAnsi="Times New Roman"/>
        </w:rPr>
        <w:t xml:space="preserve"> is the volatility of asset class i. An example is provided after the table.</w:t>
      </w:r>
    </w:p>
    <w:p w14:paraId="787F15D4" w14:textId="1AAC9422" w:rsidR="003129FE" w:rsidRPr="00725291" w:rsidRDefault="003129FE">
      <w:pPr>
        <w:rPr>
          <w:rFonts w:ascii="Times New Roman" w:eastAsia="Times New Roman" w:hAnsi="Times New Roman"/>
        </w:rPr>
      </w:pPr>
    </w:p>
    <w:p w14:paraId="3E75694A" w14:textId="77777777" w:rsidR="003129FE" w:rsidRPr="00725291" w:rsidRDefault="003129FE" w:rsidP="0021502F">
      <w:pPr>
        <w:spacing w:after="220" w:line="240" w:lineRule="auto"/>
        <w:ind w:left="2160"/>
        <w:jc w:val="both"/>
        <w:rPr>
          <w:rFonts w:ascii="Times New Roman" w:eastAsia="Times New Roman" w:hAnsi="Times New Roman"/>
        </w:rPr>
      </w:pPr>
    </w:p>
    <w:p w14:paraId="39551EB7"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11881C5D" w14:textId="77777777" w:rsidR="003129FE" w:rsidRPr="00725291" w:rsidRDefault="003129FE"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725291"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725291"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725291" w:rsidRDefault="003129FE"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Interm</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725291" w:rsidRDefault="003129FE"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Aggr</w:t>
            </w:r>
            <w:proofErr w:type="spellEnd"/>
            <w:r w:rsidRPr="00725291">
              <w:rPr>
                <w:rFonts w:ascii="Times New Roman" w:eastAsia="Times New Roman" w:hAnsi="Times New Roman"/>
                <w:sz w:val="18"/>
                <w:szCs w:val="18"/>
              </w:rPr>
              <w:t xml:space="preserve"> Equity</w:t>
            </w:r>
          </w:p>
        </w:tc>
      </w:tr>
      <w:tr w:rsidR="003129FE" w:rsidRPr="00725291"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3129FE" w:rsidRPr="00725291"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725291" w:rsidRDefault="003129FE"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Interm</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725291" w:rsidRDefault="003129FE"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Aggr</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2A9BD3A4" w14:textId="77777777" w:rsidR="003129FE" w:rsidRPr="00725291"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725291" w:rsidRDefault="003129FE">
      <w:pPr>
        <w:rPr>
          <w:rFonts w:ascii="Times New Roman" w:eastAsia="Times New Roman" w:hAnsi="Times New Roman"/>
        </w:rPr>
      </w:pPr>
      <w:r w:rsidRPr="00725291">
        <w:rPr>
          <w:rFonts w:ascii="Times New Roman" w:eastAsia="Times New Roman" w:hAnsi="Times New Roman"/>
        </w:rPr>
        <w:br w:type="page"/>
      </w:r>
    </w:p>
    <w:p w14:paraId="6EBEA42D"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5.</w:t>
      </w:r>
      <w:r w:rsidRPr="00725291">
        <w:rPr>
          <w:rFonts w:ascii="Times New Roman" w:eastAsia="Times New Roman" w:hAnsi="Times New Roman"/>
        </w:rPr>
        <w:tab/>
        <w:t>Fund Categorization Example</w:t>
      </w:r>
    </w:p>
    <w:p w14:paraId="22AD35B4" w14:textId="69BB8E8D"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p>
    <w:p w14:paraId="69F20ED5" w14:textId="77777777" w:rsidR="003129FE" w:rsidRPr="00725291"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725291"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3129FE" w:rsidRPr="00725291"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5B58ABE2"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3129FE" w:rsidRPr="00725291"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73C6F62F"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3129FE" w:rsidRPr="00725291"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3129FE" w:rsidRPr="00725291"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32DF574B" w:rsidR="003129FE" w:rsidRPr="00725291" w:rsidRDefault="003129FE"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 xml:space="preserve">A </w:t>
            </w:r>
            <w:r w:rsidRPr="00725291">
              <w:rPr>
                <w:rFonts w:ascii="Times New Roman" w:eastAsia="Times New Roman" w:hAnsi="Times New Roman"/>
                <w:sz w:val="20"/>
                <w:szCs w:val="20"/>
              </w:rPr>
              <w:t>&gt; 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3D24B994"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3129FE" w:rsidRPr="00725291"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44F03ABB"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 xml:space="preserve">A </w:t>
            </w:r>
            <w:r w:rsidRPr="00725291">
              <w:rPr>
                <w:rFonts w:ascii="Times New Roman" w:eastAsia="Times New Roman" w:hAnsi="Times New Roman"/>
                <w:sz w:val="20"/>
                <w:szCs w:val="20"/>
              </w:rPr>
              <w:t>&gt; 25% &amp;</w:t>
            </w:r>
          </w:p>
          <w:p w14:paraId="0CFC6248" w14:textId="4F09FB3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 xml:space="preserve">B </w:t>
            </w:r>
            <w:r w:rsidRPr="00725291">
              <w:rPr>
                <w:rFonts w:ascii="Times New Roman" w:eastAsia="Times New Roman" w:hAnsi="Times New Roman"/>
                <w:sz w:val="20"/>
                <w:szCs w:val="20"/>
              </w:rPr>
              <w:t>&lt; 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725291"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3D443D8F" w14:textId="77777777" w:rsidR="003129FE" w:rsidRPr="00725291" w:rsidRDefault="003129FE" w:rsidP="004E4618">
      <w:pPr>
        <w:spacing w:after="0" w:line="240" w:lineRule="auto"/>
        <w:rPr>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725291" w:rsidRDefault="003129FE" w:rsidP="004E4618">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063E8C">
              <w:rPr>
                <w:rStyle w:val="FootnoteReference"/>
                <w:rFonts w:ascii="Times New Roman" w:hAnsi="Times New Roman"/>
                <w:b/>
                <w:sz w:val="20"/>
              </w:rPr>
              <w:footnoteReference w:id="4"/>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7CEB5182" w14:textId="77777777" w:rsidR="003129FE" w:rsidRPr="00725291"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725291"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725291" w:rsidRDefault="003129FE" w:rsidP="004E4618">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30D9F052" w14:textId="5207506E" w:rsidR="003129FE" w:rsidRPr="00725291" w:rsidRDefault="00D3686A" w:rsidP="004E4618">
      <w:pPr>
        <w:tabs>
          <w:tab w:val="left" w:pos="2260"/>
        </w:tabs>
        <w:spacing w:after="220" w:line="240" w:lineRule="auto"/>
        <w:ind w:left="360"/>
        <w:jc w:val="both"/>
        <w:rPr>
          <w:rFonts w:ascii="Times New Roman" w:hAnsi="Times New Roman"/>
        </w:rPr>
      </w:pPr>
      <w:r w:rsidRPr="00725291">
        <w:rPr>
          <w:rFonts w:ascii="Times New Roman" w:hAnsi="Times New Roman"/>
          <w:noProof/>
          <w:position w:val="-68"/>
        </w:rPr>
        <w:object w:dxaOrig="9139" w:dyaOrig="1480" w14:anchorId="27E634FC">
          <v:shape id="_x0000_i1030" type="#_x0000_t75" alt="" style="width:471pt;height:86.25pt;mso-width-percent:0;mso-height-percent:0;mso-width-percent:0;mso-height-percent:0" o:ole="" fillcolor="window">
            <v:imagedata r:id="rId21" o:title=""/>
          </v:shape>
          <o:OLEObject Type="Embed" ProgID="Equation.3" ShapeID="_x0000_i1030" DrawAspect="Content" ObjectID="_1613468737" r:id="rId22"/>
        </w:object>
      </w:r>
    </w:p>
    <w:p w14:paraId="44350FCE" w14:textId="24A58722" w:rsidR="00063E8C" w:rsidRDefault="00063E8C" w:rsidP="00063E8C">
      <w:pPr>
        <w:tabs>
          <w:tab w:val="left" w:pos="2260"/>
        </w:tabs>
        <w:spacing w:after="220" w:line="240" w:lineRule="auto"/>
        <w:jc w:val="both"/>
        <w:rPr>
          <w:rFonts w:ascii="Times New Roman" w:eastAsia="Times New Roman" w:hAnsi="Times New Roman"/>
        </w:rPr>
      </w:pPr>
    </w:p>
    <w:p w14:paraId="33E53E5A" w14:textId="5266937D" w:rsidR="003129FE" w:rsidRPr="00725291" w:rsidRDefault="003129FE" w:rsidP="004E4618">
      <w:pPr>
        <w:tabs>
          <w:tab w:val="left" w:pos="2260"/>
        </w:tabs>
        <w:spacing w:after="220" w:line="240" w:lineRule="auto"/>
        <w:ind w:left="360"/>
        <w:jc w:val="both"/>
        <w:rPr>
          <w:rFonts w:ascii="Times New Roman" w:eastAsia="Times New Roman" w:hAnsi="Times New Roman"/>
        </w:rPr>
      </w:pPr>
      <w:r w:rsidRPr="00725291">
        <w:rPr>
          <w:rFonts w:ascii="Times New Roman" w:eastAsia="Times New Roman" w:hAnsi="Times New Roman"/>
        </w:rPr>
        <w:t xml:space="preserve">So,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Pr="00725291">
        <w:rPr>
          <w:rFonts w:ascii="Times New Roman" w:eastAsia="Times New Roman" w:hAnsi="Times New Roman"/>
        </w:rPr>
        <w:t xml:space="preserve"> = 0.109 or 10.9%</w:t>
      </w:r>
    </w:p>
    <w:p w14:paraId="7C95D4E3" w14:textId="77777777" w:rsidR="003129FE" w:rsidRPr="00725291" w:rsidRDefault="003129FE" w:rsidP="00063E8C">
      <w:pPr>
        <w:rPr>
          <w:rFonts w:ascii="Times New Roman" w:eastAsia="Times New Roman" w:hAnsi="Times New Roman"/>
          <w:sz w:val="20"/>
          <w:szCs w:val="20"/>
        </w:rPr>
      </w:pPr>
    </w:p>
    <w:p w14:paraId="1B1512A3" w14:textId="77777777" w:rsidR="003129FE" w:rsidRPr="00725291" w:rsidRDefault="003129FE" w:rsidP="00063E8C">
      <w:pPr>
        <w:rPr>
          <w:rFonts w:ascii="Times New Roman" w:eastAsia="Times New Roman" w:hAnsi="Times New Roman"/>
          <w:sz w:val="20"/>
          <w:szCs w:val="20"/>
        </w:rPr>
      </w:pPr>
    </w:p>
    <w:p w14:paraId="39E89D98" w14:textId="4384AD8F" w:rsidR="003129FE" w:rsidRPr="00725291" w:rsidRDefault="003129FE" w:rsidP="0021502F">
      <w:pPr>
        <w:tabs>
          <w:tab w:val="left" w:pos="2260"/>
        </w:tabs>
        <w:spacing w:after="120" w:line="240" w:lineRule="auto"/>
        <w:jc w:val="both"/>
        <w:rPr>
          <w:rFonts w:ascii="Times New Roman" w:eastAsia="Times New Roman" w:hAnsi="Times New Roman"/>
          <w:sz w:val="20"/>
          <w:szCs w:val="20"/>
        </w:rPr>
      </w:pPr>
    </w:p>
    <w:p w14:paraId="2BF2A9E9" w14:textId="77777777" w:rsidR="003129FE" w:rsidRPr="00725291" w:rsidRDefault="003129FE"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Tables</w:t>
      </w:r>
    </w:p>
    <w:p w14:paraId="176D1362" w14:textId="54031E04"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and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725291"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1E8AA57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16A35BD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r>
              <w:rPr>
                <w:rFonts w:ascii="Times New Roman" w:eastAsia="Times New Roman" w:hAnsi="Times New Roman"/>
                <w:sz w:val="20"/>
                <w:szCs w:val="20"/>
              </w:rPr>
              <w:t>7</w:t>
            </w:r>
            <w:r w:rsidRPr="00725291">
              <w:rPr>
                <w:rFonts w:ascii="Times New Roman" w:eastAsia="Times New Roman" w:hAnsi="Times New Roman"/>
                <w:sz w:val="20"/>
                <w:szCs w:val="20"/>
              </w:rPr>
              <w:t>.E.2.</w:t>
            </w:r>
          </w:p>
        </w:tc>
      </w:tr>
      <w:tr w:rsidR="003129FE" w:rsidRPr="00725291"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725291" w:rsidRDefault="003129FE"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bps per annum.</w:t>
            </w:r>
          </w:p>
        </w:tc>
      </w:tr>
      <w:tr w:rsidR="003129FE" w:rsidRPr="00725291"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36D7124A" w14:textId="14071F86"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2.5×premium, frozen at age 80.</w:t>
            </w:r>
          </w:p>
          <w:p w14:paraId="73E5806A" w14:textId="7051180A"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2.5×premium, frozen at age 80.</w:t>
            </w:r>
          </w:p>
          <w:p w14:paraId="467C530D"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2A8AECF8" w14:textId="721438F5"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HIGH = higher of 5% roll-up and annual ratchet.</w:t>
            </w:r>
          </w:p>
          <w:p w14:paraId="2EB1B85E" w14:textId="0CD9FCA1" w:rsidR="003129FE" w:rsidRPr="00725291" w:rsidRDefault="003129FE"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EDB = 40% enhanced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725291"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725291" w:rsidRDefault="003129FE"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“pro-rata by market value” and “dollar-for-dollar.”</w:t>
            </w:r>
          </w:p>
        </w:tc>
      </w:tr>
      <w:tr w:rsidR="003129FE" w:rsidRPr="00725291"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3129FE" w:rsidRPr="00725291"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3129FE" w:rsidRPr="00725291"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2A73592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 xml:space="preserve">10% p.a. at all contact durations (before dynamics).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p>
        </w:tc>
      </w:tr>
      <w:tr w:rsidR="003129FE" w:rsidRPr="00725291"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p>
          <w:p w14:paraId="618D4021"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3129FE" w:rsidRPr="00725291"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779BE97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 xml:space="preserve">rates at ages 65 and 70 for 100% of MGDB 94 ALB Male are 18.191 and 29.363, respectively. </w:t>
            </w:r>
            <w:r w:rsidRPr="00725291">
              <w:rPr>
                <w:rFonts w:ascii="Times New Roman" w:eastAsia="Times New Roman" w:hAnsi="Times New Roman"/>
                <w:b/>
                <w:sz w:val="20"/>
                <w:szCs w:val="20"/>
              </w:rPr>
              <w:t>Note</w:t>
            </w:r>
            <w:r w:rsidRPr="00725291">
              <w:rPr>
                <w:rFonts w:ascii="Times New Roman" w:eastAsia="Times New Roman" w:hAnsi="Times New Roman"/>
                <w:sz w:val="20"/>
                <w:szCs w:val="20"/>
              </w:rPr>
              <w:t xml:space="preserve">: Section </w:t>
            </w:r>
            <w:r>
              <w:rPr>
                <w:rFonts w:ascii="Times New Roman" w:eastAsia="Times New Roman" w:hAnsi="Times New Roman"/>
                <w:sz w:val="20"/>
                <w:szCs w:val="20"/>
              </w:rPr>
              <w:t>7</w:t>
            </w:r>
            <w:r w:rsidRPr="00725291">
              <w:rPr>
                <w:rFonts w:ascii="Times New Roman" w:eastAsia="Times New Roman" w:hAnsi="Times New Roman"/>
                <w:sz w:val="20"/>
                <w:szCs w:val="20"/>
              </w:rPr>
              <w:t>.C.9 allows modification to this assumption.</w:t>
            </w:r>
          </w:p>
        </w:tc>
      </w:tr>
      <w:tr w:rsidR="003129FE" w:rsidRPr="00725291"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3129FE" w:rsidRPr="00725291"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3129FE" w:rsidRPr="00725291"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3129FE" w:rsidRPr="00725291"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6ED7ACDA" w14:textId="77777777" w:rsidR="003129FE" w:rsidRPr="00725291" w:rsidRDefault="00190B3A" w:rsidP="00B508BD">
            <w:pPr>
              <w:spacing w:after="0" w:line="240" w:lineRule="auto"/>
              <w:ind w:left="72"/>
              <w:rPr>
                <w:rFonts w:ascii="Times New Roman" w:hAnsi="Times New Roman"/>
                <w:sz w:val="20"/>
                <w:szCs w:val="20"/>
              </w:rPr>
            </w:pPr>
            <w:r w:rsidRPr="00725291">
              <w:rPr>
                <w:rFonts w:ascii="Times New Roman" w:hAnsi="Times New Roman"/>
                <w:noProof/>
                <w:position w:val="-32"/>
                <w:sz w:val="20"/>
                <w:szCs w:val="20"/>
              </w:rPr>
              <w:object w:dxaOrig="4099" w:dyaOrig="760" w14:anchorId="7619759C">
                <v:shape id="_x0000_i1031" type="#_x0000_t75" alt="" style="width:207pt;height:33.75pt;mso-width-percent:0;mso-height-percent:0;mso-width-percent:0;mso-height-percent:0" o:ole="" fillcolor="window">
                  <v:imagedata r:id="rId23" o:title=""/>
                </v:shape>
                <o:OLEObject Type="Embed" ProgID="Equation.3" ShapeID="_x0000_i1031" DrawAspect="Content" ObjectID="_1613468738" r:id="rId24"/>
              </w:object>
            </w:r>
          </w:p>
          <w:p w14:paraId="630F090D" w14:textId="1136532F"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 xml:space="preserve">U </w:t>
            </w:r>
            <w:r w:rsidRPr="00725291">
              <w:rPr>
                <w:rFonts w:ascii="Times New Roman" w:eastAsia="Times New Roman" w:hAnsi="Times New Roman"/>
                <w:sz w:val="20"/>
                <w:szCs w:val="20"/>
              </w:rPr>
              <w:t xml:space="preserve">= 1, </w:t>
            </w:r>
            <w:r w:rsidRPr="00725291">
              <w:rPr>
                <w:rFonts w:ascii="Times New Roman" w:eastAsia="Times New Roman" w:hAnsi="Times New Roman"/>
                <w:i/>
                <w:sz w:val="20"/>
                <w:szCs w:val="20"/>
              </w:rPr>
              <w:t xml:space="preserve">L </w:t>
            </w:r>
            <w:r w:rsidRPr="00725291">
              <w:rPr>
                <w:rFonts w:ascii="Times New Roman" w:eastAsia="Times New Roman" w:hAnsi="Times New Roman"/>
                <w:sz w:val="20"/>
                <w:szCs w:val="20"/>
              </w:rPr>
              <w:t xml:space="preserve">= 0.5, </w:t>
            </w:r>
            <w:r w:rsidRPr="00725291">
              <w:rPr>
                <w:rFonts w:ascii="Times New Roman" w:eastAsia="Times New Roman" w:hAnsi="Times New Roman"/>
                <w:i/>
                <w:sz w:val="20"/>
                <w:szCs w:val="20"/>
              </w:rPr>
              <w:t xml:space="preserve">M </w:t>
            </w:r>
            <w:r w:rsidRPr="00725291">
              <w:rPr>
                <w:rFonts w:ascii="Times New Roman" w:eastAsia="Times New Roman" w:hAnsi="Times New Roman"/>
                <w:sz w:val="20"/>
                <w:szCs w:val="20"/>
              </w:rPr>
              <w:t xml:space="preserve">= 1.25, </w:t>
            </w:r>
            <w:r w:rsidRPr="00725291">
              <w:rPr>
                <w:rFonts w:ascii="Times New Roman" w:eastAsia="Times New Roman" w:hAnsi="Times New Roman"/>
                <w:i/>
                <w:sz w:val="20"/>
                <w:szCs w:val="20"/>
              </w:rPr>
              <w:t xml:space="preserve">D </w:t>
            </w:r>
            <w:r w:rsidRPr="00725291">
              <w:rPr>
                <w:rFonts w:ascii="Times New Roman" w:eastAsia="Times New Roman" w:hAnsi="Times New Roman"/>
                <w:sz w:val="20"/>
                <w:szCs w:val="20"/>
              </w:rPr>
              <w:t>= 1.1</w:t>
            </w:r>
          </w:p>
          <w:p w14:paraId="52DB1A41"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p>
          <w:p w14:paraId="3A8B03FC"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52716AEF"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77777777" w:rsidR="003129FE" w:rsidRPr="00725291" w:rsidRDefault="003129FE" w:rsidP="0021502F">
      <w:pPr>
        <w:keepNext/>
        <w:spacing w:after="220" w:line="240" w:lineRule="auto"/>
        <w:ind w:left="1440" w:hanging="720"/>
        <w:rPr>
          <w:rFonts w:ascii="Times New Roman" w:eastAsia="Times New Roman" w:hAnsi="Times New Roman"/>
        </w:rPr>
      </w:pPr>
      <w:r w:rsidRPr="00725291">
        <w:rPr>
          <w:rFonts w:ascii="Times New Roman" w:eastAsia="Times New Roman" w:hAnsi="Times New Roman"/>
        </w:rPr>
        <w:lastRenderedPageBreak/>
        <w:t>2.</w:t>
      </w:r>
      <w:r w:rsidRPr="00725291">
        <w:rPr>
          <w:rFonts w:ascii="Times New Roman" w:eastAsia="Times New Roman" w:hAnsi="Times New Roman"/>
        </w:rPr>
        <w:tab/>
        <w:t>Asset-Based Fund Charges (bps per annum)</w:t>
      </w:r>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725291"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3129FE" w:rsidRPr="00725291"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3129FE" w:rsidRPr="00725291"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3129FE" w:rsidRPr="00725291"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3129FE" w:rsidRPr="00725291"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3129FE" w:rsidRPr="00725291"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A1688FB"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r w:rsidRPr="00725291">
        <w:rPr>
          <w:rFonts w:ascii="Times New Roman" w:eastAsia="Times New Roman" w:hAnsi="Times New Roman"/>
          <w:sz w:val="20"/>
          <w:szCs w:val="20"/>
        </w:rPr>
        <w:br w:type="textWrapping" w:clear="all"/>
      </w:r>
    </w:p>
    <w:p w14:paraId="7D91EF81" w14:textId="77777777"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629E1E66" w14:textId="77777777" w:rsidR="003129FE" w:rsidRPr="00725291" w:rsidRDefault="003129FE"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725291"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6C21F32F" w:rsidR="003129FE" w:rsidRPr="00725291" w:rsidRDefault="003129FE"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Key: Possible Values and Description</w:t>
            </w:r>
          </w:p>
        </w:tc>
      </w:tr>
      <w:tr w:rsidR="003129FE" w:rsidRPr="00725291"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725291" w:rsidRDefault="003129FE" w:rsidP="00B508BD">
            <w:pPr>
              <w:tabs>
                <w:tab w:val="left" w:pos="1004"/>
              </w:tabs>
              <w:spacing w:after="0" w:line="240" w:lineRule="auto"/>
              <w:ind w:left="104"/>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Return-of-premium.</w:t>
            </w:r>
          </w:p>
          <w:p w14:paraId="35FF73C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Roll-up (3% per annum).</w:t>
            </w:r>
          </w:p>
          <w:p w14:paraId="240A13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Roll-up (5% per annum).</w:t>
            </w:r>
          </w:p>
          <w:p w14:paraId="318E9CC9"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Maximum anniversary value (MAV).</w:t>
            </w:r>
          </w:p>
          <w:p w14:paraId="47219307"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High of MAV and 5% roll-up.</w:t>
            </w:r>
          </w:p>
          <w:p w14:paraId="6E123C5F" w14:textId="6D7B4C5B" w:rsidR="003129FE" w:rsidRPr="00725291" w:rsidRDefault="003129FE" w:rsidP="00534D41">
            <w:pPr>
              <w:tabs>
                <w:tab w:val="left" w:pos="1004"/>
              </w:tabs>
              <w:spacing w:after="0" w:line="240" w:lineRule="auto"/>
              <w:ind w:left="1004" w:hanging="900"/>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 xml:space="preserve">Enhanced death benefit (excludes the ROP GMDB, which would have to be added separately if the contract in question has an ROP). </w:t>
            </w:r>
          </w:p>
        </w:tc>
      </w:tr>
      <w:tr w:rsidR="003129FE" w:rsidRPr="00725291"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C1B10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Pro-rata by market value.</w:t>
            </w:r>
          </w:p>
          <w:p w14:paraId="005C8D2D"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Dollar-for-dollar.</w:t>
            </w:r>
          </w:p>
        </w:tc>
      </w:tr>
      <w:tr w:rsidR="003129FE" w:rsidRPr="00725291"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725291" w:rsidRDefault="003129FE" w:rsidP="00B508BD">
            <w:pPr>
              <w:tabs>
                <w:tab w:val="left" w:pos="1004"/>
              </w:tabs>
              <w:spacing w:after="0" w:line="240" w:lineRule="auto"/>
              <w:ind w:left="108"/>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Fixed Account.</w:t>
            </w:r>
          </w:p>
          <w:p w14:paraId="7B0791B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Money Market.</w:t>
            </w:r>
          </w:p>
          <w:p w14:paraId="6C6D727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Fixed Income (Bond).</w:t>
            </w:r>
          </w:p>
          <w:p w14:paraId="3DCC40FA"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Balanced Asset Allocation.</w:t>
            </w:r>
          </w:p>
          <w:p w14:paraId="5FE58E4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Diversified Equity.</w:t>
            </w:r>
          </w:p>
          <w:p w14:paraId="048F793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International Equity.</w:t>
            </w:r>
          </w:p>
          <w:p w14:paraId="0F29AA1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6 : 6</w:t>
            </w:r>
            <w:r w:rsidRPr="00725291">
              <w:rPr>
                <w:rFonts w:ascii="Times New Roman" w:eastAsia="Times New Roman" w:hAnsi="Times New Roman"/>
                <w:sz w:val="20"/>
                <w:szCs w:val="20"/>
              </w:rPr>
              <w:tab/>
              <w:t>Intermediate Risk Equity.</w:t>
            </w:r>
          </w:p>
          <w:p w14:paraId="4C6E1069" w14:textId="2E2D29AF"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7 : 7</w:t>
            </w:r>
            <w:r w:rsidRPr="00725291">
              <w:rPr>
                <w:rFonts w:ascii="Times New Roman" w:eastAsia="Times New Roman" w:hAnsi="Times New Roman"/>
                <w:sz w:val="20"/>
                <w:szCs w:val="20"/>
              </w:rPr>
              <w:tab/>
              <w:t>Aggressive/Exotic Equity.</w:t>
            </w:r>
          </w:p>
        </w:tc>
      </w:tr>
      <w:tr w:rsidR="003129FE" w:rsidRPr="00725291"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725291" w:rsidRDefault="003129FE" w:rsidP="00B508BD">
            <w:pPr>
              <w:tabs>
                <w:tab w:val="left" w:pos="1004"/>
              </w:tabs>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0 : 35</w:t>
            </w:r>
            <w:r w:rsidRPr="00725291">
              <w:rPr>
                <w:rFonts w:ascii="Times New Roman" w:eastAsia="Times New Roman" w:hAnsi="Times New Roman"/>
                <w:sz w:val="20"/>
                <w:szCs w:val="20"/>
              </w:rPr>
              <w:tab/>
              <w:t>4 : 65</w:t>
            </w:r>
          </w:p>
          <w:p w14:paraId="12F394B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45</w:t>
            </w:r>
            <w:r w:rsidRPr="00725291">
              <w:rPr>
                <w:rFonts w:ascii="Times New Roman" w:eastAsia="Times New Roman" w:hAnsi="Times New Roman"/>
                <w:sz w:val="20"/>
                <w:szCs w:val="20"/>
              </w:rPr>
              <w:tab/>
              <w:t>5 : 70</w:t>
            </w:r>
          </w:p>
          <w:p w14:paraId="259D9D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55</w:t>
            </w:r>
            <w:r w:rsidRPr="00725291">
              <w:rPr>
                <w:rFonts w:ascii="Times New Roman" w:eastAsia="Times New Roman" w:hAnsi="Times New Roman"/>
                <w:sz w:val="20"/>
                <w:szCs w:val="20"/>
              </w:rPr>
              <w:tab/>
              <w:t>6 : 75</w:t>
            </w:r>
          </w:p>
          <w:p w14:paraId="2AA3BFF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60</w:t>
            </w:r>
            <w:r w:rsidRPr="00725291">
              <w:rPr>
                <w:rFonts w:ascii="Times New Roman" w:eastAsia="Times New Roman" w:hAnsi="Times New Roman"/>
                <w:sz w:val="20"/>
                <w:szCs w:val="20"/>
              </w:rPr>
              <w:tab/>
              <w:t>7 : 80</w:t>
            </w:r>
          </w:p>
        </w:tc>
      </w:tr>
      <w:tr w:rsidR="003129FE" w:rsidRPr="00725291"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6761A4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27FEFB8B" w14:textId="1720FF68"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0.5</w:t>
            </w:r>
            <w:r w:rsidRPr="00725291">
              <w:rPr>
                <w:rFonts w:ascii="Times New Roman" w:eastAsia="Times New Roman" w:hAnsi="Times New Roman"/>
                <w:sz w:val="20"/>
                <w:szCs w:val="20"/>
              </w:rPr>
              <w:tab/>
            </w:r>
            <w:r>
              <w:rPr>
                <w:rFonts w:ascii="Times New Roman" w:eastAsia="Times New Roman" w:hAnsi="Times New Roman"/>
                <w:sz w:val="20"/>
                <w:szCs w:val="20"/>
              </w:rPr>
              <w:t>3 : 9.5</w:t>
            </w:r>
          </w:p>
          <w:p w14:paraId="7C04D8FC" w14:textId="77777777" w:rsidR="003129FE" w:rsidRDefault="003129FE" w:rsidP="00B508BD">
            <w:pPr>
              <w:tabs>
                <w:tab w:val="left" w:pos="1004"/>
              </w:tabs>
              <w:spacing w:after="0" w:line="240" w:lineRule="auto"/>
              <w:ind w:left="107"/>
              <w:rPr>
                <w:rFonts w:ascii="Times New Roman" w:eastAsia="Times New Roman" w:hAnsi="Times New Roman"/>
                <w:sz w:val="20"/>
                <w:szCs w:val="20"/>
              </w:rPr>
            </w:pPr>
            <w:r>
              <w:rPr>
                <w:rFonts w:ascii="Times New Roman" w:eastAsia="Times New Roman" w:hAnsi="Times New Roman"/>
                <w:sz w:val="20"/>
                <w:szCs w:val="20"/>
              </w:rPr>
              <w:t>1 : 3.5</w:t>
            </w:r>
            <w:r w:rsidRPr="00725291">
              <w:rPr>
                <w:rFonts w:ascii="Times New Roman" w:eastAsia="Times New Roman" w:hAnsi="Times New Roman"/>
                <w:sz w:val="20"/>
                <w:szCs w:val="20"/>
              </w:rPr>
              <w:tab/>
            </w:r>
            <w:r>
              <w:rPr>
                <w:rFonts w:ascii="Times New Roman" w:eastAsia="Times New Roman" w:hAnsi="Times New Roman"/>
                <w:sz w:val="20"/>
                <w:szCs w:val="20"/>
              </w:rPr>
              <w:t>4 : 12.5</w:t>
            </w:r>
          </w:p>
          <w:p w14:paraId="6105456A" w14:textId="7D644BBA"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6.5</w:t>
            </w:r>
            <w:r w:rsidRPr="00725291">
              <w:rPr>
                <w:rFonts w:ascii="Times New Roman" w:eastAsia="Times New Roman" w:hAnsi="Times New Roman"/>
                <w:sz w:val="20"/>
                <w:szCs w:val="20"/>
              </w:rPr>
              <w:tab/>
            </w:r>
          </w:p>
          <w:p w14:paraId="2244D5BE" w14:textId="0BBA2A51" w:rsidR="003129FE" w:rsidRPr="00725291" w:rsidRDefault="003129FE" w:rsidP="00B508BD">
            <w:pPr>
              <w:spacing w:after="0" w:line="240" w:lineRule="auto"/>
              <w:ind w:left="107"/>
              <w:rPr>
                <w:rFonts w:ascii="Times New Roman" w:eastAsia="Times New Roman" w:hAnsi="Times New Roman"/>
                <w:sz w:val="20"/>
                <w:szCs w:val="20"/>
              </w:rPr>
            </w:pPr>
          </w:p>
        </w:tc>
      </w:tr>
      <w:tr w:rsidR="003129FE" w:rsidRPr="00725291"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Account Value-to-Guaranteed Value</w:t>
            </w:r>
          </w:p>
          <w:p w14:paraId="1FB0DD0D" w14:textId="77777777" w:rsidR="003129FE" w:rsidRPr="00725291" w:rsidRDefault="003129FE"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0.25</w:t>
            </w:r>
            <w:r w:rsidRPr="00725291">
              <w:rPr>
                <w:rFonts w:ascii="Times New Roman" w:eastAsia="Times New Roman" w:hAnsi="Times New Roman"/>
                <w:sz w:val="20"/>
                <w:szCs w:val="20"/>
              </w:rPr>
              <w:tab/>
              <w:t>4 : 1.25</w:t>
            </w:r>
          </w:p>
          <w:p w14:paraId="7616B1E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0.50</w:t>
            </w:r>
            <w:r w:rsidRPr="00725291">
              <w:rPr>
                <w:rFonts w:ascii="Times New Roman" w:eastAsia="Times New Roman" w:hAnsi="Times New Roman"/>
                <w:sz w:val="20"/>
                <w:szCs w:val="20"/>
              </w:rPr>
              <w:tab/>
              <w:t>5 : 1.50</w:t>
            </w:r>
          </w:p>
          <w:p w14:paraId="5FB4773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0.75</w:t>
            </w:r>
            <w:r w:rsidRPr="00725291">
              <w:rPr>
                <w:rFonts w:ascii="Times New Roman" w:eastAsia="Times New Roman" w:hAnsi="Times New Roman"/>
                <w:sz w:val="20"/>
                <w:szCs w:val="20"/>
              </w:rPr>
              <w:tab/>
              <w:t>6 : 2.00</w:t>
            </w:r>
          </w:p>
          <w:p w14:paraId="294F242C"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1.00</w:t>
            </w:r>
          </w:p>
        </w:tc>
      </w:tr>
      <w:tr w:rsidR="003129FE" w:rsidRPr="00A716C0"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6F62403A" w14:textId="67F2EF67"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Section </w:t>
            </w:r>
            <w:r>
              <w:rPr>
                <w:rFonts w:ascii="Times New Roman" w:eastAsia="Times New Roman" w:hAnsi="Times New Roman"/>
                <w:sz w:val="20"/>
                <w:szCs w:val="20"/>
              </w:rPr>
              <w:t>7</w:t>
            </w:r>
            <w:r w:rsidRPr="00725291">
              <w:rPr>
                <w:rFonts w:ascii="Times New Roman" w:eastAsia="Times New Roman" w:hAnsi="Times New Roman"/>
                <w:sz w:val="20"/>
                <w:szCs w:val="20"/>
              </w:rPr>
              <w:t>.E.2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 xml:space="preserve">0 :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68831216"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w:t>
            </w:r>
          </w:p>
          <w:p w14:paraId="0759CE2E" w14:textId="77777777" w:rsidR="003129FE" w:rsidRPr="00A716C0"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+100</w:t>
            </w:r>
          </w:p>
        </w:tc>
      </w:tr>
    </w:tbl>
    <w:p w14:paraId="206061D5" w14:textId="77777777" w:rsidR="003129FE" w:rsidRPr="00196786" w:rsidRDefault="003129FE" w:rsidP="0021502F">
      <w:pPr>
        <w:tabs>
          <w:tab w:val="left" w:pos="2260"/>
        </w:tabs>
        <w:spacing w:after="0" w:line="240" w:lineRule="auto"/>
        <w:jc w:val="both"/>
        <w:rPr>
          <w:rFonts w:ascii="Times New Roman" w:eastAsia="Times New Roman" w:hAnsi="Times New Roman"/>
        </w:rPr>
      </w:pPr>
    </w:p>
    <w:p w14:paraId="162D1CE2" w14:textId="6DD72C37" w:rsidR="003129FE" w:rsidRDefault="003129FE" w:rsidP="004E4618">
      <w:pPr>
        <w:spacing w:after="280"/>
        <w:jc w:val="center"/>
        <w:outlineLvl w:val="1"/>
        <w:rPr>
          <w:rFonts w:ascii="Times New Roman Bold" w:eastAsia="Times New Roman" w:hAnsi="Times New Roman Bold"/>
          <w:b/>
          <w:bCs/>
          <w:position w:val="-1"/>
        </w:rPr>
      </w:pPr>
      <w:r w:rsidRPr="00EB2BC3">
        <w:rPr>
          <w:rFonts w:ascii="Times New Roman Bold" w:eastAsia="Times New Roman" w:hAnsi="Times New Roman Bold"/>
          <w:b/>
          <w:bCs/>
          <w:position w:val="-1"/>
        </w:rPr>
        <w:lastRenderedPageBreak/>
        <w:t>VM-21: Requirements for Principle-Based Reserves for Variable Annuities</w:t>
      </w:r>
    </w:p>
    <w:p w14:paraId="5BB9D242" w14:textId="77777777" w:rsidR="003129FE" w:rsidRDefault="003129FE" w:rsidP="004E4618">
      <w:pPr>
        <w:spacing w:after="220"/>
        <w:outlineLvl w:val="2"/>
        <w:rPr>
          <w:rFonts w:ascii="Times New Roman" w:eastAsia="Times New Roman" w:hAnsi="Times New Roman"/>
          <w:b/>
        </w:rPr>
      </w:pPr>
    </w:p>
    <w:p w14:paraId="02C404BF" w14:textId="77777777" w:rsidR="003129FE" w:rsidRDefault="003129FE" w:rsidP="004E4618">
      <w:pPr>
        <w:spacing w:after="220"/>
        <w:outlineLvl w:val="2"/>
        <w:rPr>
          <w:rFonts w:ascii="Times New Roman" w:eastAsia="Times New Roman" w:hAnsi="Times New Roman"/>
          <w:b/>
        </w:rPr>
      </w:pPr>
    </w:p>
    <w:p w14:paraId="34F6D3E7" w14:textId="036A917C" w:rsidR="003129FE" w:rsidRPr="00067EEF" w:rsidRDefault="003129FE" w:rsidP="00063E8C">
      <w:pPr>
        <w:spacing w:after="220"/>
        <w:outlineLvl w:val="2"/>
      </w:pPr>
      <w:r w:rsidRPr="00063E8C">
        <w:rPr>
          <w:rFonts w:ascii="Times New Roman" w:hAnsi="Times New Roman"/>
          <w:b/>
        </w:rPr>
        <w:t xml:space="preserve">Section </w:t>
      </w:r>
      <w:r>
        <w:rPr>
          <w:rFonts w:ascii="Times New Roman" w:eastAsia="Times New Roman" w:hAnsi="Times New Roman"/>
          <w:b/>
        </w:rPr>
        <w:t>8</w:t>
      </w:r>
      <w:r w:rsidRPr="00063E8C">
        <w:rPr>
          <w:rFonts w:ascii="Times New Roman" w:hAnsi="Times New Roman"/>
          <w:b/>
        </w:rPr>
        <w:t xml:space="preserve">: Scenario </w:t>
      </w:r>
      <w:r w:rsidRPr="00EB2BC3">
        <w:rPr>
          <w:rFonts w:ascii="Times New Roman" w:eastAsia="Times New Roman" w:hAnsi="Times New Roman"/>
          <w:b/>
        </w:rPr>
        <w:t>Generation</w:t>
      </w:r>
    </w:p>
    <w:p w14:paraId="7C2C0774" w14:textId="77777777" w:rsidR="003129FE" w:rsidRPr="009B477D" w:rsidRDefault="003129FE" w:rsidP="00063E8C">
      <w:pPr>
        <w:spacing w:after="220"/>
        <w:ind w:left="720" w:hanging="720"/>
        <w:rPr>
          <w:rFonts w:ascii="Times New Roman" w:hAnsi="Times New Roman"/>
        </w:rPr>
      </w:pPr>
      <w:r w:rsidRPr="009B477D">
        <w:rPr>
          <w:rFonts w:ascii="Times New Roman" w:hAnsi="Times New Roman"/>
        </w:rPr>
        <w:t>A.</w:t>
      </w:r>
      <w:r w:rsidRPr="009B477D">
        <w:rPr>
          <w:rFonts w:ascii="Times New Roman" w:hAnsi="Times New Roman"/>
        </w:rPr>
        <w:tab/>
        <w:t>General</w:t>
      </w:r>
    </w:p>
    <w:p w14:paraId="4026E95F" w14:textId="575D49BD" w:rsidR="003129FE" w:rsidRPr="001C7A90" w:rsidRDefault="003129FE" w:rsidP="00E87EF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This section outlines the requirements for the stochastic</w:t>
      </w:r>
      <w:r>
        <w:rPr>
          <w:rFonts w:ascii="Times New Roman" w:eastAsia="Times New Roman" w:hAnsi="Times New Roman"/>
        </w:rPr>
        <w:t xml:space="preserve"> cash-flow</w:t>
      </w:r>
      <w:r w:rsidRPr="001C7A90">
        <w:rPr>
          <w:rFonts w:ascii="Times New Roman" w:eastAsia="Times New Roman" w:hAnsi="Times New Roman"/>
        </w:rPr>
        <w:t xml:space="preserve"> models used to simulate interest rates, fund</w:t>
      </w:r>
      <w:r>
        <w:rPr>
          <w:rFonts w:ascii="Times New Roman" w:eastAsia="Times New Roman" w:hAnsi="Times New Roman"/>
        </w:rPr>
        <w:t xml:space="preserve"> returns</w:t>
      </w:r>
      <w:r w:rsidRPr="001C7A90">
        <w:rPr>
          <w:rFonts w:ascii="Times New Roman" w:eastAsia="Times New Roman" w:hAnsi="Times New Roman"/>
        </w:rPr>
        <w:t xml:space="preserve">, and implied volatility to be used in the modeled projections. Specifically, it prescribes scenario generators and the associated parameters for interest rates, as well as investment returns for general account equity assets and separate account fund </w:t>
      </w:r>
      <w:r>
        <w:rPr>
          <w:rFonts w:ascii="Times New Roman" w:eastAsia="Times New Roman" w:hAnsi="Times New Roman"/>
        </w:rPr>
        <w:t>returns</w:t>
      </w:r>
      <w:r w:rsidRPr="001C7A90">
        <w:rPr>
          <w:rFonts w:ascii="Times New Roman" w:eastAsia="Times New Roman" w:hAnsi="Times New Roman"/>
        </w:rPr>
        <w:t>. In addition, this section sets certain standards that must be satisfied by fund returns, implied volatility scenarios, and non-prescribed scenario generators.  It also discusses general modeling considerations such as the number of scenarios and projection frequency.</w:t>
      </w:r>
    </w:p>
    <w:p w14:paraId="2FD3C1A5" w14:textId="77777777" w:rsidR="003129FE" w:rsidRDefault="003129FE" w:rsidP="004E4618">
      <w:pPr>
        <w:spacing w:after="220"/>
        <w:ind w:left="72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FC1197" w:rsidRPr="001C7A90" w:rsidRDefault="00FC1197" w:rsidP="004E4618">
                            <w:pPr>
                              <w:autoSpaceDE w:val="0"/>
                              <w:autoSpaceDN w:val="0"/>
                              <w:adjustRightInd w:val="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p>
                          <w:p w14:paraId="548B0B9C" w14:textId="77777777" w:rsidR="00FC1197" w:rsidRDefault="00FC1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1"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DUAIAAKs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LN+dUNQAgAAqwQAAA4AAAAAAAAAAAAAAAAALgIAAGRycy9lMm9Eb2MueG1sUEsBAi0AFAAGAAgA&#10;AAAhANVLem7cAAAACAEAAA8AAAAAAAAAAAAAAAAAqgQAAGRycy9kb3ducmV2LnhtbFBLBQYAAAAA&#10;BAAEAPMAAACzBQAAAAA=&#10;" fillcolor="white [3201]" strokeweight=".5pt">
                <v:textbox>
                  <w:txbxContent>
                    <w:p w14:paraId="23281A70" w14:textId="77777777" w:rsidR="00FC1197" w:rsidRPr="001C7A90" w:rsidRDefault="00FC1197" w:rsidP="004E4618">
                      <w:pPr>
                        <w:autoSpaceDE w:val="0"/>
                        <w:autoSpaceDN w:val="0"/>
                        <w:adjustRightInd w:val="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p>
                    <w:p w14:paraId="548B0B9C" w14:textId="77777777" w:rsidR="00FC1197" w:rsidRDefault="00FC1197"/>
                  </w:txbxContent>
                </v:textbox>
              </v:shape>
            </w:pict>
          </mc:Fallback>
        </mc:AlternateContent>
      </w:r>
    </w:p>
    <w:p w14:paraId="69B8B280" w14:textId="77777777" w:rsidR="003129FE" w:rsidRDefault="003129FE" w:rsidP="004E4618">
      <w:pPr>
        <w:spacing w:after="220"/>
        <w:ind w:left="720"/>
        <w:rPr>
          <w:rFonts w:ascii="Times New Roman" w:eastAsia="Times New Roman" w:hAnsi="Times New Roman"/>
        </w:rPr>
      </w:pPr>
    </w:p>
    <w:p w14:paraId="6DA4D75A" w14:textId="77777777" w:rsidR="003129FE" w:rsidRDefault="003129FE" w:rsidP="004E4618">
      <w:pPr>
        <w:spacing w:after="220"/>
        <w:ind w:left="720"/>
        <w:rPr>
          <w:rFonts w:ascii="Times New Roman" w:eastAsia="Times New Roman" w:hAnsi="Times New Roman"/>
        </w:rPr>
      </w:pPr>
    </w:p>
    <w:p w14:paraId="67E68563" w14:textId="77777777" w:rsidR="003129FE" w:rsidRPr="00EB2BC3" w:rsidRDefault="003129FE" w:rsidP="004E4618">
      <w:pPr>
        <w:spacing w:after="220"/>
        <w:ind w:left="720"/>
        <w:rPr>
          <w:rFonts w:ascii="Times New Roman" w:eastAsia="Times New Roman" w:hAnsi="Times New Roman"/>
        </w:rPr>
      </w:pPr>
    </w:p>
    <w:p w14:paraId="1198242C" w14:textId="77777777" w:rsidR="003129FE" w:rsidRPr="008117E6" w:rsidRDefault="003129FE" w:rsidP="004E4618">
      <w:pPr>
        <w:spacing w:after="220"/>
        <w:rPr>
          <w:rFonts w:ascii="Times New Roman" w:eastAsia="Times New Roman" w:hAnsi="Times New Roman"/>
        </w:rPr>
      </w:pPr>
    </w:p>
    <w:p w14:paraId="14B07378" w14:textId="77777777" w:rsidR="003129FE" w:rsidRDefault="003129FE" w:rsidP="0021502F">
      <w:pPr>
        <w:spacing w:after="220"/>
        <w:ind w:left="720"/>
        <w:jc w:val="both"/>
        <w:rPr>
          <w:rFonts w:ascii="Times New Roman" w:eastAsia="Times New Roman" w:hAnsi="Times New Roman"/>
        </w:rPr>
      </w:pPr>
    </w:p>
    <w:p w14:paraId="2F0CEF0B" w14:textId="7637DBB8" w:rsidR="003129FE" w:rsidRPr="001C7A90" w:rsidRDefault="003129FE" w:rsidP="00063E8C">
      <w:pPr>
        <w:pStyle w:val="ListParagraph"/>
        <w:numPr>
          <w:ilvl w:val="1"/>
          <w:numId w:val="53"/>
        </w:numPr>
        <w:spacing w:after="220"/>
        <w:rPr>
          <w:rFonts w:ascii="Times New Roman" w:eastAsia="Times New Roman" w:hAnsi="Times New Roman"/>
        </w:rPr>
      </w:pPr>
      <w:r w:rsidRPr="00057F90">
        <w:rPr>
          <w:rFonts w:ascii="Times New Roman" w:eastAsia="Times New Roman" w:hAnsi="Times New Roman"/>
        </w:rPr>
        <w:t>The scenarios discussed</w:t>
      </w:r>
      <w:r w:rsidRPr="001C7A90">
        <w:rPr>
          <w:rFonts w:ascii="Times New Roman" w:eastAsia="Times New Roman" w:hAnsi="Times New Roman"/>
        </w:rPr>
        <w:t xml:space="preserve"> in this section are applicable to gross investment returns (before the deduction of any fees or charges). To determine the net returns appropriate for the projections required by these requirements, the company shall reflect applicable fees and contract</w:t>
      </w:r>
      <w:r w:rsidR="00960FE5">
        <w:rPr>
          <w:rFonts w:ascii="Times New Roman" w:eastAsia="Times New Roman" w:hAnsi="Times New Roman"/>
        </w:rPr>
        <w:t xml:space="preserve"> </w:t>
      </w:r>
      <w:r w:rsidRPr="001C7A90">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6DAB8674" w:rsidR="003129FE" w:rsidRPr="001C7A90" w:rsidRDefault="003129FE" w:rsidP="00063E8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As a general rule, funds with higher expected returns should have higher expected volatilities, and in the absence of well-documented mitigating factors (e.g., a highly reliable and favorable correlation to other fund returns), they should lead to higher total asset requirements.</w:t>
      </w:r>
    </w:p>
    <w:p w14:paraId="659AC544" w14:textId="77777777" w:rsidR="003129FE" w:rsidRPr="001C7A90"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6436C68D" w14:textId="5ECCA36A" w:rsidR="003129FE" w:rsidRPr="001C7A90" w:rsidRDefault="003129FE" w:rsidP="00063E8C">
      <w:pPr>
        <w:pStyle w:val="ListParagraph"/>
        <w:numPr>
          <w:ilvl w:val="1"/>
          <w:numId w:val="53"/>
        </w:numPr>
        <w:spacing w:after="220"/>
        <w:rPr>
          <w:rFonts w:ascii="Times New Roman" w:eastAsia="Times New Roman" w:hAnsi="Times New Roman"/>
        </w:rPr>
      </w:pPr>
      <w:r w:rsidRPr="008117E6">
        <w:rPr>
          <w:rFonts w:ascii="Times New Roman" w:eastAsia="Times New Roman" w:hAnsi="Times New Roman"/>
        </w:rPr>
        <w:t>For non-prescribed</w:t>
      </w:r>
      <w:r w:rsidRPr="001C7A90">
        <w:rPr>
          <w:rFonts w:ascii="Times New Roman" w:eastAsia="Times New Roman" w:hAnsi="Times New Roman"/>
        </w:rPr>
        <w:t xml:space="preserve"> generators, the interest rate, equity, and implied volatility </w:t>
      </w:r>
      <w:r>
        <w:rPr>
          <w:rFonts w:ascii="Times New Roman" w:eastAsia="Times New Roman" w:hAnsi="Times New Roman"/>
        </w:rPr>
        <w:t>S</w:t>
      </w:r>
      <w:r w:rsidRPr="001C7A90">
        <w:rPr>
          <w:rFonts w:ascii="Times New Roman" w:eastAsia="Times New Roman" w:hAnsi="Times New Roman"/>
        </w:rPr>
        <w:t xml:space="preserve">cenarios used to determine reserves must be available in an electronic </w:t>
      </w:r>
      <w:r>
        <w:rPr>
          <w:rFonts w:ascii="Times New Roman" w:eastAsia="Times New Roman" w:hAnsi="Times New Roman"/>
        </w:rPr>
        <w:t xml:space="preserve">spreadsheet </w:t>
      </w:r>
      <w:r w:rsidRPr="001C7A90">
        <w:rPr>
          <w:rFonts w:ascii="Times New Roman" w:eastAsia="Times New Roman" w:hAnsi="Times New Roman"/>
        </w:rPr>
        <w:t>to facilitate any regulatory review.</w:t>
      </w:r>
    </w:p>
    <w:p w14:paraId="246C09BB" w14:textId="2E99C99D" w:rsidR="003129FE" w:rsidRPr="009B477D" w:rsidRDefault="003129FE" w:rsidP="004E4618">
      <w:pPr>
        <w:spacing w:after="220"/>
        <w:ind w:left="720" w:hanging="720"/>
        <w:rPr>
          <w:rFonts w:ascii="Times New Roman" w:hAnsi="Times New Roman"/>
        </w:rPr>
      </w:pPr>
      <w:r w:rsidRPr="009B477D">
        <w:rPr>
          <w:rFonts w:ascii="Times New Roman" w:hAnsi="Times New Roman"/>
        </w:rPr>
        <w:t>B.</w:t>
      </w:r>
      <w:r w:rsidRPr="009B477D">
        <w:rPr>
          <w:rFonts w:ascii="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Interest Rate Scenario</w:t>
      </w:r>
      <w:r>
        <w:rPr>
          <w:rFonts w:ascii="Times New Roman" w:eastAsia="Times New Roman" w:hAnsi="Times New Roman"/>
        </w:rPr>
        <w:t xml:space="preserve"> Generator</w:t>
      </w:r>
    </w:p>
    <w:p w14:paraId="5FBE2419" w14:textId="77777777" w:rsidR="003129FE" w:rsidRPr="001C7A90" w:rsidRDefault="003129FE" w:rsidP="00E87EFC">
      <w:pPr>
        <w:pStyle w:val="ListParagraph"/>
        <w:numPr>
          <w:ilvl w:val="0"/>
          <w:numId w:val="54"/>
        </w:numPr>
        <w:spacing w:after="220"/>
        <w:rPr>
          <w:rFonts w:ascii="Times New Roman" w:eastAsia="Times New Roman" w:hAnsi="Times New Roman"/>
        </w:rPr>
      </w:pPr>
      <w:r w:rsidRPr="001C7A90">
        <w:rPr>
          <w:rFonts w:ascii="Times New Roman" w:eastAsia="Times New Roman" w:hAnsi="Times New Roman"/>
        </w:rPr>
        <w:lastRenderedPageBreak/>
        <w:t>U.S. Treasury interest rate curves shall be determined on a stochastic basis using the prescribed interest rate scenario generator with prescribed parameters, or a non-prescribed generator that meets the requirements described in Section 8.E.</w:t>
      </w:r>
    </w:p>
    <w:p w14:paraId="1C7BB2C5" w14:textId="1DCCBB54" w:rsidR="003129FE" w:rsidRPr="001C7A90" w:rsidRDefault="003129FE" w:rsidP="00E87EFC">
      <w:pPr>
        <w:pStyle w:val="ListParagraph"/>
        <w:numPr>
          <w:ilvl w:val="0"/>
          <w:numId w:val="54"/>
        </w:numPr>
        <w:spacing w:after="220"/>
        <w:rPr>
          <w:rFonts w:ascii="Times New Roman" w:eastAsia="Times New Roman" w:hAnsi="Times New Roman"/>
        </w:rPr>
      </w:pPr>
      <w:r w:rsidRPr="001C7A90">
        <w:rPr>
          <w:rFonts w:ascii="Times New Roman" w:eastAsia="Times New Roman" w:hAnsi="Times New Roman"/>
        </w:rPr>
        <w:t xml:space="preserve">The prescribed interest rate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r w:rsidR="00D3686A">
        <w:rPr>
          <w:rFonts w:ascii="Times New Roman" w:eastAsia="Times New Roman" w:hAnsi="Times New Roman"/>
        </w:rPr>
        <w:t xml:space="preserve">prescribed </w:t>
      </w:r>
      <w:r w:rsidRPr="001C7A90">
        <w:rPr>
          <w:rFonts w:ascii="Times New Roman" w:eastAsia="Times New Roman" w:hAnsi="Times New Roman"/>
        </w:rPr>
        <w:t xml:space="preserve">interest rate </w:t>
      </w:r>
      <w:r w:rsidR="00D3686A">
        <w:rPr>
          <w:rFonts w:ascii="Times New Roman" w:eastAsia="Times New Roman" w:hAnsi="Times New Roman"/>
        </w:rPr>
        <w:t xml:space="preserve">scenario </w:t>
      </w:r>
      <w:r w:rsidRPr="001C7A90">
        <w:rPr>
          <w:rFonts w:ascii="Times New Roman" w:eastAsia="Times New Roman" w:hAnsi="Times New Roman"/>
        </w:rPr>
        <w:t xml:space="preserve">generator shall be those included in the prescribed interest rate scenario generator, </w:t>
      </w:r>
      <w:r>
        <w:rPr>
          <w:rFonts w:ascii="Times New Roman" w:eastAsia="Times New Roman" w:hAnsi="Times New Roman"/>
        </w:rPr>
        <w:t xml:space="preserve">and shall use </w:t>
      </w:r>
      <w:r w:rsidRPr="001C7A90">
        <w:rPr>
          <w:rFonts w:ascii="Times New Roman" w:eastAsia="Times New Roman" w:hAnsi="Times New Roman"/>
        </w:rPr>
        <w:t xml:space="preserve">the mean reversion point for the 20-year U.S. Treasury bond rate </w:t>
      </w:r>
      <w:r>
        <w:rPr>
          <w:rFonts w:ascii="Times New Roman" w:eastAsia="Times New Roman" w:hAnsi="Times New Roman"/>
        </w:rPr>
        <w:t>based on</w:t>
      </w:r>
      <w:r w:rsidRPr="001C7A90">
        <w:rPr>
          <w:rFonts w:ascii="Times New Roman" w:eastAsia="Times New Roman" w:hAnsi="Times New Roman"/>
        </w:rPr>
        <w:t xml:space="preserve"> the following formula, with the result rounded to the nearest 0.25%:</w:t>
      </w:r>
    </w:p>
    <w:p w14:paraId="5085E151" w14:textId="77777777" w:rsidR="003129FE" w:rsidRPr="00EB2BC3" w:rsidRDefault="003129FE" w:rsidP="004E4618">
      <w:pPr>
        <w:spacing w:after="220"/>
        <w:ind w:left="2070"/>
        <w:rPr>
          <w:rFonts w:ascii="Times New Roman" w:eastAsia="Times New Roman" w:hAnsi="Times New Roman"/>
        </w:rPr>
      </w:pPr>
      <w:r w:rsidRPr="00EB2BC3">
        <w:rPr>
          <w:rFonts w:ascii="Times New Roman" w:eastAsia="Times New Roman" w:hAnsi="Times New Roman"/>
        </w:rPr>
        <w:t>20% of the median 20-year U.S. Treasury bond rate over the last 600 months</w:t>
      </w:r>
    </w:p>
    <w:p w14:paraId="3B21D1A5" w14:textId="77777777" w:rsidR="003129FE" w:rsidRPr="00EB2BC3" w:rsidRDefault="003129FE" w:rsidP="004E4618">
      <w:pPr>
        <w:spacing w:after="220"/>
        <w:ind w:left="2070"/>
        <w:rPr>
          <w:rFonts w:ascii="Times New Roman" w:eastAsia="Times New Roman" w:hAnsi="Times New Roman"/>
        </w:rPr>
      </w:pPr>
      <w:r w:rsidRPr="00EB2BC3">
        <w:rPr>
          <w:rFonts w:ascii="Times New Roman" w:eastAsia="Times New Roman" w:hAnsi="Times New Roman"/>
        </w:rPr>
        <w:t>+ 30% of the average 20-year U.S. Treasury bond rate over the last 120 months</w:t>
      </w:r>
    </w:p>
    <w:p w14:paraId="1B746C07" w14:textId="77777777" w:rsidR="003129FE" w:rsidRPr="00C244FF" w:rsidRDefault="003129FE" w:rsidP="004E4618">
      <w:pPr>
        <w:spacing w:after="220"/>
        <w:ind w:left="2070"/>
        <w:rPr>
          <w:rFonts w:ascii="Times New Roman" w:eastAsia="Times New Roman" w:hAnsi="Times New Roman"/>
        </w:rPr>
      </w:pPr>
      <w:r w:rsidRPr="00C244FF">
        <w:rPr>
          <w:rFonts w:ascii="Times New Roman" w:eastAsia="Times New Roman" w:hAnsi="Times New Roman"/>
        </w:rPr>
        <w:t>+ 50% of the average 20-year U.S. Treasury bond rate over the last 36 months.</w:t>
      </w:r>
    </w:p>
    <w:p w14:paraId="5C610E26" w14:textId="77777777" w:rsidR="003129FE" w:rsidRPr="009B477D" w:rsidRDefault="003129FE" w:rsidP="004E4618">
      <w:pPr>
        <w:spacing w:after="220"/>
        <w:ind w:left="1440"/>
        <w:rPr>
          <w:rFonts w:ascii="Times New Roman" w:hAnsi="Times New Roman"/>
        </w:rPr>
      </w:pPr>
    </w:p>
    <w:p w14:paraId="1268BE32" w14:textId="77777777" w:rsidR="003129FE" w:rsidRPr="001141F1" w:rsidRDefault="003129FE" w:rsidP="004E4618">
      <w:pPr>
        <w:spacing w:after="220"/>
        <w:ind w:left="1440"/>
        <w:rPr>
          <w:rFonts w:ascii="Times New Roman" w:eastAsia="Times New Roman" w:hAnsi="Times New Roman"/>
        </w:rPr>
      </w:pPr>
      <w:r w:rsidRPr="009B477D">
        <w:rPr>
          <w:rFonts w:ascii="Times New Roman" w:hAnsi="Times New Roman"/>
        </w:rPr>
        <w:t xml:space="preserve">The </w:t>
      </w:r>
      <w:r w:rsidRPr="00765254">
        <w:rPr>
          <w:rFonts w:ascii="Times New Roman" w:eastAsia="Times New Roman" w:hAnsi="Times New Roman"/>
          <w:iCs/>
        </w:rPr>
        <w:t xml:space="preserve">mean reversion </w:t>
      </w:r>
      <w:proofErr w:type="gramStart"/>
      <w:r w:rsidRPr="00765254">
        <w:rPr>
          <w:rFonts w:ascii="Times New Roman" w:eastAsia="Times New Roman" w:hAnsi="Times New Roman"/>
          <w:iCs/>
        </w:rPr>
        <w:t>point</w:t>
      </w:r>
      <w:proofErr w:type="gramEnd"/>
      <w:r w:rsidRPr="00765254">
        <w:rPr>
          <w:rFonts w:ascii="Times New Roman" w:eastAsia="Times New Roman" w:hAnsi="Times New Roman"/>
          <w:iCs/>
        </w:rPr>
        <w:t xml:space="preserve"> for use in the generator changes </w:t>
      </w:r>
      <w:r w:rsidRPr="00D520D5">
        <w:rPr>
          <w:rFonts w:ascii="Times New Roman" w:eastAsia="Times New Roman" w:hAnsi="Times New Roman"/>
          <w:bCs/>
          <w:iCs/>
        </w:rPr>
        <w:t>once per calendar year, in January,</w:t>
      </w:r>
      <w:r w:rsidRPr="00765254">
        <w:rPr>
          <w:rFonts w:ascii="Times New Roman" w:eastAsia="Times New Roman" w:hAnsi="Times New Roman"/>
          <w:iCs/>
        </w:rPr>
        <w:t xml:space="preserve"> and is based on historical rates through the end of the prior </w:t>
      </w:r>
      <w:r>
        <w:rPr>
          <w:rFonts w:ascii="Times New Roman" w:eastAsia="Times New Roman" w:hAnsi="Times New Roman"/>
          <w:iCs/>
        </w:rPr>
        <w:t xml:space="preserve">calendar </w:t>
      </w:r>
      <w:r w:rsidRPr="00765254">
        <w:rPr>
          <w:rFonts w:ascii="Times New Roman" w:eastAsia="Times New Roman" w:hAnsi="Times New Roman"/>
          <w:iCs/>
        </w:rPr>
        <w:t xml:space="preserve">year. While the mean reversion point is dynamic depending on the </w:t>
      </w:r>
      <w:r>
        <w:rPr>
          <w:rFonts w:ascii="Times New Roman" w:eastAsia="Times New Roman" w:hAnsi="Times New Roman"/>
          <w:iCs/>
        </w:rPr>
        <w:t xml:space="preserve">start </w:t>
      </w:r>
      <w:r w:rsidRPr="00765254">
        <w:rPr>
          <w:rFonts w:ascii="Times New Roman" w:eastAsia="Times New Roman" w:hAnsi="Times New Roman"/>
          <w:iCs/>
        </w:rPr>
        <w:t xml:space="preserve">date </w:t>
      </w:r>
      <w:r>
        <w:rPr>
          <w:rFonts w:ascii="Times New Roman" w:eastAsia="Times New Roman" w:hAnsi="Times New Roman"/>
          <w:iCs/>
        </w:rPr>
        <w:t xml:space="preserve">of </w:t>
      </w:r>
      <w:r w:rsidRPr="00765254">
        <w:rPr>
          <w:rFonts w:ascii="Times New Roman" w:eastAsia="Times New Roman" w:hAnsi="Times New Roman"/>
          <w:iCs/>
        </w:rPr>
        <w:t xml:space="preserve">a scenario, it remains constant (rather than dynamic) across all time periods after the scenario start date, for purposes of generating the scenario.  </w:t>
      </w:r>
    </w:p>
    <w:p w14:paraId="57553757" w14:textId="77777777" w:rsidR="003129FE" w:rsidRPr="009B477D" w:rsidRDefault="003129FE" w:rsidP="004E4618">
      <w:pPr>
        <w:spacing w:after="220"/>
        <w:ind w:left="720"/>
        <w:rPr>
          <w:rFonts w:ascii="Times New Roman" w:hAnsi="Times New Roman"/>
        </w:rPr>
      </w:pPr>
    </w:p>
    <w:p w14:paraId="76568204" w14:textId="33632FC0" w:rsidR="003129FE" w:rsidRPr="001C7A90" w:rsidRDefault="003129FE" w:rsidP="00E87EFC">
      <w:pPr>
        <w:pStyle w:val="ListParagraph"/>
        <w:numPr>
          <w:ilvl w:val="0"/>
          <w:numId w:val="54"/>
        </w:numPr>
        <w:spacing w:after="220"/>
        <w:rPr>
          <w:rFonts w:ascii="Times New Roman" w:eastAsia="Times New Roman" w:hAnsi="Times New Roman"/>
        </w:rPr>
      </w:pPr>
      <w:r w:rsidRPr="001C7A90">
        <w:rPr>
          <w:rFonts w:ascii="Times New Roman" w:eastAsia="Times New Roman" w:hAnsi="Times New Roman"/>
        </w:rPr>
        <w:t xml:space="preserve">For this formula, the historical 20-year U.S. Treasury bond rate for each month shall be the rate reported for the last business day of the month.  </w:t>
      </w:r>
      <w:r w:rsidRPr="001C7A90">
        <w:t xml:space="preserve">Treasury interest rates can be found at the website: </w:t>
      </w:r>
      <w:hyperlink r:id="rId25" w:history="1">
        <w:r w:rsidRPr="001C7A90">
          <w:rPr>
            <w:i/>
            <w:iCs/>
            <w:color w:val="0000FF"/>
            <w:u w:val="single"/>
          </w:rPr>
          <w:t>www.treas.gov/offices/domestic-finance/debt-management/interest-rate/yield_historical_main.shtml</w:t>
        </w:r>
      </w:hyperlink>
      <w:r w:rsidRPr="001C7A90">
        <w:t xml:space="preserve">. </w:t>
      </w:r>
    </w:p>
    <w:p w14:paraId="6FC6D17B" w14:textId="77777777" w:rsidR="003129FE" w:rsidRPr="00EB2BC3" w:rsidRDefault="003129FE" w:rsidP="004E4618">
      <w:pPr>
        <w:spacing w:after="220"/>
        <w:ind w:left="720" w:hanging="720"/>
        <w:rPr>
          <w:rFonts w:ascii="Times New Roman" w:eastAsia="Times New Roman" w:hAnsi="Times New Roman"/>
        </w:rPr>
      </w:pPr>
      <w:r w:rsidRPr="00EB2BC3">
        <w:rPr>
          <w:rFonts w:ascii="Times New Roman" w:eastAsia="Times New Roman" w:hAnsi="Times New Roman"/>
        </w:rPr>
        <w:t>C.</w:t>
      </w:r>
      <w:r w:rsidRPr="00EB2BC3">
        <w:rPr>
          <w:rFonts w:ascii="Times New Roman" w:eastAsia="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Total Investment Return Scenario</w:t>
      </w:r>
      <w:r>
        <w:rPr>
          <w:rFonts w:ascii="Times New Roman" w:eastAsia="Times New Roman" w:hAnsi="Times New Roman"/>
        </w:rPr>
        <w:t xml:space="preserve"> Generator</w:t>
      </w:r>
      <w:r w:rsidRPr="00EB2BC3">
        <w:rPr>
          <w:rFonts w:ascii="Times New Roman" w:eastAsia="Times New Roman" w:hAnsi="Times New Roman"/>
        </w:rPr>
        <w:t xml:space="preserve"> for Equity Assets and Separate Account Funds</w:t>
      </w:r>
    </w:p>
    <w:p w14:paraId="395F499B" w14:textId="300E9050" w:rsidR="003129FE" w:rsidRDefault="003129FE" w:rsidP="00E87EFC">
      <w:pPr>
        <w:pStyle w:val="ListParagraph"/>
        <w:numPr>
          <w:ilvl w:val="0"/>
          <w:numId w:val="58"/>
        </w:numPr>
        <w:spacing w:after="220"/>
        <w:rPr>
          <w:rFonts w:ascii="Times New Roman" w:eastAsia="Times New Roman" w:hAnsi="Times New Roman"/>
        </w:rPr>
      </w:pPr>
      <w:r w:rsidRPr="00436F33">
        <w:rPr>
          <w:rFonts w:ascii="Times New Roman" w:eastAsia="Times New Roman" w:hAnsi="Times New Roman"/>
        </w:rPr>
        <w:t xml:space="preserve">Total investment return paths for general account equity assets and separate account fund </w:t>
      </w:r>
      <w:r>
        <w:rPr>
          <w:rFonts w:ascii="Times New Roman" w:eastAsia="Times New Roman" w:hAnsi="Times New Roman"/>
        </w:rPr>
        <w:t>returns</w:t>
      </w:r>
      <w:r w:rsidRPr="00436F33">
        <w:rPr>
          <w:rFonts w:ascii="Times New Roman" w:eastAsia="Times New Roman" w:hAnsi="Times New Roman"/>
        </w:rPr>
        <w:t xml:space="preserve"> shall be determined on a stochastic basis using the prescribed economic scenario generator with prescribed parameters.</w:t>
      </w:r>
    </w:p>
    <w:p w14:paraId="39C326D4" w14:textId="748654E7" w:rsidR="00D3686A" w:rsidRPr="00D3686A" w:rsidRDefault="00D3686A" w:rsidP="00D3686A">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b/>
        </w:rPr>
      </w:pPr>
      <w:r w:rsidRPr="00D3686A">
        <w:rPr>
          <w:rFonts w:ascii="Times New Roman" w:eastAsia="Times New Roman" w:hAnsi="Times New Roman"/>
          <w:b/>
        </w:rPr>
        <w:t xml:space="preserve">Guidance Note: </w:t>
      </w:r>
      <w:r>
        <w:rPr>
          <w:rFonts w:ascii="Times New Roman" w:eastAsia="Times New Roman" w:hAnsi="Times New Roman"/>
        </w:rPr>
        <w:t>In lieu of the prescribed</w:t>
      </w:r>
      <w:r w:rsidR="005B7E6B">
        <w:rPr>
          <w:rFonts w:ascii="Times New Roman" w:eastAsia="Times New Roman" w:hAnsi="Times New Roman"/>
        </w:rPr>
        <w:t xml:space="preserve"> economic</w:t>
      </w:r>
      <w:r>
        <w:rPr>
          <w:rFonts w:ascii="Times New Roman" w:eastAsia="Times New Roman" w:hAnsi="Times New Roman"/>
        </w:rPr>
        <w:t xml:space="preserve"> generators, the company may substitute scenarios fro</w:t>
      </w:r>
      <w:r w:rsidR="00E81E3B">
        <w:rPr>
          <w:rFonts w:ascii="Times New Roman" w:eastAsia="Times New Roman" w:hAnsi="Times New Roman"/>
        </w:rPr>
        <w:t>m</w:t>
      </w:r>
      <w:r>
        <w:rPr>
          <w:rFonts w:ascii="Times New Roman" w:eastAsia="Times New Roman" w:hAnsi="Times New Roman"/>
        </w:rPr>
        <w:t xml:space="preserve"> </w:t>
      </w:r>
      <w:r w:rsidRPr="0014474E">
        <w:rPr>
          <w:rFonts w:ascii="Times New Roman" w:eastAsia="Times New Roman" w:hAnsi="Times New Roman"/>
        </w:rPr>
        <w:t>a non-prescribed</w:t>
      </w:r>
      <w:r w:rsidR="005B7E6B">
        <w:rPr>
          <w:rFonts w:ascii="Times New Roman" w:eastAsia="Times New Roman" w:hAnsi="Times New Roman"/>
        </w:rPr>
        <w:t xml:space="preserve"> economic</w:t>
      </w:r>
      <w:r w:rsidRPr="0014474E">
        <w:rPr>
          <w:rFonts w:ascii="Times New Roman" w:eastAsia="Times New Roman" w:hAnsi="Times New Roman"/>
        </w:rPr>
        <w:t xml:space="preserve"> generator that meets the requirements described in Section 8.E.</w:t>
      </w:r>
    </w:p>
    <w:p w14:paraId="179784C5" w14:textId="240169ED" w:rsidR="003129FE" w:rsidRPr="001C7A90" w:rsidRDefault="003129FE" w:rsidP="00E87EF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The prescribed economic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r w:rsidR="00D3686A">
        <w:rPr>
          <w:rFonts w:ascii="Times New Roman" w:eastAsia="Times New Roman" w:hAnsi="Times New Roman"/>
        </w:rPr>
        <w:t xml:space="preserve">prescribed economic </w:t>
      </w:r>
      <w:r w:rsidRPr="001C7A90">
        <w:rPr>
          <w:rFonts w:ascii="Times New Roman" w:eastAsia="Times New Roman" w:hAnsi="Times New Roman"/>
        </w:rPr>
        <w:t>scenario generator shall be those included in the prescribed</w:t>
      </w:r>
      <w:r w:rsidR="00D3686A">
        <w:rPr>
          <w:rFonts w:ascii="Times New Roman" w:eastAsia="Times New Roman" w:hAnsi="Times New Roman"/>
        </w:rPr>
        <w:t xml:space="preserve"> economic</w:t>
      </w:r>
      <w:r w:rsidRPr="001C7A90">
        <w:rPr>
          <w:rFonts w:ascii="Times New Roman" w:eastAsia="Times New Roman" w:hAnsi="Times New Roman"/>
        </w:rPr>
        <w:t xml:space="preserve"> scenario generator</w:t>
      </w:r>
      <w:r>
        <w:rPr>
          <w:rFonts w:ascii="Times New Roman" w:eastAsia="Times New Roman" w:hAnsi="Times New Roman"/>
        </w:rPr>
        <w:t>.</w:t>
      </w:r>
      <w:r w:rsidRPr="001C7A90">
        <w:rPr>
          <w:rFonts w:ascii="Times New Roman" w:eastAsia="Times New Roman" w:hAnsi="Times New Roman"/>
        </w:rPr>
        <w:t xml:space="preserve">  A </w:t>
      </w:r>
      <w:r w:rsidR="00D3686A">
        <w:rPr>
          <w:rFonts w:ascii="Times New Roman" w:eastAsia="Times New Roman" w:hAnsi="Times New Roman"/>
        </w:rPr>
        <w:t xml:space="preserve">more complete </w:t>
      </w:r>
      <w:r w:rsidRPr="001C7A90">
        <w:rPr>
          <w:rFonts w:ascii="Times New Roman" w:eastAsia="Times New Roman" w:hAnsi="Times New Roman"/>
        </w:rPr>
        <w:t xml:space="preserve">description of the generator and development of assumptions is contained in the Academy report referenced in the Guidance Note </w:t>
      </w:r>
      <w:r>
        <w:rPr>
          <w:rFonts w:ascii="Times New Roman" w:eastAsia="Times New Roman" w:hAnsi="Times New Roman"/>
        </w:rPr>
        <w:t xml:space="preserve">following Section 8.A.1 </w:t>
      </w:r>
      <w:r w:rsidRPr="001C7A90">
        <w:rPr>
          <w:rFonts w:ascii="Times New Roman" w:eastAsia="Times New Roman" w:hAnsi="Times New Roman"/>
        </w:rPr>
        <w:t>above.</w:t>
      </w:r>
    </w:p>
    <w:p w14:paraId="2ACD3BA8" w14:textId="5DC786FC" w:rsidR="003129FE" w:rsidRPr="001C7A90" w:rsidRDefault="003129FE" w:rsidP="00E87EF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The company shall map each of the proxy funds defined in Section </w:t>
      </w:r>
      <w:r>
        <w:rPr>
          <w:rFonts w:ascii="Times New Roman" w:eastAsia="Times New Roman" w:hAnsi="Times New Roman"/>
        </w:rPr>
        <w:t>4</w:t>
      </w:r>
      <w:r w:rsidRPr="001C7A90">
        <w:rPr>
          <w:rFonts w:ascii="Times New Roman" w:eastAsia="Times New Roman" w:hAnsi="Times New Roman"/>
        </w:rPr>
        <w:t>.A.2 to the fund returns projected by the prescribed economic scenario generator</w:t>
      </w:r>
      <w:r w:rsidR="006F54BC">
        <w:rPr>
          <w:rFonts w:ascii="Times New Roman" w:eastAsia="Times New Roman" w:hAnsi="Times New Roman"/>
        </w:rPr>
        <w:t xml:space="preserve"> </w:t>
      </w:r>
      <w:r w:rsidRPr="001C7A90">
        <w:rPr>
          <w:rFonts w:ascii="Times New Roman" w:eastAsia="Times New Roman" w:hAnsi="Times New Roman"/>
        </w:rPr>
        <w:t xml:space="preserve">. This mapping process may involve blending the accumulation factors from two or more of the prescribed </w:t>
      </w:r>
      <w:proofErr w:type="gramStart"/>
      <w:r w:rsidRPr="001C7A90">
        <w:rPr>
          <w:rFonts w:ascii="Times New Roman" w:eastAsia="Times New Roman" w:hAnsi="Times New Roman"/>
        </w:rPr>
        <w:t>fund</w:t>
      </w:r>
      <w:proofErr w:type="gramEnd"/>
      <w:r w:rsidRPr="001C7A90">
        <w:rPr>
          <w:rFonts w:ascii="Times New Roman" w:eastAsia="Times New Roman" w:hAnsi="Times New Roman"/>
        </w:rPr>
        <w:t xml:space="preserve"> returns to create the projected returns for each proxy fund. If a proxy fund cannot be appropriately mapped to some </w:t>
      </w:r>
      <w:r w:rsidRPr="001C7A90">
        <w:rPr>
          <w:rFonts w:ascii="Times New Roman" w:eastAsia="Times New Roman" w:hAnsi="Times New Roman"/>
        </w:rPr>
        <w:lastRenderedPageBreak/>
        <w:t>combination of the prescribed returns, the company shall determine an appropriate return using a non-prescribed scenario generator and disclose the methodology underlying the non-prescribed scenario generator.</w:t>
      </w:r>
    </w:p>
    <w:p w14:paraId="5845DA23" w14:textId="62F9CDD0"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In using </w:t>
      </w:r>
      <w:r w:rsidR="00D3686A">
        <w:rPr>
          <w:rFonts w:ascii="Times New Roman" w:eastAsia="Times New Roman" w:hAnsi="Times New Roman"/>
        </w:rPr>
        <w:t xml:space="preserve">non-prescribed </w:t>
      </w:r>
      <w:r w:rsidRPr="001C7A90">
        <w:rPr>
          <w:rFonts w:ascii="Times New Roman" w:eastAsia="Times New Roman" w:hAnsi="Times New Roman"/>
        </w:rPr>
        <w:t>scenario generators to determine the return for proxy funds that cannot be mapped</w:t>
      </w:r>
      <w:r>
        <w:rPr>
          <w:rFonts w:ascii="Times New Roman" w:eastAsia="Times New Roman" w:hAnsi="Times New Roman"/>
        </w:rPr>
        <w:t xml:space="preserve"> </w:t>
      </w:r>
      <w:r w:rsidRPr="00C85BC2">
        <w:rPr>
          <w:rFonts w:ascii="Times New Roman" w:eastAsia="Times New Roman" w:hAnsi="Times New Roman"/>
        </w:rPr>
        <w:t>to the prescribed</w:t>
      </w:r>
      <w:r w:rsidR="005B7E6B">
        <w:rPr>
          <w:rFonts w:ascii="Times New Roman" w:eastAsia="Times New Roman" w:hAnsi="Times New Roman"/>
        </w:rPr>
        <w:t xml:space="preserve"> economic</w:t>
      </w:r>
      <w:r w:rsidRPr="00C85BC2">
        <w:rPr>
          <w:rFonts w:ascii="Times New Roman" w:eastAsia="Times New Roman" w:hAnsi="Times New Roman"/>
        </w:rPr>
        <w:t xml:space="preserve"> generator</w:t>
      </w:r>
      <w:r w:rsidRPr="001C7A90">
        <w:rPr>
          <w:rFonts w:ascii="Times New Roman" w:eastAsia="Times New Roman" w:hAnsi="Times New Roman"/>
        </w:rPr>
        <w:t>, the scenarios so generated must be consistent with the general relationships between risk and return observed in  the fund returns from the prescribed scenario generator.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2AAF717D"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4BF98543"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 xml:space="preserve">As an example, the standard deviation of log returns often is used as a measure of risk. Specifically, two return distributions </w:t>
      </w:r>
      <w:r w:rsidR="000E0A82">
        <w:rPr>
          <w:rFonts w:ascii="Times New Roman" w:hAnsi="Times New Roman"/>
        </w:rPr>
        <w:t>Rx</w:t>
      </w:r>
      <w:r w:rsidRPr="009B477D">
        <w:rPr>
          <w:rFonts w:ascii="Times New Roman" w:hAnsi="Times New Roman"/>
          <w:i/>
        </w:rPr>
        <w:t xml:space="preserve"> </w:t>
      </w:r>
      <w:r w:rsidRPr="009B477D">
        <w:rPr>
          <w:rFonts w:ascii="Times New Roman" w:hAnsi="Times New Roman"/>
        </w:rPr>
        <w:t xml:space="preserve">and </w:t>
      </w:r>
      <w:r w:rsidR="000E0A82">
        <w:rPr>
          <w:rFonts w:ascii="Times New Roman" w:hAnsi="Times New Roman"/>
        </w:rPr>
        <w:t>Ry</w:t>
      </w:r>
      <w:r w:rsidRPr="009B477D">
        <w:rPr>
          <w:rFonts w:ascii="Times New Roman" w:hAnsi="Times New Roman"/>
          <w:i/>
        </w:rPr>
        <w:t xml:space="preserve"> </w:t>
      </w:r>
      <w:r w:rsidRPr="009B477D">
        <w:rPr>
          <w:rFonts w:ascii="Times New Roman" w:hAnsi="Times New Roman"/>
        </w:rPr>
        <w:t>would satisfy the following relationship:</w:t>
      </w:r>
    </w:p>
    <w:p w14:paraId="7AC6D1DD" w14:textId="2203FBD1" w:rsidR="003129FE" w:rsidRPr="009B477D"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rFonts w:ascii="Times New Roman" w:hAnsi="Times New Roman"/>
        </w:rPr>
      </w:pPr>
      <w:r w:rsidRPr="009B477D">
        <w:rPr>
          <w:rFonts w:ascii="Times New Roman" w:hAnsi="Times New Roman"/>
        </w:rPr>
        <w:tab/>
      </w:r>
      <w:r w:rsidR="00960FE5">
        <w:rPr>
          <w:rFonts w:ascii="Times New Roman" w:hAnsi="Times New Roman"/>
          <w:noProof/>
          <w:position w:val="-32"/>
        </w:rPr>
        <w:pict w14:anchorId="05EAA265">
          <v:shape id="_x0000_i1032" type="#_x0000_t75" alt="" style="width:207pt;height:36pt;mso-width-percent:0;mso-height-percent:0;mso-width-percent:0;mso-height-percent:0">
            <v:imagedata r:id="rId26" o:title=""/>
          </v:shape>
        </w:pict>
      </w:r>
    </w:p>
    <w:p w14:paraId="386E0AD0" w14:textId="57DC728D"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rPr>
        <w:t xml:space="preserve">Where </w:t>
      </w:r>
      <w:r w:rsidR="00190B3A" w:rsidRPr="00900D6F">
        <w:rPr>
          <w:rFonts w:ascii="Times New Roman" w:eastAsia="Times New Roman" w:hAnsi="Times New Roman"/>
          <w:noProof/>
        </w:rPr>
        <w:object w:dxaOrig="440" w:dyaOrig="279" w14:anchorId="67855678">
          <v:shape id="_x0000_i1033" type="#_x0000_t75" alt="" style="width:17.25pt;height:13.5pt;mso-width-percent:0;mso-height-percent:0;mso-width-percent:0;mso-height-percent:0" o:ole="">
            <v:imagedata r:id="rId27" o:title=""/>
          </v:shape>
          <o:OLEObject Type="Embed" ProgID="Equation.3" ShapeID="_x0000_i1033" DrawAspect="Content" ObjectID="_1613468739" r:id="rId28"/>
        </w:object>
      </w:r>
      <w:r w:rsidRPr="009B477D">
        <w:rPr>
          <w:rFonts w:ascii="Times New Roman" w:hAnsi="Times New Roman"/>
        </w:rPr>
        <w:t xml:space="preserve"> and </w:t>
      </w:r>
      <w:r w:rsidRPr="009B477D">
        <w:rPr>
          <w:rFonts w:ascii="Times New Roman" w:hAnsi="Times New Roman"/>
        </w:rPr>
        <w:sym w:font="Symbol" w:char="F073"/>
      </w:r>
      <w:r w:rsidRPr="009B477D">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The function forms quadratic polynomials, and logarithmic functions tend to work well.</w:t>
      </w:r>
    </w:p>
    <w:p w14:paraId="7C321F25" w14:textId="3F236968"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Clearly, there are many other techniques that could be used to establishing consistency between the scenarios. While appealing, the above approaches do have drawbacks, and the company should not be overly optimistic in constructing the model parameters or the scenarios.</w:t>
      </w:r>
    </w:p>
    <w:p w14:paraId="29E1C894"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For example, mean-variance measures ignore the asymmetric and fat-tailed profile of most equity market returns.</w:t>
      </w:r>
    </w:p>
    <w:p w14:paraId="706DA02D" w14:textId="77636D63" w:rsidR="003129FE" w:rsidRPr="001C7A90" w:rsidRDefault="003129FE" w:rsidP="00E87EFC">
      <w:pPr>
        <w:pStyle w:val="ListParagraph"/>
        <w:numPr>
          <w:ilvl w:val="0"/>
          <w:numId w:val="58"/>
        </w:numPr>
        <w:spacing w:after="220"/>
        <w:rPr>
          <w:rFonts w:ascii="Times New Roman" w:eastAsia="Times New Roman" w:hAnsi="Times New Roman"/>
        </w:rPr>
      </w:pPr>
      <w:r w:rsidRPr="001C7A90">
        <w:rPr>
          <w:rFonts w:ascii="Times New Roman" w:hAnsi="Times New Roman"/>
          <w:color w:val="0000FF"/>
        </w:rPr>
        <w:t xml:space="preserve">For each </w:t>
      </w:r>
      <w:r w:rsidRPr="001C7A90">
        <w:rPr>
          <w:rFonts w:ascii="Times New Roman" w:eastAsia="Times New Roman" w:hAnsi="Times New Roman"/>
        </w:rPr>
        <w:t>proxy fund</w:t>
      </w:r>
      <w:r>
        <w:rPr>
          <w:rFonts w:ascii="Times New Roman" w:eastAsia="Times New Roman" w:hAnsi="Times New Roman"/>
        </w:rPr>
        <w:t xml:space="preserve"> not within the scope of the prescribed</w:t>
      </w:r>
      <w:r w:rsidR="005B7E6B">
        <w:rPr>
          <w:rFonts w:ascii="Times New Roman" w:eastAsia="Times New Roman" w:hAnsi="Times New Roman"/>
        </w:rPr>
        <w:t xml:space="preserve"> economic</w:t>
      </w:r>
      <w:r>
        <w:rPr>
          <w:rFonts w:ascii="Times New Roman" w:eastAsia="Times New Roman" w:hAnsi="Times New Roman"/>
        </w:rPr>
        <w:t xml:space="preserve"> generator</w:t>
      </w:r>
      <w:r w:rsidRPr="001C7A90">
        <w:rPr>
          <w:rFonts w:ascii="Times New Roman" w:eastAsia="Times New Roman" w:hAnsi="Times New Roman"/>
        </w:rPr>
        <w:t>, the company must consider the following:</w:t>
      </w:r>
    </w:p>
    <w:p w14:paraId="38A6E1FF" w14:textId="21AA3CB3" w:rsidR="003129FE" w:rsidRPr="001C7A90" w:rsidRDefault="003129FE" w:rsidP="00E87EFC">
      <w:pPr>
        <w:pStyle w:val="ListParagraph"/>
        <w:numPr>
          <w:ilvl w:val="0"/>
          <w:numId w:val="55"/>
        </w:numPr>
        <w:spacing w:after="220"/>
        <w:rPr>
          <w:rFonts w:ascii="Times New Roman" w:eastAsia="Times New Roman" w:hAnsi="Times New Roman"/>
        </w:rPr>
      </w:pPr>
      <w:r w:rsidRPr="001C7A90">
        <w:rPr>
          <w:rFonts w:ascii="Times New Roman" w:eastAsia="Times New Roman" w:hAnsi="Times New Roman"/>
        </w:rPr>
        <w:lastRenderedPageBreak/>
        <w:t xml:space="preserve">The Market Price of Risk, as defined in </w:t>
      </w:r>
      <w:r>
        <w:rPr>
          <w:rFonts w:ascii="Times New Roman" w:eastAsia="Times New Roman" w:hAnsi="Times New Roman"/>
        </w:rPr>
        <w:t xml:space="preserve">the Guidance Note found in </w:t>
      </w:r>
      <w:r w:rsidRPr="001C7A90">
        <w:rPr>
          <w:rFonts w:ascii="Times New Roman" w:eastAsia="Times New Roman" w:hAnsi="Times New Roman"/>
        </w:rPr>
        <w:t>Section 8.C</w:t>
      </w:r>
      <w:r w:rsidR="005B7E6B">
        <w:rPr>
          <w:rFonts w:ascii="Times New Roman" w:eastAsia="Times New Roman" w:hAnsi="Times New Roman"/>
        </w:rPr>
        <w:t>.5</w:t>
      </w:r>
      <w:r w:rsidRPr="001C7A90">
        <w:rPr>
          <w:rFonts w:ascii="Times New Roman" w:eastAsia="Times New Roman" w:hAnsi="Times New Roman"/>
        </w:rPr>
        <w:t xml:space="preserve">, implied in the projected fund returns </w:t>
      </w:r>
      <w:r>
        <w:rPr>
          <w:rFonts w:ascii="Times New Roman" w:eastAsia="Times New Roman" w:hAnsi="Times New Roman"/>
        </w:rPr>
        <w:t xml:space="preserve">when </w:t>
      </w:r>
      <w:r w:rsidRPr="001C7A90">
        <w:rPr>
          <w:rFonts w:ascii="Times New Roman" w:eastAsia="Times New Roman" w:hAnsi="Times New Roman"/>
        </w:rPr>
        <w:t xml:space="preserve">compare against the Market Price of Risk for all funds generated by the prescribed scenario </w:t>
      </w:r>
      <w:r w:rsidRPr="00C85BC2">
        <w:rPr>
          <w:rFonts w:ascii="Times New Roman" w:eastAsia="Times New Roman" w:hAnsi="Times New Roman"/>
        </w:rPr>
        <w:t>generator should produce reasonable relationships. In</w:t>
      </w:r>
      <w:r w:rsidRPr="001C7A90">
        <w:rPr>
          <w:rFonts w:ascii="Times New Roman" w:eastAsia="Times New Roman" w:hAnsi="Times New Roman"/>
        </w:rPr>
        <w:t xml:space="preserve"> calculating the Market Price of Risk, the </w:t>
      </w:r>
      <w:r w:rsidR="005B7E6B">
        <w:rPr>
          <w:rFonts w:ascii="Times New Roman" w:eastAsia="Times New Roman" w:hAnsi="Times New Roman"/>
        </w:rPr>
        <w:t>company</w:t>
      </w:r>
      <w:r w:rsidRPr="001C7A90">
        <w:rPr>
          <w:rFonts w:ascii="Times New Roman" w:eastAsia="Times New Roman" w:hAnsi="Times New Roman"/>
        </w:rPr>
        <w:t xml:space="preserve"> shall use an expected risk-free rate consistent with the long-term risk-free rate used in determining the Market Price of Risk or equivalent quantities in the calibration of the prescribed scenario generator; and</w:t>
      </w:r>
    </w:p>
    <w:p w14:paraId="7538D304" w14:textId="50E5B583" w:rsidR="003129FE" w:rsidRPr="00C85BC2" w:rsidRDefault="003129FE" w:rsidP="00E87EFC">
      <w:pPr>
        <w:pStyle w:val="ListParagraph"/>
        <w:numPr>
          <w:ilvl w:val="0"/>
          <w:numId w:val="55"/>
        </w:numPr>
        <w:spacing w:after="220"/>
        <w:rPr>
          <w:rFonts w:ascii="Times New Roman" w:eastAsia="Times New Roman" w:hAnsi="Times New Roman"/>
        </w:rPr>
      </w:pPr>
      <w:r w:rsidRPr="001C7A90">
        <w:rPr>
          <w:rFonts w:ascii="Times New Roman" w:eastAsia="Times New Roman" w:hAnsi="Times New Roman"/>
        </w:rPr>
        <w:t xml:space="preserve">The average correlations, across all scenarios and all time periods, of the projected fund returns with the fund returns generated by the prescribed scenario </w:t>
      </w:r>
      <w:r w:rsidRPr="00C85BC2">
        <w:rPr>
          <w:rFonts w:ascii="Times New Roman" w:eastAsia="Times New Roman" w:hAnsi="Times New Roman"/>
        </w:rPr>
        <w:t>generator should be in a reasonable range.</w:t>
      </w:r>
    </w:p>
    <w:p w14:paraId="2004496D" w14:textId="3D5F0FE7" w:rsidR="003129FE" w:rsidRPr="007E4481" w:rsidRDefault="003129FE" w:rsidP="004E4618">
      <w:pPr>
        <w:spacing w:after="220"/>
        <w:ind w:left="1440"/>
        <w:rPr>
          <w:rFonts w:ascii="Times New Roman" w:eastAsia="Times New Roman" w:hAnsi="Times New Roman"/>
        </w:rPr>
      </w:pPr>
      <w:r w:rsidRPr="007E4481">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r w:rsidR="005B7E6B">
        <w:rPr>
          <w:rFonts w:ascii="Times New Roman" w:eastAsia="Times New Roman" w:hAnsi="Times New Roman"/>
        </w:rPr>
        <w:t xml:space="preserve">company </w:t>
      </w:r>
      <w:r w:rsidRPr="007E4481">
        <w:rPr>
          <w:rFonts w:ascii="Times New Roman" w:eastAsia="Times New Roman" w:hAnsi="Times New Roman"/>
        </w:rPr>
        <w:t>believes that the Market Price of Risk and correlations described above are misleading or not relevant.</w:t>
      </w:r>
    </w:p>
    <w:p w14:paraId="5F818F92" w14:textId="77777777" w:rsidR="003129FE" w:rsidRDefault="003129FE" w:rsidP="004E4618">
      <w:pPr>
        <w:pStyle w:val="ListParagraph"/>
        <w:spacing w:after="220"/>
        <w:ind w:left="2160"/>
        <w:rPr>
          <w:rFonts w:ascii="Times New Roman" w:eastAsia="Times New Roman" w:hAnsi="Times New Roman"/>
        </w:rPr>
      </w:pPr>
    </w:p>
    <w:p w14:paraId="086DBDFE" w14:textId="3C686FC4"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w:t>
      </w:r>
      <w:r>
        <w:rPr>
          <w:rFonts w:ascii="Times New Roman" w:eastAsia="Times New Roman" w:hAnsi="Times New Roman"/>
        </w:rPr>
        <w:t xml:space="preserve">company </w:t>
      </w:r>
      <w:r w:rsidRPr="001C7A90">
        <w:rPr>
          <w:rFonts w:ascii="Times New Roman" w:eastAsia="Times New Roman" w:hAnsi="Times New Roman"/>
        </w:rPr>
        <w:t>should take care not to underestimate the correlations in those scenarios used for the reserve calculations.</w:t>
      </w:r>
    </w:p>
    <w:p w14:paraId="751E669A" w14:textId="0D949556" w:rsidR="003129FE" w:rsidRPr="009B477D" w:rsidRDefault="003129FE" w:rsidP="004E4618">
      <w:pPr>
        <w:spacing w:after="220"/>
        <w:ind w:left="720"/>
        <w:rPr>
          <w:rFonts w:ascii="Times New Roman" w:hAnsi="Times New Roman"/>
        </w:rPr>
      </w:pPr>
    </w:p>
    <w:p w14:paraId="2A531E07" w14:textId="5D1E2D18" w:rsidR="003129FE" w:rsidRPr="00EB2BC3" w:rsidRDefault="003129FE" w:rsidP="004E4618">
      <w:pPr>
        <w:spacing w:after="220"/>
        <w:rPr>
          <w:rFonts w:ascii="Times New Roman" w:eastAsia="Times New Roman" w:hAnsi="Times New Roman"/>
        </w:rPr>
      </w:pPr>
      <w:r w:rsidRPr="009B477D">
        <w:rPr>
          <w:rFonts w:ascii="Times New Roman" w:hAnsi="Times New Roman"/>
        </w:rPr>
        <w:t>D.</w:t>
      </w:r>
      <w:r w:rsidRPr="009B477D">
        <w:rPr>
          <w:rFonts w:ascii="Times New Roman" w:hAnsi="Times New Roman"/>
        </w:rPr>
        <w:tab/>
      </w:r>
      <w:r w:rsidRPr="00EB2BC3">
        <w:rPr>
          <w:rFonts w:ascii="Times New Roman" w:eastAsia="Times New Roman" w:hAnsi="Times New Roman"/>
        </w:rPr>
        <w:t>Implied Volatility Scenarios</w:t>
      </w:r>
    </w:p>
    <w:p w14:paraId="51B3C497" w14:textId="1831C3A2" w:rsidR="003129FE" w:rsidRPr="00EB2BC3" w:rsidRDefault="003129FE" w:rsidP="004E4618">
      <w:pPr>
        <w:spacing w:after="220"/>
        <w:ind w:left="720"/>
        <w:rPr>
          <w:rFonts w:ascii="Times New Roman" w:eastAsia="Times New Roman" w:hAnsi="Times New Roman"/>
        </w:rPr>
      </w:pPr>
      <w:r w:rsidRPr="00EB2BC3">
        <w:rPr>
          <w:rFonts w:ascii="Times New Roman" w:eastAsia="Times New Roman" w:hAnsi="Times New Roman"/>
        </w:rPr>
        <w:t>The projection</w:t>
      </w:r>
      <w:r w:rsidRPr="009B477D">
        <w:rPr>
          <w:rFonts w:ascii="Times New Roman" w:hAnsi="Times New Roman"/>
        </w:rPr>
        <w:t xml:space="preserve"> of </w:t>
      </w:r>
      <w:r w:rsidRPr="00EB2BC3">
        <w:rPr>
          <w:rFonts w:ascii="Times New Roman" w:eastAsia="Times New Roman" w:hAnsi="Times New Roman"/>
        </w:rPr>
        <w:t xml:space="preserve">implied volatility scenarios for </w:t>
      </w:r>
      <w:r w:rsidRPr="009B477D">
        <w:rPr>
          <w:rFonts w:ascii="Times New Roman" w:hAnsi="Times New Roman"/>
        </w:rPr>
        <w:t>interest rates</w:t>
      </w:r>
      <w:r w:rsidRPr="00EB2BC3">
        <w:rPr>
          <w:rFonts w:ascii="Times New Roman" w:eastAsia="Times New Roman" w:hAnsi="Times New Roman"/>
        </w:rPr>
        <w:t xml:space="preserve">, equities, or other asset classes is left to the judgment of the </w:t>
      </w:r>
      <w:r>
        <w:rPr>
          <w:rFonts w:ascii="Times New Roman" w:eastAsia="Times New Roman" w:hAnsi="Times New Roman"/>
        </w:rPr>
        <w:t>company</w:t>
      </w:r>
      <w:r w:rsidRPr="00EB2BC3">
        <w:rPr>
          <w:rFonts w:ascii="Times New Roman" w:eastAsia="Times New Roman" w:hAnsi="Times New Roman"/>
        </w:rPr>
        <w:t xml:space="preserve">, but the scenarios so generated must satisfy the following properties: </w:t>
      </w:r>
    </w:p>
    <w:p w14:paraId="7889AAB8" w14:textId="77777777" w:rsidR="003129FE" w:rsidRPr="00EB2BC3" w:rsidRDefault="003129FE" w:rsidP="004E4618">
      <w:pPr>
        <w:spacing w:after="220"/>
        <w:ind w:left="1440" w:hanging="720"/>
        <w:rPr>
          <w:rFonts w:ascii="Times New Roman" w:eastAsia="Times New Roman" w:hAnsi="Times New Roman"/>
        </w:rPr>
      </w:pPr>
      <w:r w:rsidRPr="00EB2BC3">
        <w:rPr>
          <w:rFonts w:ascii="Times New Roman" w:eastAsia="Times New Roman" w:hAnsi="Times New Roman"/>
        </w:rPr>
        <w:t>1.</w:t>
      </w:r>
      <w:r w:rsidRPr="00EB2BC3">
        <w:rPr>
          <w:rFonts w:ascii="Times New Roman" w:eastAsia="Times New Roman" w:hAnsi="Times New Roman"/>
        </w:rPr>
        <w:tab/>
        <w:t xml:space="preserve">At each projection time step, all projected implied volatility surfaces must be </w:t>
      </w:r>
      <w:r>
        <w:rPr>
          <w:rFonts w:ascii="Times New Roman" w:eastAsia="Times New Roman" w:hAnsi="Times New Roman"/>
        </w:rPr>
        <w:t xml:space="preserve">arbitrage free </w:t>
      </w:r>
      <w:r w:rsidRPr="00EB2BC3">
        <w:rPr>
          <w:rFonts w:ascii="Times New Roman" w:eastAsia="Times New Roman" w:hAnsi="Times New Roman"/>
        </w:rPr>
        <w:t>after considering appropriate transaction costs;</w:t>
      </w:r>
    </w:p>
    <w:p w14:paraId="54675B30" w14:textId="77777777" w:rsidR="003129FE" w:rsidRPr="00EB2BC3" w:rsidRDefault="003129FE" w:rsidP="004E4618">
      <w:pPr>
        <w:spacing w:after="220"/>
        <w:ind w:left="1440" w:hanging="720"/>
        <w:rPr>
          <w:rFonts w:ascii="Times New Roman" w:eastAsia="Times New Roman" w:hAnsi="Times New Roman"/>
        </w:rPr>
      </w:pPr>
      <w:r w:rsidRPr="00EB2BC3">
        <w:rPr>
          <w:rFonts w:ascii="Times New Roman" w:eastAsia="Times New Roman" w:hAnsi="Times New Roman"/>
        </w:rPr>
        <w:t>2.</w:t>
      </w:r>
      <w:r w:rsidRPr="00EB2BC3">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p>
    <w:p w14:paraId="1C223481" w14:textId="77777777" w:rsidR="003129FE" w:rsidRPr="00EB2BC3" w:rsidRDefault="003129FE" w:rsidP="004E4618">
      <w:pPr>
        <w:spacing w:after="220"/>
        <w:ind w:left="1440"/>
        <w:rPr>
          <w:rFonts w:ascii="Times New Roman" w:eastAsia="Times New Roman" w:hAnsi="Times New Roman"/>
        </w:rPr>
      </w:pPr>
      <w:r w:rsidRPr="00EB2BC3">
        <w:rPr>
          <w:rFonts w:ascii="Times New Roman" w:eastAsia="Times New Roman" w:hAnsi="Times New Roman"/>
        </w:rPr>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p>
    <w:p w14:paraId="6744FA33" w14:textId="77777777" w:rsidR="003129FE" w:rsidRPr="000A0F6E" w:rsidRDefault="003129FE" w:rsidP="004E4618">
      <w:pPr>
        <w:spacing w:after="220"/>
        <w:ind w:left="1440" w:hanging="720"/>
        <w:rPr>
          <w:rFonts w:ascii="Times New Roman" w:eastAsia="Times New Roman" w:hAnsi="Times New Roman"/>
          <w:bCs/>
        </w:rPr>
      </w:pPr>
      <w:r w:rsidRPr="00EB2BC3">
        <w:rPr>
          <w:rFonts w:ascii="Times New Roman" w:eastAsia="Times New Roman" w:hAnsi="Times New Roman"/>
        </w:rPr>
        <w:t>.</w:t>
      </w:r>
      <w:r w:rsidRPr="00EB2BC3">
        <w:rPr>
          <w:rFonts w:ascii="Times New Roman" w:eastAsia="Times New Roman" w:hAnsi="Times New Roman"/>
        </w:rPr>
        <w:tab/>
      </w:r>
      <w:r w:rsidRPr="000A0F6E">
        <w:rPr>
          <w:rFonts w:ascii="Times New Roman" w:eastAsia="Times New Roman" w:hAnsi="Times New Roman"/>
        </w:rPr>
        <w:t xml:space="preserve"> </w:t>
      </w:r>
    </w:p>
    <w:p w14:paraId="5C3F5F5A" w14:textId="3FBB626F" w:rsidR="003129FE" w:rsidRPr="000A0F6E" w:rsidRDefault="003129FE" w:rsidP="004E4618">
      <w:pPr>
        <w:spacing w:after="220"/>
        <w:ind w:left="720"/>
        <w:rPr>
          <w:rFonts w:ascii="Times New Roman" w:eastAsia="Times New Roman" w:hAnsi="Times New Roman"/>
          <w:bCs/>
        </w:rPr>
      </w:pPr>
      <w:r>
        <w:rPr>
          <w:rFonts w:ascii="Times New Roman" w:eastAsia="Times New Roman" w:hAnsi="Times New Roman"/>
        </w:rPr>
        <w:t>3.</w:t>
      </w:r>
      <w:r>
        <w:rPr>
          <w:rFonts w:ascii="Times New Roman" w:eastAsia="Times New Roman" w:hAnsi="Times New Roman"/>
        </w:rPr>
        <w:tab/>
      </w:r>
      <w:r w:rsidRPr="000A0F6E">
        <w:rPr>
          <w:rFonts w:ascii="Times New Roman" w:eastAsia="Times New Roman" w:hAnsi="Times New Roman"/>
        </w:rPr>
        <w:t xml:space="preserve">For a company not using the safe harbor described in Section 10.C.9, </w:t>
      </w:r>
      <w:r w:rsidRPr="000A0F6E">
        <w:rPr>
          <w:rFonts w:ascii="Times New Roman" w:eastAsia="Times New Roman" w:hAnsi="Times New Roman"/>
          <w:bCs/>
          <w:sz w:val="20"/>
          <w:szCs w:val="20"/>
        </w:rPr>
        <w:t>any</w:t>
      </w:r>
      <w:r w:rsidRPr="000A0F6E">
        <w:rPr>
          <w:rFonts w:ascii="Times New Roman" w:eastAsia="Times New Roman" w:hAnsi="Times New Roman"/>
          <w:bCs/>
        </w:rPr>
        <w:t xml:space="preserve"> implied volatility scenarios generated using a </w:t>
      </w:r>
      <w:r w:rsidRPr="000A0F6E">
        <w:rPr>
          <w:rFonts w:ascii="Times New Roman" w:eastAsia="Times New Roman" w:hAnsi="Times New Roman"/>
        </w:rPr>
        <w:t>non-prescribed</w:t>
      </w:r>
      <w:r w:rsidRPr="000A0F6E">
        <w:rPr>
          <w:rFonts w:ascii="Times New Roman" w:eastAsia="Times New Roman" w:hAnsi="Times New Roman"/>
          <w:bCs/>
        </w:rPr>
        <w:t xml:space="preserve"> scenario generator shall not result in a T</w:t>
      </w:r>
      <w:r>
        <w:rPr>
          <w:rFonts w:ascii="Times New Roman" w:eastAsia="Times New Roman" w:hAnsi="Times New Roman"/>
          <w:bCs/>
        </w:rPr>
        <w:t xml:space="preserve">otal </w:t>
      </w:r>
      <w:r w:rsidRPr="000A0F6E">
        <w:rPr>
          <w:rFonts w:ascii="Times New Roman" w:eastAsia="Times New Roman" w:hAnsi="Times New Roman"/>
          <w:bCs/>
        </w:rPr>
        <w:t>A</w:t>
      </w:r>
      <w:r>
        <w:rPr>
          <w:rFonts w:ascii="Times New Roman" w:eastAsia="Times New Roman" w:hAnsi="Times New Roman"/>
          <w:bCs/>
        </w:rPr>
        <w:t xml:space="preserve">sset </w:t>
      </w:r>
      <w:r w:rsidRPr="000A0F6E">
        <w:rPr>
          <w:rFonts w:ascii="Times New Roman" w:eastAsia="Times New Roman" w:hAnsi="Times New Roman"/>
          <w:bCs/>
        </w:rPr>
        <w:t>R</w:t>
      </w:r>
      <w:r>
        <w:rPr>
          <w:rFonts w:ascii="Times New Roman" w:eastAsia="Times New Roman" w:hAnsi="Times New Roman"/>
          <w:bCs/>
        </w:rPr>
        <w:t>equirement (TAR)</w:t>
      </w:r>
      <w:r w:rsidRPr="000A0F6E">
        <w:rPr>
          <w:rFonts w:ascii="Times New Roman" w:eastAsia="Times New Roman" w:hAnsi="Times New Roman"/>
          <w:bCs/>
        </w:rPr>
        <w:t xml:space="preserve"> less than that obtained by assuming that the implied volatility level – at all in-the-</w:t>
      </w:r>
      <w:r w:rsidRPr="000A0F6E">
        <w:rPr>
          <w:rFonts w:ascii="Times New Roman" w:eastAsia="Times New Roman" w:hAnsi="Times New Roman"/>
          <w:bCs/>
        </w:rPr>
        <w:lastRenderedPageBreak/>
        <w:t>moneyness levels – at a given time step in a given scenario is equal to the realized volatility of the underlying asset scenario over the same time period.</w:t>
      </w:r>
      <w:r w:rsidRPr="00D1125F">
        <w:t xml:space="preserve"> </w:t>
      </w:r>
      <w:r w:rsidRPr="00D1125F">
        <w:rPr>
          <w:rFonts w:ascii="Times New Roman" w:eastAsia="Times New Roman" w:hAnsi="Times New Roman"/>
          <w:bCs/>
        </w:rPr>
        <w:t xml:space="preserve">In other words, the TAR shall not be reduced by assumptions of any realizable spread between implied volatility and realized volatility. </w:t>
      </w:r>
      <w:r w:rsidRPr="000A0F6E">
        <w:rPr>
          <w:rFonts w:ascii="Times New Roman" w:eastAsia="Times New Roman" w:hAnsi="Times New Roman"/>
          <w:bCs/>
        </w:rPr>
        <w:t xml:space="preserve">  </w:t>
      </w:r>
    </w:p>
    <w:p w14:paraId="0639DDF5" w14:textId="77777777" w:rsidR="003129FE" w:rsidRPr="00EB2BC3" w:rsidRDefault="003129FE" w:rsidP="004E4618">
      <w:pPr>
        <w:spacing w:after="220"/>
        <w:ind w:left="1440" w:hanging="720"/>
        <w:rPr>
          <w:rFonts w:ascii="Times New Roman" w:eastAsia="Times New Roman" w:hAnsi="Times New Roman"/>
        </w:rPr>
      </w:pPr>
    </w:p>
    <w:p w14:paraId="7504C6CF" w14:textId="77777777" w:rsidR="003129FE" w:rsidRDefault="003129FE" w:rsidP="004E4618">
      <w:pPr>
        <w:spacing w:after="220"/>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t>Use of non-prescribed Scenario Generators</w:t>
      </w:r>
    </w:p>
    <w:p w14:paraId="534BE5FD" w14:textId="77777777" w:rsidR="003129FE" w:rsidRDefault="003129FE" w:rsidP="004E4618">
      <w:pPr>
        <w:spacing w:after="220"/>
        <w:rPr>
          <w:rFonts w:ascii="Times New Roman" w:eastAsia="Times New Roman" w:hAnsi="Times New Roman"/>
        </w:rPr>
      </w:pPr>
    </w:p>
    <w:p w14:paraId="21C2FF3E" w14:textId="5ED5FF2C" w:rsidR="003129FE" w:rsidRPr="006F38C4" w:rsidRDefault="003129FE" w:rsidP="004E4618">
      <w:pPr>
        <w:spacing w:after="220"/>
        <w:ind w:left="720"/>
        <w:rPr>
          <w:rFonts w:ascii="Times New Roman" w:eastAsia="Times New Roman" w:hAnsi="Times New Roman"/>
        </w:rPr>
      </w:pPr>
      <w:r w:rsidRPr="006F38C4">
        <w:rPr>
          <w:rFonts w:ascii="Times New Roman" w:eastAsia="Times New Roman" w:hAnsi="Times New Roman"/>
        </w:rPr>
        <w:t xml:space="preserve">At the option of the </w:t>
      </w:r>
      <w:r w:rsidR="005B7E6B">
        <w:rPr>
          <w:rFonts w:ascii="Times New Roman" w:eastAsia="Times New Roman" w:hAnsi="Times New Roman"/>
        </w:rPr>
        <w:t>company</w:t>
      </w:r>
      <w:r w:rsidRPr="006F38C4">
        <w:rPr>
          <w:rFonts w:ascii="Times New Roman" w:eastAsia="Times New Roman" w:hAnsi="Times New Roman"/>
        </w:rPr>
        <w:t xml:space="preserve">, interest rates and total investment return scenarios for equity assets and separate account fund </w:t>
      </w:r>
      <w:r>
        <w:rPr>
          <w:rFonts w:ascii="Times New Roman" w:eastAsia="Times New Roman" w:hAnsi="Times New Roman"/>
        </w:rPr>
        <w:t>returns</w:t>
      </w:r>
      <w:r w:rsidRPr="006F38C4">
        <w:rPr>
          <w:rFonts w:ascii="Times New Roman" w:eastAsia="Times New Roman" w:hAnsi="Times New Roman"/>
        </w:rPr>
        <w:t xml:space="preserve"> may be generated in part or in full using non-prescribed scenario generators</w:t>
      </w:r>
      <w:r>
        <w:rPr>
          <w:rFonts w:ascii="Times New Roman" w:eastAsia="Times New Roman" w:hAnsi="Times New Roman"/>
        </w:rPr>
        <w:t xml:space="preserve"> </w:t>
      </w:r>
      <w:r w:rsidRPr="007E4481">
        <w:rPr>
          <w:rFonts w:ascii="Times New Roman" w:eastAsia="Times New Roman" w:hAnsi="Times New Roman"/>
        </w:rPr>
        <w:t>in lieu of the prescribed</w:t>
      </w:r>
      <w:r w:rsidR="005B7E6B">
        <w:rPr>
          <w:rFonts w:ascii="Times New Roman" w:eastAsia="Times New Roman" w:hAnsi="Times New Roman"/>
        </w:rPr>
        <w:t xml:space="preserve"> economic</w:t>
      </w:r>
      <w:r w:rsidRPr="007E4481">
        <w:rPr>
          <w:rFonts w:ascii="Times New Roman" w:eastAsia="Times New Roman" w:hAnsi="Times New Roman"/>
        </w:rPr>
        <w:t xml:space="preserve"> generators</w:t>
      </w:r>
      <w:r w:rsidRPr="006F38C4">
        <w:rPr>
          <w:rFonts w:ascii="Times New Roman" w:eastAsia="Times New Roman" w:hAnsi="Times New Roman"/>
        </w:rPr>
        <w:t>, provided that the scenarios thus generated do not result in a TAR that is materially lower than the TAR resulting from the use of the scenarios from the prescribed</w:t>
      </w:r>
      <w:r w:rsidR="005B7E6B">
        <w:rPr>
          <w:rFonts w:ascii="Times New Roman" w:eastAsia="Times New Roman" w:hAnsi="Times New Roman"/>
        </w:rPr>
        <w:t xml:space="preserve"> economic</w:t>
      </w:r>
      <w:r w:rsidRPr="006F38C4">
        <w:rPr>
          <w:rFonts w:ascii="Times New Roman" w:eastAsia="Times New Roman" w:hAnsi="Times New Roman"/>
        </w:rPr>
        <w:t xml:space="preserve"> generators as defined in B, and C. above.  As defined in the RBC instructions, TAR is defined to be the sum of the reserve that results from the application of these VM-21 requirements plus the RBC amount determined by </w:t>
      </w:r>
      <w:r>
        <w:rPr>
          <w:rFonts w:ascii="Times New Roman" w:eastAsia="Times New Roman" w:hAnsi="Times New Roman"/>
        </w:rPr>
        <w:t xml:space="preserve">step 4 of the </w:t>
      </w:r>
      <w:r w:rsidR="003C482A">
        <w:rPr>
          <w:rFonts w:ascii="Times New Roman" w:eastAsia="Times New Roman" w:hAnsi="Times New Roman"/>
        </w:rPr>
        <w:t>7-step</w:t>
      </w:r>
      <w:r>
        <w:rPr>
          <w:rFonts w:ascii="Times New Roman" w:eastAsia="Times New Roman" w:hAnsi="Times New Roman"/>
        </w:rPr>
        <w:t xml:space="preserve"> process in </w:t>
      </w:r>
      <w:r w:rsidRPr="006F38C4">
        <w:rPr>
          <w:rFonts w:ascii="Times New Roman" w:eastAsia="Times New Roman" w:hAnsi="Times New Roman"/>
        </w:rPr>
        <w:t xml:space="preserve">the Life RBC formula page LR027 </w:t>
      </w:r>
      <w:r>
        <w:rPr>
          <w:rFonts w:ascii="Times New Roman" w:eastAsia="Times New Roman" w:hAnsi="Times New Roman"/>
        </w:rPr>
        <w:t>instructions for 2020</w:t>
      </w:r>
      <w:r w:rsidRPr="006F38C4">
        <w:rPr>
          <w:rFonts w:ascii="Times New Roman" w:eastAsia="Times New Roman" w:hAnsi="Times New Roman"/>
        </w:rPr>
        <w:t xml:space="preserve">.  </w:t>
      </w:r>
    </w:p>
    <w:p w14:paraId="50C6A951" w14:textId="77777777" w:rsidR="003129FE" w:rsidRPr="00EB2BC3" w:rsidRDefault="003129FE" w:rsidP="004E4618">
      <w:pPr>
        <w:spacing w:after="220"/>
        <w:ind w:left="720"/>
        <w:rPr>
          <w:rFonts w:ascii="Times New Roman" w:eastAsia="Times New Roman" w:hAnsi="Times New Roman"/>
        </w:rPr>
      </w:pPr>
    </w:p>
    <w:p w14:paraId="705A6050" w14:textId="77777777" w:rsidR="003129FE" w:rsidRPr="009B477D" w:rsidRDefault="003129FE" w:rsidP="00063E8C">
      <w:pPr>
        <w:spacing w:after="220"/>
        <w:ind w:left="720"/>
        <w:rPr>
          <w:rFonts w:ascii="Times New Roman" w:hAnsi="Times New Roman"/>
        </w:rPr>
      </w:pPr>
    </w:p>
    <w:p w14:paraId="562DDFBD"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F.</w:t>
      </w:r>
      <w:r w:rsidRPr="009B477D">
        <w:rPr>
          <w:rFonts w:ascii="Times New Roman" w:hAnsi="Times New Roman"/>
        </w:rPr>
        <w:tab/>
        <w:t>Number of Scenarios and Efficiency in Estimation</w:t>
      </w:r>
    </w:p>
    <w:p w14:paraId="38ED271C" w14:textId="52AB1AAB" w:rsidR="003129FE" w:rsidRPr="00E15DE1" w:rsidRDefault="003129FE" w:rsidP="00063E8C">
      <w:pPr>
        <w:pStyle w:val="ListParagraph"/>
        <w:keepNext/>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For straight Monte Carlo simulation (with equally probable “paths” of fund returns), the number of scenarios should typically equal or exceed 1000. The appropriate number will depend on how the scenarios will be used and the materiality of the results. The company should use a number of scenarios that will provide an acceptable level of precision.</w:t>
      </w:r>
    </w:p>
    <w:p w14:paraId="7D0221A7" w14:textId="092AEA3E" w:rsidR="003129FE" w:rsidRPr="00E15DE1" w:rsidRDefault="003129FE" w:rsidP="00063E8C">
      <w:pPr>
        <w:pStyle w:val="ListParagraph"/>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Fewer than 1,000 scenarios may be used provided that the company has determined through prior testing (perhaps on a subset of the portfolio) that the CTE values so obtained materially reproduce the results from running a larger scenario set.</w:t>
      </w:r>
    </w:p>
    <w:p w14:paraId="55D2049E" w14:textId="4E68F103"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Variance reduction and other sampling techniques are intended to improve the accuracy of an estimate more efficiently than simply increasing the number of simulations. Such methods can be used provided the company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E15DE1"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E15DE1">
        <w:rPr>
          <w:rFonts w:ascii="Times New Roman" w:eastAsia="Times New Roman" w:hAnsi="Times New Roman"/>
          <w:b/>
          <w:bCs/>
        </w:rPr>
        <w:t xml:space="preserve">Guidance Note: </w:t>
      </w:r>
      <w:r w:rsidRPr="00E15DE1">
        <w:rPr>
          <w:rFonts w:ascii="Times New Roman" w:eastAsia="Times New Roman" w:hAnsi="Times New Roman"/>
        </w:rPr>
        <w:t xml:space="preserve">With careful implementation, many variance reduction techniques can work well for CTE estimators. For example, see </w:t>
      </w:r>
      <w:proofErr w:type="spellStart"/>
      <w:r w:rsidRPr="00E15DE1">
        <w:rPr>
          <w:rFonts w:ascii="Times New Roman" w:eastAsia="Times New Roman" w:hAnsi="Times New Roman"/>
        </w:rPr>
        <w:t>Manistre</w:t>
      </w:r>
      <w:proofErr w:type="spellEnd"/>
      <w:r w:rsidRPr="00E15DE1">
        <w:rPr>
          <w:rFonts w:ascii="Times New Roman" w:eastAsia="Times New Roman" w:hAnsi="Times New Roman"/>
        </w:rPr>
        <w:t>, B.J. and Hancock, G. (2003), “Variance of the CTE Estimator,” 2003 Stochastic Modeling Symposium, Toronto, September 2003.</w:t>
      </w:r>
    </w:p>
    <w:p w14:paraId="51B93CBD" w14:textId="4442D2BE"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p>
    <w:p w14:paraId="4A5C12E0"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lastRenderedPageBreak/>
        <w:t>G.</w:t>
      </w:r>
      <w:r w:rsidRPr="009B477D">
        <w:rPr>
          <w:rFonts w:ascii="Times New Roman" w:hAnsi="Times New Roman"/>
        </w:rPr>
        <w:tab/>
        <w:t>Frequency of Projection and Time Horizon</w:t>
      </w:r>
    </w:p>
    <w:p w14:paraId="494CEAA6" w14:textId="529B930C"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 (i.e., shorter) time step does not materially increase reserves. A more frequent time increment always should be used when the product features are sensitive to projection period frequency.</w:t>
      </w:r>
    </w:p>
    <w:p w14:paraId="26D2C2E4" w14:textId="77777777"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p>
    <w:p w14:paraId="7E8B5D78" w14:textId="77777777" w:rsidR="003129FE" w:rsidRPr="009B477D" w:rsidRDefault="003129FE" w:rsidP="00063E8C">
      <w:pPr>
        <w:pBdr>
          <w:top w:val="single" w:sz="4" w:space="1" w:color="auto"/>
          <w:left w:val="single" w:sz="4" w:space="4" w:color="auto"/>
          <w:bottom w:val="single" w:sz="4" w:space="1" w:color="auto"/>
          <w:right w:val="single" w:sz="4" w:space="4" w:color="auto"/>
        </w:pBdr>
        <w:tabs>
          <w:tab w:val="left" w:pos="820"/>
        </w:tabs>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As a general guide, the forecast horizon should not be less than 20 years.</w:t>
      </w:r>
    </w:p>
    <w:p w14:paraId="0ACF6648" w14:textId="0B4E14CA" w:rsidR="003129FE" w:rsidRPr="00EB2BC3" w:rsidRDefault="003129FE" w:rsidP="004E4618">
      <w:pPr>
        <w:spacing w:after="220"/>
        <w:ind w:left="1440" w:hanging="705"/>
        <w:rPr>
          <w:rFonts w:ascii="Times New Roman" w:eastAsia="Times New Roman" w:hAnsi="Times New Roman"/>
        </w:rPr>
      </w:pPr>
    </w:p>
    <w:p w14:paraId="519394FF" w14:textId="77777777" w:rsidR="003129FE" w:rsidRPr="009B477D" w:rsidRDefault="003129FE" w:rsidP="004E4618">
      <w:pPr>
        <w:spacing w:after="220"/>
        <w:ind w:left="720"/>
        <w:rPr>
          <w:rFonts w:ascii="Times New Roman" w:hAnsi="Times New Roman"/>
        </w:rPr>
      </w:pPr>
    </w:p>
    <w:p w14:paraId="443E95FF" w14:textId="5D6B7B4D" w:rsidR="003129FE" w:rsidRDefault="003129FE">
      <w:pPr>
        <w:rPr>
          <w:rFonts w:ascii="Times New Roman" w:eastAsia="Times New Roman" w:hAnsi="Times New Roman"/>
        </w:rPr>
      </w:pPr>
      <w:r>
        <w:rPr>
          <w:rFonts w:ascii="Times New Roman" w:eastAsia="Times New Roman" w:hAnsi="Times New Roman"/>
        </w:rPr>
        <w:br w:type="page"/>
      </w:r>
    </w:p>
    <w:p w14:paraId="7F6625FD" w14:textId="6D0BEF81" w:rsidR="003129FE" w:rsidRDefault="003129FE">
      <w:pPr>
        <w:rPr>
          <w:rFonts w:ascii="Times New Roman" w:eastAsia="Times New Roman" w:hAnsi="Times New Roman"/>
        </w:rPr>
      </w:pPr>
      <w:r>
        <w:rPr>
          <w:rFonts w:ascii="Times New Roman" w:eastAsia="Times New Roman" w:hAnsi="Times New Roman"/>
        </w:rPr>
        <w:lastRenderedPageBreak/>
        <w:br w:type="page"/>
      </w:r>
    </w:p>
    <w:p w14:paraId="7DA04C0E" w14:textId="5E2302A3" w:rsidR="003129FE" w:rsidRPr="00067EEF" w:rsidRDefault="003129FE" w:rsidP="00063E8C">
      <w:pPr>
        <w:pStyle w:val="Heading2"/>
        <w:spacing w:after="280"/>
        <w:jc w:val="center"/>
        <w:rPr>
          <w:sz w:val="22"/>
        </w:rPr>
      </w:pPr>
      <w:r w:rsidRPr="00A53211">
        <w:lastRenderedPageBreak/>
        <w:t>VM-21: Requirements</w:t>
      </w:r>
      <w:r w:rsidRPr="00063E8C">
        <w:t xml:space="preserve"> for </w:t>
      </w:r>
      <w:r w:rsidRPr="00A53211">
        <w:rPr>
          <w:sz w:val="22"/>
          <w:szCs w:val="22"/>
          <w:u w:val="none"/>
        </w:rPr>
        <w:t>Principle-Based</w:t>
      </w:r>
      <w:r w:rsidRPr="00063E8C">
        <w:rPr>
          <w:sz w:val="22"/>
          <w:u w:val="none"/>
        </w:rPr>
        <w:t xml:space="preserve"> Reserves </w:t>
      </w:r>
      <w:r w:rsidRPr="00A53211">
        <w:rPr>
          <w:sz w:val="22"/>
          <w:szCs w:val="22"/>
          <w:u w:val="none"/>
        </w:rPr>
        <w:t>for Variable Annuities</w:t>
      </w:r>
    </w:p>
    <w:p w14:paraId="0992B2E5" w14:textId="475582DB" w:rsidR="003129FE" w:rsidRPr="00B25AA4" w:rsidRDefault="003129FE" w:rsidP="0021502F">
      <w:pPr>
        <w:pStyle w:val="Heading3"/>
        <w:spacing w:after="220"/>
        <w:rPr>
          <w:sz w:val="22"/>
          <w:szCs w:val="22"/>
        </w:rPr>
      </w:pPr>
      <w:bookmarkStart w:id="18" w:name="_Section_1._Background"/>
      <w:bookmarkEnd w:id="18"/>
      <w:r w:rsidRPr="00B25AA4">
        <w:rPr>
          <w:sz w:val="22"/>
          <w:szCs w:val="22"/>
        </w:rPr>
        <w:t xml:space="preserve">Section 9: Modeling of </w:t>
      </w:r>
      <w:r w:rsidRPr="0067200C">
        <w:rPr>
          <w:sz w:val="22"/>
          <w:szCs w:val="22"/>
        </w:rPr>
        <w:t>Hedges under a CDHS</w:t>
      </w:r>
    </w:p>
    <w:p w14:paraId="5BE5ADC4" w14:textId="77777777" w:rsidR="003129FE" w:rsidRPr="00B25AA4" w:rsidRDefault="003129FE"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15482959" w14:textId="1DAD1B90" w:rsidR="003129FE" w:rsidRDefault="003129FE" w:rsidP="00E87EFC">
      <w:pPr>
        <w:pStyle w:val="ListParagraph"/>
        <w:numPr>
          <w:ilvl w:val="0"/>
          <w:numId w:val="60"/>
        </w:numPr>
        <w:spacing w:after="220" w:line="240" w:lineRule="auto"/>
        <w:jc w:val="both"/>
        <w:rPr>
          <w:rFonts w:ascii="Times New Roman" w:eastAsia="Times New Roman" w:hAnsi="Times New Roman"/>
        </w:rPr>
      </w:pPr>
      <w:r>
        <w:t>Subject to the guidance in Section 9.C.2., t</w:t>
      </w:r>
      <w:r w:rsidRPr="00B25AA4">
        <w:rPr>
          <w:rFonts w:ascii="Times New Roman" w:eastAsia="Times New Roman" w:hAnsi="Times New Roman"/>
        </w:rPr>
        <w:t xml:space="preserve">he appropriate costs and benefits of hedging instruments that are currently held by the company in support of the contracts falling under the scope of these requirements (excluding those that involve the offsetting of the risks associated with variable annuity guarantees with other products outside of the scope of these requirements, such as equity-indexed annuities) shall be included in the calculation of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determined in accordance with Section </w:t>
      </w:r>
      <w:r w:rsidRPr="004C7199">
        <w:rPr>
          <w:rFonts w:ascii="Times New Roman" w:eastAsia="Times New Roman" w:hAnsi="Times New Roman"/>
        </w:rPr>
        <w:t>3</w:t>
      </w:r>
      <w:r w:rsidRPr="00B25AA4">
        <w:rPr>
          <w:rFonts w:ascii="Times New Roman" w:eastAsia="Times New Roman" w:hAnsi="Times New Roman"/>
        </w:rPr>
        <w:t xml:space="preserve">.D and Section </w:t>
      </w:r>
      <w:r w:rsidRPr="004C7199">
        <w:rPr>
          <w:rFonts w:ascii="Times New Roman" w:eastAsia="Times New Roman" w:hAnsi="Times New Roman"/>
        </w:rPr>
        <w:t>4.D</w:t>
      </w:r>
      <w:r>
        <w:rPr>
          <w:rFonts w:ascii="Times New Roman" w:eastAsia="Times New Roman" w:hAnsi="Times New Roman"/>
        </w:rPr>
        <w:t xml:space="preserve">. </w:t>
      </w:r>
    </w:p>
    <w:p w14:paraId="0C66F973" w14:textId="4E15DD21"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Pr>
          <w:rFonts w:ascii="Times New Roman" w:eastAsia="Times New Roman" w:hAnsi="Times New Roman"/>
        </w:rPr>
        <w:t>c</w:t>
      </w:r>
      <w:r w:rsidRPr="00B25AA4">
        <w:rPr>
          <w:rFonts w:ascii="Times New Roman" w:eastAsia="Times New Roman" w:hAnsi="Times New Roman"/>
        </w:rPr>
        <w:t xml:space="preserve">learly </w:t>
      </w:r>
      <w:r>
        <w:rPr>
          <w:rFonts w:ascii="Times New Roman" w:eastAsia="Times New Roman" w:hAnsi="Times New Roman"/>
        </w:rPr>
        <w:t>d</w:t>
      </w:r>
      <w:r w:rsidRPr="00B25AA4">
        <w:rPr>
          <w:rFonts w:ascii="Times New Roman" w:eastAsia="Times New Roman" w:hAnsi="Times New Roman"/>
        </w:rPr>
        <w:t xml:space="preserve">efined </w:t>
      </w:r>
      <w:r>
        <w:rPr>
          <w:rFonts w:ascii="Times New Roman" w:eastAsia="Times New Roman" w:hAnsi="Times New Roman"/>
        </w:rPr>
        <w:t>h</w:t>
      </w:r>
      <w:r w:rsidRPr="00B25AA4">
        <w:rPr>
          <w:rFonts w:ascii="Times New Roman" w:eastAsia="Times New Roman" w:hAnsi="Times New Roman"/>
        </w:rPr>
        <w:t xml:space="preserve">edging </w:t>
      </w:r>
      <w:r>
        <w:rPr>
          <w:rFonts w:ascii="Times New Roman" w:eastAsia="Times New Roman" w:hAnsi="Times New Roman"/>
        </w:rPr>
        <w:t>s</w:t>
      </w:r>
      <w:r w:rsidRPr="00B25AA4">
        <w:rPr>
          <w:rFonts w:ascii="Times New Roman" w:eastAsia="Times New Roman" w:hAnsi="Times New Roman"/>
        </w:rPr>
        <w:t>trategy (“</w:t>
      </w:r>
      <w:r w:rsidRPr="004C7199">
        <w:rPr>
          <w:rFonts w:ascii="Times New Roman" w:eastAsia="Times New Roman" w:hAnsi="Times New Roman"/>
        </w:rPr>
        <w:t>CDHS</w:t>
      </w:r>
      <w:r w:rsidRPr="00B25AA4">
        <w:rPr>
          <w:rFonts w:ascii="Times New Roman" w:eastAsia="Times New Roman" w:hAnsi="Times New Roman"/>
        </w:rPr>
        <w:t xml:space="preserve">”), in accordance with an investment policy adopted by the </w:t>
      </w:r>
      <w:r>
        <w:rPr>
          <w:rFonts w:ascii="Times New Roman" w:eastAsia="Times New Roman" w:hAnsi="Times New Roman"/>
        </w:rPr>
        <w:t>b</w:t>
      </w:r>
      <w:r w:rsidRPr="00B25AA4">
        <w:rPr>
          <w:rFonts w:ascii="Times New Roman" w:eastAsia="Times New Roman" w:hAnsi="Times New Roman"/>
        </w:rPr>
        <w:t xml:space="preserve">oard of </w:t>
      </w:r>
      <w:r>
        <w:rPr>
          <w:rFonts w:ascii="Times New Roman" w:eastAsia="Times New Roman" w:hAnsi="Times New Roman"/>
        </w:rPr>
        <w:t>d</w:t>
      </w:r>
      <w:r w:rsidRPr="00B25AA4">
        <w:rPr>
          <w:rFonts w:ascii="Times New Roman" w:eastAsia="Times New Roman" w:hAnsi="Times New Roman"/>
        </w:rPr>
        <w:t xml:space="preserve">irectors, or a committee of </w:t>
      </w:r>
      <w:r>
        <w:rPr>
          <w:rFonts w:ascii="Times New Roman" w:eastAsia="Times New Roman" w:hAnsi="Times New Roman"/>
        </w:rPr>
        <w:t>b</w:t>
      </w:r>
      <w:r w:rsidRPr="00B25AA4">
        <w:rPr>
          <w:rFonts w:ascii="Times New Roman" w:eastAsia="Times New Roman" w:hAnsi="Times New Roman"/>
        </w:rPr>
        <w:t xml:space="preserve">oard members, the company </w:t>
      </w:r>
      <w:r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Pr>
          <w:rFonts w:ascii="Times New Roman" w:eastAsia="Times New Roman" w:hAnsi="Times New Roman"/>
        </w:rPr>
        <w:t xml:space="preserve"> </w:t>
      </w:r>
      <w:r w:rsidRPr="00B25AA4">
        <w:rPr>
          <w:rFonts w:ascii="Times New Roman" w:eastAsia="Times New Roman" w:hAnsi="Times New Roman"/>
        </w:rPr>
        <w:t xml:space="preserve">is eligible to reduce the amount of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Pr>
          <w:rFonts w:ascii="Times New Roman" w:eastAsia="Times New Roman" w:hAnsi="Times New Roman"/>
        </w:rPr>
        <w:t>s</w:t>
      </w:r>
      <w:r w:rsidRPr="00B25AA4">
        <w:rPr>
          <w:rFonts w:ascii="Times New Roman" w:eastAsia="Times New Roman" w:hAnsi="Times New Roman"/>
        </w:rPr>
        <w:t xml:space="preserve">ection. Nor is the distinction between investment strategy and hedging strategy formally made here. Where necessary to give effect to the intent of this </w:t>
      </w:r>
      <w:r>
        <w:rPr>
          <w:rFonts w:ascii="Times New Roman" w:eastAsia="Times New Roman" w:hAnsi="Times New Roman"/>
        </w:rPr>
        <w:t>s</w:t>
      </w:r>
      <w:r w:rsidRPr="00B25AA4">
        <w:rPr>
          <w:rFonts w:ascii="Times New Roman" w:eastAsia="Times New Roman" w:hAnsi="Times New Roman"/>
        </w:rPr>
        <w:t>ection, the requirements applicable to the hedging portfolio or the hedging strategy are to apply to the overall investment portfolio and investment strategy.</w:t>
      </w:r>
    </w:p>
    <w:p w14:paraId="73749CDF"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This particularly applies to restrictions on the reasonableness or acceptability of the models that make up the stochastic cash</w:t>
      </w:r>
      <w:r>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010A053F" w14:textId="73270620"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2B82F42D" w14:textId="77777777"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t>Background</w:t>
      </w:r>
    </w:p>
    <w:p w14:paraId="59DE3C7C" w14:textId="1481BFD1"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methods as described below. Although a hedging strategy normally </w:t>
      </w:r>
      <w:r>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otherwise calculated.</w:t>
      </w:r>
    </w:p>
    <w:p w14:paraId="3DC34E98" w14:textId="7AADD039"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The fundamental characteristic of the first 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B25AA4">
        <w:rPr>
          <w:rFonts w:ascii="Times New Roman" w:eastAsia="Times New Roman" w:hAnsi="Times New Roman"/>
        </w:rPr>
        <w:t xml:space="preserve"> is that hedging positions and </w:t>
      </w:r>
      <w:r w:rsidRPr="004C7199">
        <w:rPr>
          <w:rFonts w:ascii="Times New Roman" w:eastAsia="Times New Roman" w:hAnsi="Times New Roman"/>
        </w:rPr>
        <w:t>their resulting cash flows</w:t>
      </w:r>
      <w:r w:rsidRPr="00B25AA4">
        <w:rPr>
          <w:rFonts w:ascii="Times New Roman" w:eastAsia="Times New Roman" w:hAnsi="Times New Roman"/>
        </w:rPr>
        <w:t xml:space="preserve"> are included in the stochastic cash</w:t>
      </w:r>
      <w:r>
        <w:rPr>
          <w:rFonts w:ascii="Times New Roman" w:eastAsia="Times New Roman" w:hAnsi="Times New Roman"/>
        </w:rPr>
        <w:t>-</w:t>
      </w:r>
      <w:r w:rsidRPr="00B25AA4">
        <w:rPr>
          <w:rFonts w:ascii="Times New Roman" w:eastAsia="Times New Roman" w:hAnsi="Times New Roman"/>
        </w:rPr>
        <w:t xml:space="preserve">flow model used </w:t>
      </w:r>
      <w:r w:rsidRPr="00B25AA4">
        <w:rPr>
          <w:rFonts w:ascii="Times New Roman" w:eastAsia="Times New Roman" w:hAnsi="Times New Roman"/>
        </w:rPr>
        <w:lastRenderedPageBreak/>
        <w:t xml:space="preserve">to determine the </w:t>
      </w:r>
      <w:r>
        <w:rPr>
          <w:rFonts w:ascii="Times New Roman" w:eastAsia="Times New Roman" w:hAnsi="Times New Roman"/>
        </w:rPr>
        <w:t>s</w:t>
      </w:r>
      <w:r w:rsidRPr="00B25AA4">
        <w:rPr>
          <w:rFonts w:ascii="Times New Roman" w:eastAsia="Times New Roman" w:hAnsi="Times New Roman"/>
        </w:rPr>
        <w:t xml:space="preserve">cenario </w:t>
      </w:r>
      <w:r>
        <w:rPr>
          <w:rFonts w:ascii="Times New Roman" w:eastAsia="Times New Roman" w:hAnsi="Times New Roman"/>
        </w:rPr>
        <w:t>reserve</w:t>
      </w:r>
      <w:r w:rsidRPr="00B25AA4">
        <w:rPr>
          <w:rFonts w:ascii="Times New Roman" w:eastAsia="Times New Roman" w:hAnsi="Times New Roman"/>
        </w:rPr>
        <w:t xml:space="preserve">, as discussed in Section </w:t>
      </w:r>
      <w:r>
        <w:rPr>
          <w:rFonts w:ascii="Times New Roman" w:eastAsia="Times New Roman" w:hAnsi="Times New Roman"/>
        </w:rPr>
        <w:t>3</w:t>
      </w:r>
      <w:r w:rsidRPr="00B25AA4">
        <w:rPr>
          <w:rFonts w:ascii="Times New Roman" w:eastAsia="Times New Roman" w:hAnsi="Times New Roman"/>
        </w:rPr>
        <w:t>.D, for each scenario.</w:t>
      </w:r>
    </w:p>
    <w:p w14:paraId="08AAE621" w14:textId="15A09780"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r w:rsidRPr="0067200C">
        <w:rPr>
          <w:rFonts w:ascii="Times New Roman" w:hAnsi="Times New Roman"/>
        </w:rPr>
        <w:t>approach</w:t>
      </w:r>
      <w:r w:rsidRPr="008F3EAB">
        <w:rPr>
          <w:rFonts w:ascii="Times New Roman" w:eastAsia="Times New Roman" w:hAnsi="Times New Roman"/>
        </w:rPr>
        <w:t>, referred to as</w:t>
      </w:r>
      <w:r>
        <w:rPr>
          <w:rFonts w:ascii="Times New Roman" w:eastAsia="Times New Roman" w:hAnsi="Times New Roman"/>
        </w:rPr>
        <w:t xml:space="preserve"> the</w:t>
      </w:r>
      <w:r w:rsidRPr="008F3EAB">
        <w:rPr>
          <w:rFonts w:ascii="Times New Roman" w:eastAsia="Times New Roman" w:hAnsi="Times New Roman"/>
        </w:rPr>
        <w:t xml:space="preserve"> “implicit </w:t>
      </w:r>
      <w:r w:rsidRPr="00B25AA4">
        <w:rPr>
          <w:rFonts w:ascii="Times New Roman" w:eastAsia="Times New Roman" w:hAnsi="Times New Roman"/>
        </w:rPr>
        <w:t>method</w:t>
      </w:r>
      <w:r>
        <w:rPr>
          <w:rFonts w:ascii="Times New Roman" w:eastAsia="Times New Roman" w:hAnsi="Times New Roman"/>
        </w:rPr>
        <w:t>,</w:t>
      </w:r>
      <w:r w:rsidRPr="008F3EAB">
        <w:rPr>
          <w:rFonts w:ascii="Times New Roman" w:eastAsia="Times New Roman" w:hAnsi="Times New Roman"/>
        </w:rPr>
        <w:t xml:space="preserve">” </w:t>
      </w:r>
      <w:r w:rsidRPr="00B25AA4">
        <w:rPr>
          <w:rFonts w:ascii="Times New Roman" w:eastAsia="Times New Roman" w:hAnsi="Times New Roman"/>
        </w:rPr>
        <w:t xml:space="preserve"> is that the effectiveness of the current hedging strategy</w:t>
      </w:r>
      <w:r>
        <w:rPr>
          <w:rFonts w:ascii="Times New Roman" w:eastAsia="Times New Roman" w:hAnsi="Times New Roman"/>
        </w:rPr>
        <w:t xml:space="preserve"> </w:t>
      </w:r>
      <w:r w:rsidRPr="00B25AA4">
        <w:rPr>
          <w:rFonts w:ascii="Times New Roman" w:eastAsia="Times New Roman" w:hAnsi="Times New Roman"/>
        </w:rPr>
        <w:t>on future cash flows is evaluated, in part or in whole, outside of the stochastic cash</w:t>
      </w:r>
      <w:r>
        <w:rPr>
          <w:rFonts w:ascii="Times New Roman" w:eastAsia="Times New Roman" w:hAnsi="Times New Roman"/>
        </w:rPr>
        <w:t>-</w:t>
      </w:r>
      <w:r w:rsidRPr="00B25AA4">
        <w:rPr>
          <w:rFonts w:ascii="Times New Roman" w:eastAsia="Times New Roman" w:hAnsi="Times New Roman"/>
        </w:rPr>
        <w:t xml:space="preserve">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B25AA4">
        <w:rPr>
          <w:rFonts w:ascii="Times New Roman" w:eastAsia="Times New Roman" w:hAnsi="Times New Roman"/>
        </w:rPr>
        <w:t xml:space="preserve">In this case, the reduction to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1F4B295A" w14:textId="626B2DC9"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needs to recognize all risks, associated costs, imperfections in the hedges and hedging mismatch tolerances associated with the hedging strategy. The risks include, but are not limited </w:t>
      </w:r>
      <w:proofErr w:type="gramStart"/>
      <w:r w:rsidRPr="00B25AA4">
        <w:rPr>
          <w:rFonts w:ascii="Times New Roman" w:eastAsia="Times New Roman" w:hAnsi="Times New Roman"/>
        </w:rPr>
        <w:t>to:</w:t>
      </w:r>
      <w:proofErr w:type="gramEnd"/>
      <w:r w:rsidRPr="00B25AA4">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B25AA4">
        <w:rPr>
          <w:rFonts w:ascii="Times New Roman" w:eastAsia="Times New Roman" w:hAnsi="Times New Roman"/>
        </w:rPr>
        <w:t>to:</w:t>
      </w:r>
      <w:proofErr w:type="gramEnd"/>
      <w:r w:rsidRPr="00B25AA4">
        <w:rPr>
          <w:rFonts w:ascii="Times New Roman" w:eastAsia="Times New Roman" w:hAnsi="Times New Roman"/>
        </w:rPr>
        <w:t xml:space="preserve"> transaction, margin (opportunity costs associated with margin requirements) and administration. In addition, the reduction to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217E1F5D" w14:textId="77777777"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No hedging strategy is perfect. A given hedging strategy may eliminate or reduce some but not all risks, transform some risks into others, introduce new risks</w:t>
      </w:r>
      <w:r>
        <w:rPr>
          <w:rFonts w:ascii="Times New Roman" w:eastAsia="Times New Roman" w:hAnsi="Times New Roman"/>
        </w:rPr>
        <w:t>,</w:t>
      </w:r>
      <w:r w:rsidRPr="00B25AA4">
        <w:rPr>
          <w:rFonts w:ascii="Times New Roman" w:eastAsia="Times New Roman" w:hAnsi="Times New Roman"/>
        </w:rPr>
        <w:t xml:space="preserve"> or ha</w:t>
      </w:r>
      <w:r>
        <w:rPr>
          <w:rFonts w:ascii="Times New Roman" w:eastAsia="Times New Roman" w:hAnsi="Times New Roman"/>
        </w:rPr>
        <w:t>ve</w:t>
      </w:r>
      <w:r w:rsidRPr="00B25AA4">
        <w:rPr>
          <w:rFonts w:ascii="Times New Roman" w:eastAsia="Times New Roman" w:hAnsi="Times New Roman"/>
        </w:rPr>
        <w:t xml:space="preser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7E85F910" w14:textId="44C85CDF"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r>
        <w:rPr>
          <w:rFonts w:ascii="Times New Roman" w:eastAsia="Times New Roman" w:hAnsi="Times New Roman"/>
        </w:rPr>
        <w:t>Stochastic Reserve</w:t>
      </w:r>
      <w:r w:rsidRPr="00B25AA4">
        <w:rPr>
          <w:rFonts w:ascii="Times New Roman" w:eastAsia="Times New Roman" w:hAnsi="Times New Roman"/>
        </w:rPr>
        <w:t xml:space="preserve"> (</w:t>
      </w:r>
      <w:r>
        <w:rPr>
          <w:rFonts w:ascii="Times New Roman" w:eastAsia="Times New Roman" w:hAnsi="Times New Roman"/>
        </w:rPr>
        <w:t>R</w:t>
      </w:r>
      <w:r w:rsidRPr="00B25AA4">
        <w:rPr>
          <w:rFonts w:ascii="Times New Roman" w:eastAsia="Times New Roman" w:hAnsi="Times New Roman"/>
        </w:rPr>
        <w:t>eported)</w:t>
      </w:r>
    </w:p>
    <w:p w14:paraId="74B0E98C" w14:textId="16F42419" w:rsidR="003129FE" w:rsidRPr="00B25AA4"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B25AA4">
        <w:rPr>
          <w:rFonts w:ascii="Times New Roman" w:eastAsia="Times New Roman" w:hAnsi="Times New Roman"/>
        </w:rPr>
        <w:t>The company sh</w:t>
      </w:r>
      <w:r>
        <w:rPr>
          <w:rFonts w:ascii="Times New Roman" w:eastAsia="Times New Roman" w:hAnsi="Times New Roman"/>
        </w:rPr>
        <w:t>all</w:t>
      </w:r>
      <w:r w:rsidRPr="00B25AA4">
        <w:rPr>
          <w:rFonts w:ascii="Times New Roman" w:eastAsia="Times New Roman" w:hAnsi="Times New Roman"/>
        </w:rPr>
        <w:t xml:space="preserve"> calculat</w:t>
      </w:r>
      <w:r>
        <w:rPr>
          <w:rFonts w:ascii="Times New Roman" w:eastAsia="Times New Roman" w:hAnsi="Times New Roman"/>
        </w:rPr>
        <w:t>e</w:t>
      </w:r>
      <w:r w:rsidRPr="00B25AA4">
        <w:rPr>
          <w:rFonts w:ascii="Times New Roman" w:eastAsia="Times New Roman" w:hAnsi="Times New Roman"/>
        </w:rPr>
        <w:t xml:space="preserve"> 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 xml:space="preserve"> </w:t>
      </w:r>
      <w:r w:rsidRPr="00B25AA4">
        <w:rPr>
          <w:rFonts w:ascii="Times New Roman" w:eastAsia="Times New Roman" w:hAnsi="Times New Roman"/>
        </w:rPr>
        <w:t xml:space="preserve">—the results obtained when the </w:t>
      </w:r>
      <w:r>
        <w:rPr>
          <w:rFonts w:ascii="Times New Roman" w:eastAsia="Times New Roman" w:hAnsi="Times New Roman"/>
        </w:rPr>
        <w:t>CTE70</w:t>
      </w:r>
      <w:r w:rsidRPr="00B25AA4">
        <w:rPr>
          <w:rFonts w:ascii="Times New Roman" w:eastAsia="Times New Roman" w:hAnsi="Times New Roman"/>
        </w:rPr>
        <w:t xml:space="preserve"> is based on incorporating the </w:t>
      </w:r>
      <w:r>
        <w:rPr>
          <w:rFonts w:ascii="Times New Roman" w:eastAsia="Times New Roman" w:hAnsi="Times New Roman"/>
        </w:rPr>
        <w:t>CDHS</w:t>
      </w:r>
      <w:r w:rsidRPr="00B25AA4">
        <w:rPr>
          <w:rFonts w:ascii="Times New Roman" w:eastAsia="Times New Roman" w:hAnsi="Times New Roman"/>
        </w:rPr>
        <w:t xml:space="preserve"> (including </w:t>
      </w:r>
      <w:r>
        <w:rPr>
          <w:rFonts w:ascii="Times New Roman" w:eastAsia="Times New Roman" w:hAnsi="Times New Roman"/>
        </w:rPr>
        <w:t xml:space="preserve">both </w:t>
      </w:r>
      <w:r w:rsidRPr="00B25AA4">
        <w:rPr>
          <w:rFonts w:ascii="Times New Roman" w:eastAsia="Times New Roman" w:hAnsi="Times New Roman"/>
        </w:rPr>
        <w:t xml:space="preserve">currently held </w:t>
      </w:r>
      <w:r>
        <w:rPr>
          <w:rFonts w:ascii="Times New Roman" w:eastAsia="Times New Roman" w:hAnsi="Times New Roman"/>
        </w:rPr>
        <w:t xml:space="preserve">and future </w:t>
      </w:r>
      <w:r w:rsidRPr="00B25AA4">
        <w:rPr>
          <w:rFonts w:ascii="Times New Roman" w:eastAsia="Times New Roman" w:hAnsi="Times New Roman"/>
        </w:rPr>
        <w:t>hedge positions) into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 xml:space="preserve"> on a best efforts basis</w:t>
      </w:r>
      <w:r w:rsidRPr="00B25AA4">
        <w:rPr>
          <w:rFonts w:ascii="Times New Roman" w:eastAsia="Times New Roman" w:hAnsi="Times New Roman"/>
        </w:rPr>
        <w:t xml:space="preserve">, including all of the factors and assumptions needed to execute the </w:t>
      </w:r>
      <w:r>
        <w:rPr>
          <w:rFonts w:ascii="Times New Roman" w:eastAsia="Times New Roman" w:hAnsi="Times New Roman"/>
        </w:rPr>
        <w:t>CDHS</w:t>
      </w:r>
      <w:r w:rsidRPr="00B25AA4">
        <w:rPr>
          <w:rFonts w:ascii="Times New Roman" w:eastAsia="Times New Roman" w:hAnsi="Times New Roman"/>
        </w:rPr>
        <w:t xml:space="preserve"> (e.g., stochastic implied volatility).</w:t>
      </w:r>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p>
    <w:p w14:paraId="41FCA11C" w14:textId="77777777" w:rsidR="003129FE"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dynamic hedging strategy</w:t>
      </w:r>
      <w:r>
        <w:rPr>
          <w:rFonts w:ascii="Times New Roman" w:eastAsia="Times New Roman" w:hAnsi="Times New Roman"/>
        </w:rPr>
        <w:t>,</w:t>
      </w:r>
      <w:r w:rsidRPr="00B25AA4">
        <w:rPr>
          <w:rFonts w:ascii="Times New Roman" w:eastAsia="Times New Roman" w:hAnsi="Times New Roman"/>
        </w:rPr>
        <w:t xml:space="preserve"> </w:t>
      </w:r>
      <w:r>
        <w:rPr>
          <w:rFonts w:ascii="Times New Roman" w:eastAsia="Times New Roman" w:hAnsi="Times New Roman"/>
        </w:rPr>
        <w:t>and shall</w:t>
      </w:r>
      <w:r w:rsidRPr="00B25AA4">
        <w:rPr>
          <w:rFonts w:ascii="Times New Roman" w:eastAsia="Times New Roman" w:hAnsi="Times New Roman"/>
        </w:rPr>
        <w:t xml:space="preserve"> reflect</w:t>
      </w:r>
      <w:r>
        <w:rPr>
          <w:rFonts w:ascii="Times New Roman" w:eastAsia="Times New Roman" w:hAnsi="Times New Roman"/>
        </w:rPr>
        <w:t xml:space="preserve"> either:</w:t>
      </w:r>
    </w:p>
    <w:p w14:paraId="13BD95C0" w14:textId="77777777" w:rsidR="003129FE" w:rsidRDefault="003129FE" w:rsidP="004E4618">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Pr>
          <w:rFonts w:ascii="Times New Roman" w:eastAsia="Times New Roman" w:hAnsi="Times New Roman"/>
        </w:rPr>
        <w:t>O</w:t>
      </w:r>
      <w:r w:rsidRPr="00B25AA4">
        <w:rPr>
          <w:rFonts w:ascii="Times New Roman" w:eastAsia="Times New Roman" w:hAnsi="Times New Roman"/>
        </w:rPr>
        <w:t>nly hedge positions held by the company on the valuation date</w:t>
      </w:r>
      <w:r>
        <w:rPr>
          <w:rFonts w:ascii="Times New Roman" w:eastAsia="Times New Roman" w:hAnsi="Times New Roman"/>
        </w:rPr>
        <w:t>; or</w:t>
      </w:r>
    </w:p>
    <w:p w14:paraId="6B26B3C6" w14:textId="77777777" w:rsidR="003129FE" w:rsidRDefault="003129FE" w:rsidP="004E4618">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25AA4">
        <w:rPr>
          <w:rFonts w:ascii="Times New Roman" w:eastAsia="Times New Roman" w:hAnsi="Times New Roman"/>
        </w:rPr>
        <w:tab/>
      </w:r>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p>
    <w:p w14:paraId="46CBA8A4" w14:textId="77777777" w:rsidR="003129FE" w:rsidRPr="00B25AA4" w:rsidRDefault="003129FE" w:rsidP="004E4618">
      <w:pPr>
        <w:spacing w:after="220" w:line="240" w:lineRule="auto"/>
        <w:ind w:left="1440"/>
        <w:jc w:val="both"/>
        <w:rPr>
          <w:rFonts w:ascii="Times New Roman" w:eastAsia="Times New Roman" w:hAnsi="Times New Roman"/>
        </w:rPr>
      </w:pPr>
      <w:r w:rsidRPr="00B25AA4">
        <w:rPr>
          <w:rFonts w:ascii="Times New Roman" w:eastAsia="Times New Roman" w:hAnsi="Times New Roman"/>
        </w:rPr>
        <w:t>The determination of CTE</w:t>
      </w:r>
      <w:r>
        <w:rPr>
          <w:rFonts w:ascii="Times New Roman" w:eastAsia="Times New Roman" w:hAnsi="Times New Roman"/>
        </w:rPr>
        <w:t>70</w:t>
      </w:r>
      <w:r w:rsidRPr="00B25AA4">
        <w:rPr>
          <w:rFonts w:ascii="Times New Roman" w:eastAsia="Times New Roman" w:hAnsi="Times New Roman"/>
        </w:rPr>
        <w:t xml:space="preserve"> (adjusted) may </w:t>
      </w:r>
      <w:r>
        <w:rPr>
          <w:rFonts w:ascii="Times New Roman" w:eastAsia="Times New Roman" w:hAnsi="Times New Roman"/>
        </w:rPr>
        <w:t>utilize either explicit or implicit modeling</w:t>
      </w:r>
      <w:r w:rsidRPr="00B25AA4">
        <w:rPr>
          <w:rFonts w:ascii="Times New Roman" w:eastAsia="Times New Roman" w:hAnsi="Times New Roman"/>
        </w:rPr>
        <w:t xml:space="preserve"> techniques.</w:t>
      </w:r>
    </w:p>
    <w:p w14:paraId="0E118335" w14:textId="23185040" w:rsidR="003129FE" w:rsidRPr="00B25AA4"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8975D8">
        <w:rPr>
          <w:rFonts w:ascii="Times New Roman" w:eastAsia="Times New Roman" w:hAnsi="Times New Roman"/>
        </w:rPr>
        <w:t xml:space="preserve"> </w:t>
      </w:r>
      <w:r w:rsidRPr="00B25AA4">
        <w:rPr>
          <w:rFonts w:ascii="Times New Roman" w:eastAsia="Times New Roman" w:hAnsi="Times New Roman"/>
        </w:rPr>
        <w:t>Because most models will include at least some approximations or idealistic assumptions, CTE</w:t>
      </w:r>
      <w:r>
        <w:rPr>
          <w:rFonts w:ascii="Times New Roman" w:eastAsia="Times New Roman" w:hAnsi="Times New Roman"/>
        </w:rPr>
        <w:t>70</w:t>
      </w:r>
      <w:r w:rsidRPr="00B25AA4">
        <w:rPr>
          <w:rFonts w:ascii="Times New Roman" w:eastAsia="Times New Roman" w:hAnsi="Times New Roman"/>
        </w:rPr>
        <w:t xml:space="preserve">(best efforts) may overstate the impact of the hedging strategy. To compensate for potential overstatement of the impact of the hedging strategy, </w:t>
      </w:r>
      <w:r>
        <w:rPr>
          <w:rFonts w:ascii="Times New Roman" w:eastAsia="Times New Roman" w:hAnsi="Times New Roman"/>
        </w:rPr>
        <w:t>t</w:t>
      </w:r>
      <w:r w:rsidRPr="00B25AA4">
        <w:rPr>
          <w:rFonts w:ascii="Times New Roman" w:eastAsia="Times New Roman" w:hAnsi="Times New Roman"/>
        </w:rPr>
        <w:t xml:space="preserve">he value for the </w:t>
      </w:r>
      <w:r>
        <w:rPr>
          <w:rFonts w:ascii="Times New Roman" w:eastAsia="Times New Roman" w:hAnsi="Times New Roman"/>
        </w:rPr>
        <w:t>stochastic reserve</w:t>
      </w:r>
      <w:r w:rsidRPr="00B25AA4">
        <w:rPr>
          <w:rFonts w:ascii="Times New Roman" w:eastAsia="Times New Roman" w:hAnsi="Times New Roman"/>
        </w:rPr>
        <w:t xml:space="preserve"> is given by:</w:t>
      </w:r>
    </w:p>
    <w:p w14:paraId="39AAD8C5" w14:textId="10A18269" w:rsidR="003129FE" w:rsidRPr="00B25AA4" w:rsidRDefault="003129FE" w:rsidP="0021502F">
      <w:pPr>
        <w:spacing w:after="220" w:line="240" w:lineRule="auto"/>
        <w:ind w:left="720"/>
        <w:jc w:val="both"/>
        <w:rPr>
          <w:rFonts w:ascii="Times New Roman" w:eastAsia="Times New Roman" w:hAnsi="Times New Roman"/>
        </w:rPr>
      </w:pPr>
    </w:p>
    <w:p w14:paraId="6A4AC3FF" w14:textId="2D1A3E56" w:rsidR="003129FE"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t>Stochastic reserve</w:t>
      </w:r>
      <w:r w:rsidRPr="00B25AA4">
        <w:rPr>
          <w:rFonts w:ascii="Times New Roman" w:eastAsia="Times New Roman" w:hAnsi="Times New Roman"/>
        </w:rPr>
        <w:t xml:space="preserve">  = CTE</w:t>
      </w:r>
      <w:r>
        <w:rPr>
          <w:rFonts w:ascii="Times New Roman" w:eastAsia="Times New Roman" w:hAnsi="Times New Roman"/>
        </w:rPr>
        <w:t>70</w:t>
      </w:r>
      <w:r w:rsidRPr="00B25AA4">
        <w:rPr>
          <w:rFonts w:ascii="Times New Roman" w:eastAsia="Times New Roman" w:hAnsi="Times New Roman"/>
        </w:rPr>
        <w:t xml:space="preserve"> (best efforts) + </w:t>
      </w:r>
      <w:r>
        <w:rPr>
          <w:rFonts w:ascii="Times New Roman" w:eastAsia="Times New Roman" w:hAnsi="Times New Roman"/>
        </w:rPr>
        <w:t>E</w:t>
      </w:r>
      <w:r w:rsidRPr="00B25AA4">
        <w:rPr>
          <w:rFonts w:ascii="Times New Roman" w:eastAsia="Times New Roman" w:hAnsi="Times New Roman"/>
        </w:rPr>
        <w:t xml:space="preserve"> </w:t>
      </w:r>
    </w:p>
    <w:p w14:paraId="514E03F3" w14:textId="77777777" w:rsidR="003129FE" w:rsidRDefault="003129FE" w:rsidP="000E04EA">
      <w:pPr>
        <w:spacing w:after="220" w:line="240" w:lineRule="auto"/>
        <w:ind w:left="2160" w:firstLine="720"/>
        <w:jc w:val="both"/>
        <w:rPr>
          <w:rFonts w:ascii="Times New Roman" w:eastAsia="Times New Roman" w:hAnsi="Times New Roman"/>
        </w:rPr>
      </w:pPr>
      <w:r>
        <w:rPr>
          <w:rFonts w:ascii="Times New Roman" w:eastAsia="Arial"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38FA53D9" w14:textId="1CE255D3" w:rsidR="003129FE" w:rsidRPr="00FC6752"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r w:rsidRPr="00FC6752">
        <w:rPr>
          <w:rFonts w:ascii="Times New Roman" w:eastAsia="Times New Roman" w:hAnsi="Times New Roman"/>
        </w:rPr>
        <w:t xml:space="preserve">The </w:t>
      </w:r>
      <w:r w:rsidRPr="0067200C">
        <w:rPr>
          <w:rFonts w:ascii="Times New Roman" w:hAnsi="Times New Roman"/>
        </w:rPr>
        <w:t xml:space="preserve">company shall specify a </w:t>
      </w:r>
      <w:r w:rsidRPr="00FC6752">
        <w:rPr>
          <w:rFonts w:ascii="Times New Roman" w:eastAsia="Times New Roman" w:hAnsi="Times New Roman"/>
        </w:rPr>
        <w:t xml:space="preserve">value for </w:t>
      </w:r>
      <w:r w:rsidRPr="00FC6752">
        <w:rPr>
          <w:rFonts w:ascii="Times New Roman" w:eastAsia="Times New Roman" w:hAnsi="Times New Roman"/>
          <w:i/>
        </w:rPr>
        <w:t xml:space="preserve">E </w:t>
      </w:r>
      <w:r w:rsidRPr="00FC6752">
        <w:rPr>
          <w:rFonts w:ascii="Times New Roman" w:eastAsia="Times New Roman" w:hAnsi="Times New Roman"/>
        </w:rPr>
        <w:t>(</w:t>
      </w:r>
      <w:r>
        <w:rPr>
          <w:rFonts w:ascii="Times New Roman" w:eastAsia="Times New Roman" w:hAnsi="Times New Roman"/>
        </w:rPr>
        <w:t>the “error</w:t>
      </w:r>
      <w:r w:rsidRPr="00FC6752">
        <w:rPr>
          <w:rFonts w:ascii="Times New Roman" w:eastAsia="Times New Roman" w:hAnsi="Times New Roman"/>
        </w:rPr>
        <w:t xml:space="preserve"> factor”) </w:t>
      </w:r>
      <w:r w:rsidRPr="0067200C">
        <w:rPr>
          <w:rFonts w:ascii="Times New Roman" w:hAnsi="Times New Roman"/>
        </w:rPr>
        <w:t>in the range from 5% to 100% to reflect the company’s</w:t>
      </w:r>
      <w:r w:rsidRPr="00FC6752">
        <w:rPr>
          <w:rFonts w:ascii="Times New Roman" w:eastAsia="Times New Roman" w:hAnsi="Times New Roman"/>
        </w:rPr>
        <w:t xml:space="preserve"> view </w:t>
      </w:r>
      <w:r w:rsidRPr="0067200C">
        <w:rPr>
          <w:rFonts w:ascii="Times New Roman" w:hAnsi="Times New Roman"/>
        </w:rPr>
        <w:t>of the potential error resulting from</w:t>
      </w:r>
      <w:r w:rsidRPr="00FC6752">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w:t>
      </w:r>
      <w:r>
        <w:rPr>
          <w:rFonts w:ascii="Times New Roman" w:eastAsia="Times New Roman" w:hAnsi="Times New Roman"/>
        </w:rPr>
        <w:t>.</w:t>
      </w:r>
      <w:r w:rsidRPr="00FC6752">
        <w:rPr>
          <w:rFonts w:ascii="Times New Roman" w:eastAsia="Times New Roman" w:hAnsi="Times New Roman"/>
        </w:rPr>
        <w:t xml:space="preserve"> </w:t>
      </w:r>
      <w:r>
        <w:rPr>
          <w:rFonts w:ascii="Times New Roman" w:eastAsia="Times New Roman" w:hAnsi="Times New Roman"/>
        </w:rPr>
        <w:t xml:space="preserve">The greater </w:t>
      </w:r>
      <w:r w:rsidRPr="00FC6752">
        <w:rPr>
          <w:rFonts w:ascii="Times New Roman" w:eastAsia="Times New Roman" w:hAnsi="Times New Roman"/>
        </w:rPr>
        <w:t xml:space="preserve">the ability of the </w:t>
      </w:r>
      <w:r w:rsidRPr="008F3EAB">
        <w:rPr>
          <w:rFonts w:ascii="Times New Roman" w:eastAsia="Times New Roman" w:hAnsi="Times New Roman"/>
        </w:rPr>
        <w:t xml:space="preserve">stochastic </w:t>
      </w:r>
      <w:r w:rsidRPr="00FC6752">
        <w:rPr>
          <w:rFonts w:ascii="Times New Roman" w:eastAsia="Times New Roman" w:hAnsi="Times New Roman"/>
        </w:rPr>
        <w:t xml:space="preserve">model to capture all risks and uncertainties, the </w:t>
      </w:r>
      <w:r>
        <w:rPr>
          <w:rFonts w:ascii="Times New Roman" w:eastAsia="Times New Roman" w:hAnsi="Times New Roman"/>
        </w:rPr>
        <w:t>low</w:t>
      </w:r>
      <w:r w:rsidRPr="00FC6752">
        <w:rPr>
          <w:rFonts w:ascii="Times New Roman" w:eastAsia="Times New Roman" w:hAnsi="Times New Roman"/>
        </w:rPr>
        <w:t xml:space="preserve">er the value of </w:t>
      </w:r>
      <w:r w:rsidRPr="00FC6752">
        <w:rPr>
          <w:rFonts w:ascii="Times New Roman" w:eastAsia="Times New Roman" w:hAnsi="Times New Roman"/>
          <w:i/>
        </w:rPr>
        <w:t>E</w:t>
      </w:r>
      <w:r w:rsidRPr="008F3EAB">
        <w:rPr>
          <w:rFonts w:ascii="Times New Roman" w:eastAsia="Times New Roman" w:hAnsi="Times New Roman"/>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FC6752">
        <w:rPr>
          <w:rFonts w:ascii="Times New Roman" w:eastAsia="Times New Roman" w:hAnsi="Times New Roman"/>
        </w:rPr>
        <w:t xml:space="preserve">the model used to determine the </w:t>
      </w:r>
      <w:r w:rsidRPr="0067200C">
        <w:rPr>
          <w:rFonts w:ascii="Times New Roman" w:hAnsi="Times New Roman"/>
        </w:rPr>
        <w:t>CTE70</w:t>
      </w:r>
      <w:r w:rsidRPr="00FC6752">
        <w:rPr>
          <w:rFonts w:ascii="Times New Roman" w:eastAsia="Times New Roman" w:hAnsi="Times New Roman"/>
        </w:rPr>
        <w:t xml:space="preserve"> (best efforts</w:t>
      </w:r>
      <w:r w:rsidRPr="0067200C">
        <w:rPr>
          <w:rFonts w:ascii="Times New Roman" w:hAnsi="Times New Roman"/>
        </w:rPr>
        <w:t>)</w:t>
      </w:r>
      <w:r w:rsidRPr="00FC6752">
        <w:rPr>
          <w:rFonts w:ascii="Times New Roman" w:eastAsia="Times New Roman" w:hAnsi="Times New Roman"/>
        </w:rPr>
        <w:t xml:space="preserve"> effectively reflects all of the parameters used in the hedging strategy</w:t>
      </w:r>
      <w:r w:rsidRPr="0067200C">
        <w:rPr>
          <w:rFonts w:ascii="Times New Roman" w:hAnsi="Times New Roman"/>
        </w:rPr>
        <w:t>.</w:t>
      </w:r>
      <w:r w:rsidRPr="00FC6752">
        <w:rPr>
          <w:rFonts w:ascii="Times New Roman" w:eastAsia="Times New Roman" w:hAnsi="Times New Roman"/>
        </w:rPr>
        <w:t xml:space="preserve"> If certain economic risks are not hedged, yet the model does not generate scenarios that sufficiently capture those risks, </w:t>
      </w:r>
      <w:r w:rsidRPr="00FC6752">
        <w:rPr>
          <w:rFonts w:ascii="Times New Roman" w:eastAsia="Times New Roman" w:hAnsi="Times New Roman"/>
          <w:i/>
        </w:rPr>
        <w:t>E</w:t>
      </w:r>
      <w:r w:rsidRPr="00FC6752">
        <w:rPr>
          <w:rFonts w:ascii="Times New Roman" w:eastAsia="Times New Roman" w:hAnsi="Times New Roman"/>
        </w:rPr>
        <w:t xml:space="preserve"> must be in the </w:t>
      </w:r>
      <w:r>
        <w:rPr>
          <w:rFonts w:ascii="Times New Roman" w:eastAsia="Times New Roman" w:hAnsi="Times New Roman"/>
        </w:rPr>
        <w:t>higher</w:t>
      </w:r>
      <w:r w:rsidRPr="00FC6752">
        <w:rPr>
          <w:rFonts w:ascii="Times New Roman" w:eastAsia="Times New Roman" w:hAnsi="Times New Roman"/>
        </w:rPr>
        <w:t xml:space="preserve"> end of the range</w:t>
      </w:r>
      <w:r>
        <w:rPr>
          <w:rFonts w:ascii="Times New Roman" w:eastAsia="Times New Roman" w:hAnsi="Times New Roman"/>
        </w:rPr>
        <w:t xml:space="preserve"> reflecting the greater likelihood of error. </w:t>
      </w:r>
      <w:r w:rsidRPr="00B45463">
        <w:rPr>
          <w:rFonts w:ascii="Times New Roman" w:eastAsia="Times New Roman" w:hAnsi="Times New Roman"/>
        </w:rPr>
        <w:t xml:space="preserve"> Likewise, simplistic</w:t>
      </w:r>
      <w:r>
        <w:rPr>
          <w:rFonts w:ascii="Times New Roman" w:eastAsia="Times New Roman" w:hAnsi="Times New Roman"/>
        </w:rPr>
        <w:t xml:space="preserve"> </w:t>
      </w:r>
      <w:r w:rsidRPr="00FC6752">
        <w:rPr>
          <w:rFonts w:ascii="Times New Roman" w:eastAsia="Times New Roman" w:hAnsi="Times New Roman"/>
        </w:rPr>
        <w:t xml:space="preserve">hedge cash-flow models </w:t>
      </w:r>
      <w:r>
        <w:rPr>
          <w:rFonts w:ascii="Times New Roman" w:eastAsia="Times New Roman" w:hAnsi="Times New Roman"/>
        </w:rPr>
        <w:t xml:space="preserve">shall assume a higher likelihood of error. </w:t>
      </w:r>
    </w:p>
    <w:p w14:paraId="766F8C1D" w14:textId="3147CB35" w:rsidR="003129FE" w:rsidRDefault="003129FE" w:rsidP="0021502F">
      <w:pPr>
        <w:spacing w:after="220" w:line="240" w:lineRule="auto"/>
        <w:ind w:left="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conduct </w:t>
      </w:r>
      <w:r w:rsidRPr="00B45463">
        <w:rPr>
          <w:rFonts w:ascii="Times New Roman" w:eastAsia="Times New Roman" w:hAnsi="Times New Roman"/>
        </w:rPr>
        <w:t>a formal back-test</w:t>
      </w:r>
      <w:r w:rsidRPr="00B25AA4">
        <w:rPr>
          <w:rFonts w:ascii="Times New Roman" w:eastAsia="Times New Roman" w:hAnsi="Times New Roman"/>
        </w:rPr>
        <w:t xml:space="preserve">, based on an analysis of at least the most recent 12 months, </w:t>
      </w:r>
      <w:r>
        <w:rPr>
          <w:rFonts w:ascii="Times New Roman" w:eastAsia="Times New Roman" w:hAnsi="Times New Roman"/>
        </w:rPr>
        <w:t xml:space="preserve">to assess how well </w:t>
      </w:r>
      <w:r w:rsidRPr="00B25AA4">
        <w:rPr>
          <w:rFonts w:ascii="Times New Roman" w:eastAsia="Times New Roman" w:hAnsi="Times New Roman"/>
        </w:rPr>
        <w:t xml:space="preserve">the model is able to replicate the hedging strategy in a way that </w:t>
      </w:r>
      <w:r>
        <w:rPr>
          <w:rFonts w:ascii="Times New Roman" w:eastAsia="Times New Roman" w:hAnsi="Times New Roman"/>
        </w:rPr>
        <w:t>supports determination of</w:t>
      </w:r>
      <w:r w:rsidRPr="00B25AA4">
        <w:rPr>
          <w:rFonts w:ascii="Times New Roman" w:eastAsia="Times New Roman" w:hAnsi="Times New Roman"/>
        </w:rPr>
        <w:t xml:space="preserve"> the value used for </w:t>
      </w:r>
      <w:r w:rsidRPr="00B25AA4">
        <w:rPr>
          <w:rFonts w:ascii="Times New Roman" w:eastAsia="Times New Roman" w:hAnsi="Times New Roman"/>
          <w:i/>
        </w:rPr>
        <w:t>E</w:t>
      </w:r>
      <w:r w:rsidRPr="00B25AA4">
        <w:rPr>
          <w:rFonts w:ascii="Times New Roman" w:eastAsia="Times New Roman" w:hAnsi="Times New Roman"/>
        </w:rPr>
        <w:t xml:space="preserve">. </w:t>
      </w:r>
    </w:p>
    <w:p w14:paraId="305F1E09" w14:textId="77777777" w:rsidR="003129FE" w:rsidRPr="00B45463" w:rsidRDefault="003129FE" w:rsidP="00B45463">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4C100F84" w14:textId="77777777" w:rsidR="003129FE" w:rsidRPr="00B45463" w:rsidRDefault="003129FE" w:rsidP="004E4618">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1.</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1F302966" w14:textId="77777777" w:rsidR="003129FE" w:rsidRPr="00DF5198" w:rsidRDefault="003129FE" w:rsidP="004E4618">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 xml:space="preserve">the projected hedge asset gains and losses are within close range of 100 percent – e.g., 80 to 125 percent –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 e.g., 0.80 or higher – when using a regression analysis technique;</w:t>
      </w:r>
    </w:p>
    <w:p w14:paraId="15B0FDDB" w14:textId="77777777" w:rsidR="003129FE" w:rsidRPr="00345C8C" w:rsidRDefault="003129FE" w:rsidP="004E4618">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lue of the hedged item, (“implicit method”, or “cost of reinsurance method”), calculate the delta, rho, and vega coverage ratios in each month over the selected back-testing period in the following manner:</w:t>
      </w:r>
    </w:p>
    <w:p w14:paraId="42077F31" w14:textId="77777777" w:rsidR="003129FE" w:rsidRPr="00345C8C"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 – both realized and unrealized – incurred over the month attributable to equity, interest rate, and implied volatility movements;</w:t>
      </w:r>
    </w:p>
    <w:p w14:paraId="34A76354" w14:textId="77777777" w:rsidR="003129FE" w:rsidRPr="00EB424E"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manner that reflects the proportion of risks hedged – for example,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p>
    <w:p w14:paraId="149A4FE8" w14:textId="77777777" w:rsidR="003129FE" w:rsidRPr="00345C8C"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w:t>
      </w:r>
      <w:proofErr w:type="spellStart"/>
      <w:r>
        <w:rPr>
          <w:rFonts w:ascii="Times New Roman" w:eastAsia="Times New Roman" w:hAnsi="Times New Roman"/>
        </w:rPr>
        <w:t>ia</w:t>
      </w:r>
      <w:proofErr w:type="spellEnd"/>
      <w:r w:rsidRPr="00345C8C">
        <w:rPr>
          <w:rFonts w:ascii="Times New Roman" w:eastAsia="Times New Roman" w:hAnsi="Times New Roman"/>
        </w:rPr>
        <w:t xml:space="preserve">) and </w:t>
      </w:r>
      <w:r>
        <w:rPr>
          <w:rFonts w:ascii="Times New Roman" w:eastAsia="Times New Roman" w:hAnsi="Times New Roman"/>
        </w:rPr>
        <w:t>(</w:t>
      </w:r>
      <w:proofErr w:type="spellStart"/>
      <w:r>
        <w:rPr>
          <w:rFonts w:ascii="Times New Roman" w:eastAsia="Times New Roman" w:hAnsi="Times New Roman"/>
        </w:rPr>
        <w:t>iib</w:t>
      </w:r>
      <w:proofErr w:type="spellEnd"/>
      <w:r w:rsidRPr="00345C8C">
        <w:rPr>
          <w:rFonts w:ascii="Times New Roman" w:eastAsia="Times New Roman" w:hAnsi="Times New Roman"/>
        </w:rPr>
        <w:t>) attributable to equity movements;</w:t>
      </w:r>
    </w:p>
    <w:p w14:paraId="7EF82835" w14:textId="77777777" w:rsidR="003129FE" w:rsidRPr="00345C8C"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w:t>
      </w:r>
      <w:proofErr w:type="spellStart"/>
      <w:r>
        <w:rPr>
          <w:rFonts w:ascii="Times New Roman" w:eastAsia="Times New Roman" w:hAnsi="Times New Roman"/>
        </w:rPr>
        <w:t>iaa</w:t>
      </w:r>
      <w:proofErr w:type="spellEnd"/>
      <w:r w:rsidRPr="00345C8C">
        <w:rPr>
          <w:rFonts w:ascii="Times New Roman" w:eastAsia="Times New Roman" w:hAnsi="Times New Roman"/>
        </w:rPr>
        <w:t xml:space="preserve">) and </w:t>
      </w:r>
      <w:r>
        <w:rPr>
          <w:rFonts w:ascii="Times New Roman" w:eastAsia="Times New Roman" w:hAnsi="Times New Roman"/>
        </w:rPr>
        <w:t>(</w:t>
      </w:r>
      <w:proofErr w:type="spellStart"/>
      <w:r>
        <w:rPr>
          <w:rFonts w:ascii="Times New Roman" w:eastAsia="Times New Roman" w:hAnsi="Times New Roman"/>
        </w:rPr>
        <w:t>iibb</w:t>
      </w:r>
      <w:proofErr w:type="spellEnd"/>
      <w:r w:rsidRPr="00345C8C">
        <w:rPr>
          <w:rFonts w:ascii="Times New Roman" w:eastAsia="Times New Roman" w:hAnsi="Times New Roman"/>
        </w:rPr>
        <w:t>) attributable to interest rate movements;</w:t>
      </w:r>
    </w:p>
    <w:p w14:paraId="112B6A8C" w14:textId="77777777" w:rsidR="003129FE" w:rsidRPr="00345C8C"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w:t>
      </w:r>
      <w:proofErr w:type="spellStart"/>
      <w:r>
        <w:rPr>
          <w:rFonts w:ascii="Times New Roman" w:eastAsia="Times New Roman" w:hAnsi="Times New Roman"/>
        </w:rPr>
        <w:t>iaa</w:t>
      </w:r>
      <w:proofErr w:type="spellEnd"/>
      <w:r w:rsidRPr="00345C8C">
        <w:rPr>
          <w:rFonts w:ascii="Times New Roman" w:eastAsia="Times New Roman" w:hAnsi="Times New Roman"/>
        </w:rPr>
        <w:t xml:space="preserve">) and </w:t>
      </w:r>
      <w:r>
        <w:rPr>
          <w:rFonts w:ascii="Times New Roman" w:eastAsia="Times New Roman" w:hAnsi="Times New Roman"/>
        </w:rPr>
        <w:t>(</w:t>
      </w:r>
      <w:proofErr w:type="spellStart"/>
      <w:r>
        <w:rPr>
          <w:rFonts w:ascii="Times New Roman" w:eastAsia="Times New Roman" w:hAnsi="Times New Roman"/>
        </w:rPr>
        <w:t>iibb</w:t>
      </w:r>
      <w:proofErr w:type="spellEnd"/>
      <w:r w:rsidRPr="00345C8C">
        <w:rPr>
          <w:rFonts w:ascii="Times New Roman" w:eastAsia="Times New Roman" w:hAnsi="Times New Roman"/>
        </w:rPr>
        <w:t>) attributable to implied volatility movements.</w:t>
      </w:r>
    </w:p>
    <w:p w14:paraId="49A348E9" w14:textId="77777777" w:rsidR="003129FE"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within close range of 100 percent – e.g., 80 to 125 percent – consistently across the back-testing period.</w:t>
      </w:r>
    </w:p>
    <w:p w14:paraId="1830FA7F" w14:textId="77777777" w:rsidR="003129FE" w:rsidRDefault="003129FE" w:rsidP="004E4618">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percent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 Conditional Tail Expectation. </w:t>
      </w:r>
    </w:p>
    <w:p w14:paraId="2A06AA89" w14:textId="2A93DF38" w:rsidR="003129FE" w:rsidRPr="00345C8C" w:rsidRDefault="003129FE" w:rsidP="004E4618">
      <w:pPr>
        <w:spacing w:after="220" w:line="240" w:lineRule="auto"/>
        <w:ind w:left="144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003C482A" w:rsidRPr="00345C8C">
        <w:rPr>
          <w:rFonts w:ascii="Times New Roman" w:eastAsia="Times New Roman" w:hAnsi="Times New Roman"/>
        </w:rPr>
        <w:t>method as</w:t>
      </w:r>
      <w:r w:rsidRPr="00345C8C">
        <w:rPr>
          <w:rFonts w:ascii="Times New Roman" w:eastAsia="Times New Roman" w:hAnsi="Times New Roman"/>
        </w:rPr>
        <w:t xml:space="preserve">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illustrates the appropriateness of the selected method for reflecting the cost and benefit of hedging as well as the value used for E.</w:t>
      </w:r>
    </w:p>
    <w:p w14:paraId="5CC91FC9" w14:textId="0F2A8E63" w:rsidR="003129FE" w:rsidRDefault="003129FE" w:rsidP="00345C8C">
      <w:pPr>
        <w:spacing w:after="220" w:line="240" w:lineRule="auto"/>
        <w:ind w:left="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no history,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at least 0.50</w:t>
      </w:r>
      <w:r>
        <w:rPr>
          <w:rFonts w:ascii="Times New Roman" w:eastAsia="Times New Roman" w:hAnsi="Times New Roman"/>
        </w:rPr>
        <w:t>.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0.50</w:t>
      </w:r>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some</w:t>
      </w:r>
      <w:r>
        <w:rPr>
          <w:rFonts w:ascii="Times New Roman" w:eastAsia="Times New Roman" w:hAnsi="Times New Roman"/>
        </w:rPr>
        <w:t xml:space="preserve"> reliable</w:t>
      </w:r>
      <w:r w:rsidRPr="00EB2BC3">
        <w:rPr>
          <w:rFonts w:ascii="Times New Roman" w:eastAsia="Times New Roman" w:hAnsi="Times New Roman"/>
        </w:rPr>
        <w:t xml:space="preserve"> experience is available and/or if the change in strategy is a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substantial change in strategy</w:t>
      </w:r>
      <w:r w:rsidRPr="00EB2BC3">
        <w:rPr>
          <w:rFonts w:ascii="Times New Roman" w:eastAsia="Times New Roman" w:hAnsi="Times New Roman"/>
        </w:rPr>
        <w:t xml:space="preserve">.  </w:t>
      </w:r>
    </w:p>
    <w:p w14:paraId="2AD54FF1" w14:textId="6EA51446" w:rsidR="003129FE" w:rsidRDefault="003129FE" w:rsidP="00345C8C">
      <w:pPr>
        <w:spacing w:after="220" w:line="240" w:lineRule="auto"/>
        <w:ind w:left="720" w:hanging="720"/>
        <w:jc w:val="both"/>
        <w:rPr>
          <w:rFonts w:ascii="Times New Roman" w:eastAsia="Times New Roman" w:hAnsi="Times New Roman"/>
        </w:rPr>
      </w:pPr>
    </w:p>
    <w:p w14:paraId="546895EF" w14:textId="77777777" w:rsidR="003129FE" w:rsidRDefault="003129FE" w:rsidP="00345C8C">
      <w:pPr>
        <w:spacing w:after="220" w:line="240" w:lineRule="auto"/>
        <w:ind w:left="720" w:hanging="720"/>
        <w:jc w:val="both"/>
        <w:rPr>
          <w:rFonts w:ascii="Times New Roman" w:eastAsia="Times New Roman" w:hAnsi="Times New Roman"/>
        </w:rPr>
      </w:pPr>
    </w:p>
    <w:p w14:paraId="4B4CD34E" w14:textId="77777777" w:rsidR="003129FE" w:rsidRDefault="003129FE" w:rsidP="00345C8C">
      <w:pPr>
        <w:spacing w:after="220" w:line="240" w:lineRule="auto"/>
        <w:ind w:left="720" w:hanging="720"/>
        <w:jc w:val="both"/>
        <w:rPr>
          <w:rFonts w:ascii="Times New Roman" w:eastAsia="Times New Roman" w:hAnsi="Times New Roman"/>
        </w:rPr>
      </w:pPr>
    </w:p>
    <w:p w14:paraId="5D533D3D" w14:textId="77777777" w:rsidR="003129FE" w:rsidRDefault="003129FE" w:rsidP="00345C8C">
      <w:pPr>
        <w:spacing w:after="220" w:line="240" w:lineRule="auto"/>
        <w:ind w:left="720" w:hanging="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FC1197" w:rsidRPr="001E1622" w:rsidRDefault="00FC1197" w:rsidP="004E4618">
                            <w:pPr>
                              <w:rPr>
                                <w:rFonts w:ascii="Times New Roman" w:hAnsi="Times New Roman"/>
                              </w:rPr>
                            </w:pPr>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p>
                          <w:p w14:paraId="5A35242D"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p>
                          <w:p w14:paraId="43B9C4FD" w14:textId="77777777" w:rsidR="00FC1197" w:rsidRPr="001E1622" w:rsidRDefault="00FC1197" w:rsidP="004E4618">
                            <w:pPr>
                              <w:pStyle w:val="ListParagraph"/>
                              <w:ind w:left="360"/>
                              <w:rPr>
                                <w:rFonts w:ascii="Times New Roman" w:hAnsi="Times New Roman"/>
                              </w:rPr>
                            </w:pPr>
                          </w:p>
                          <w:p w14:paraId="48C6F44D"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p>
                          <w:p w14:paraId="13971860" w14:textId="77777777" w:rsidR="00FC1197" w:rsidRPr="001E1622" w:rsidRDefault="00FC1197" w:rsidP="004E4618">
                            <w:pPr>
                              <w:pStyle w:val="ListParagraph"/>
                              <w:ind w:left="360"/>
                              <w:rPr>
                                <w:rFonts w:ascii="Times New Roman" w:hAnsi="Times New Roman"/>
                              </w:rPr>
                            </w:pPr>
                          </w:p>
                          <w:p w14:paraId="268ECBA8"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p>
                          <w:p w14:paraId="4F27A906" w14:textId="77777777" w:rsidR="00FC1197" w:rsidRPr="00E83AE7" w:rsidRDefault="00FC1197" w:rsidP="004E4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2"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UQIAAKs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" fillcolor="white [3201]" strokeweight=".5pt">
                <v:textbox>
                  <w:txbxContent>
                    <w:p w14:paraId="61677D0C" w14:textId="77777777" w:rsidR="00FC1197" w:rsidRPr="001E1622" w:rsidRDefault="00FC1197" w:rsidP="004E4618">
                      <w:pPr>
                        <w:rPr>
                          <w:rFonts w:ascii="Times New Roman" w:hAnsi="Times New Roman"/>
                        </w:rPr>
                      </w:pPr>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p>
                    <w:p w14:paraId="5A35242D"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p>
                    <w:p w14:paraId="43B9C4FD" w14:textId="77777777" w:rsidR="00FC1197" w:rsidRPr="001E1622" w:rsidRDefault="00FC1197" w:rsidP="004E4618">
                      <w:pPr>
                        <w:pStyle w:val="ListParagraph"/>
                        <w:ind w:left="360"/>
                        <w:rPr>
                          <w:rFonts w:ascii="Times New Roman" w:hAnsi="Times New Roman"/>
                        </w:rPr>
                      </w:pPr>
                    </w:p>
                    <w:p w14:paraId="48C6F44D"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p>
                    <w:p w14:paraId="13971860" w14:textId="77777777" w:rsidR="00FC1197" w:rsidRPr="001E1622" w:rsidRDefault="00FC1197" w:rsidP="004E4618">
                      <w:pPr>
                        <w:pStyle w:val="ListParagraph"/>
                        <w:ind w:left="360"/>
                        <w:rPr>
                          <w:rFonts w:ascii="Times New Roman" w:hAnsi="Times New Roman"/>
                        </w:rPr>
                      </w:pPr>
                    </w:p>
                    <w:p w14:paraId="268ECBA8" w14:textId="77777777" w:rsidR="00FC1197" w:rsidRPr="001E1622" w:rsidRDefault="00FC1197"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p>
                    <w:p w14:paraId="4F27A906" w14:textId="77777777" w:rsidR="00FC1197" w:rsidRPr="00E83AE7" w:rsidRDefault="00FC1197" w:rsidP="004E4618"/>
                  </w:txbxContent>
                </v:textbox>
              </v:shape>
            </w:pict>
          </mc:Fallback>
        </mc:AlternateContent>
      </w:r>
    </w:p>
    <w:p w14:paraId="5D612832" w14:textId="77777777" w:rsidR="003129FE" w:rsidRDefault="003129FE" w:rsidP="00345C8C">
      <w:pPr>
        <w:spacing w:after="220" w:line="240" w:lineRule="auto"/>
        <w:ind w:left="720" w:hanging="720"/>
        <w:jc w:val="both"/>
        <w:rPr>
          <w:rFonts w:ascii="Times New Roman" w:eastAsia="Times New Roman" w:hAnsi="Times New Roman"/>
        </w:rPr>
      </w:pPr>
    </w:p>
    <w:p w14:paraId="734FFA9A" w14:textId="77777777" w:rsidR="003129FE" w:rsidRDefault="003129FE" w:rsidP="00345C8C">
      <w:pPr>
        <w:spacing w:after="220" w:line="240" w:lineRule="auto"/>
        <w:ind w:left="720" w:hanging="720"/>
        <w:jc w:val="both"/>
        <w:rPr>
          <w:rFonts w:ascii="Times New Roman" w:eastAsia="Times New Roman" w:hAnsi="Times New Roman"/>
        </w:rPr>
      </w:pPr>
    </w:p>
    <w:p w14:paraId="5E4DCA1F" w14:textId="77777777" w:rsidR="003129FE" w:rsidRDefault="003129FE" w:rsidP="00345C8C">
      <w:pPr>
        <w:spacing w:after="220" w:line="240" w:lineRule="auto"/>
        <w:ind w:left="720" w:hanging="720"/>
        <w:jc w:val="both"/>
        <w:rPr>
          <w:rFonts w:ascii="Times New Roman" w:eastAsia="Times New Roman" w:hAnsi="Times New Roman"/>
        </w:rPr>
      </w:pPr>
    </w:p>
    <w:p w14:paraId="695001EB" w14:textId="77777777" w:rsidR="003129FE" w:rsidRDefault="003129FE" w:rsidP="00345C8C">
      <w:pPr>
        <w:spacing w:after="220" w:line="240" w:lineRule="auto"/>
        <w:ind w:left="720" w:hanging="720"/>
        <w:jc w:val="both"/>
        <w:rPr>
          <w:rFonts w:ascii="Times New Roman" w:eastAsia="Times New Roman" w:hAnsi="Times New Roman"/>
        </w:rPr>
      </w:pPr>
    </w:p>
    <w:p w14:paraId="3D667B79" w14:textId="77777777" w:rsidR="003129FE" w:rsidRDefault="003129FE" w:rsidP="00345C8C">
      <w:pPr>
        <w:spacing w:after="220" w:line="240" w:lineRule="auto"/>
        <w:ind w:left="720" w:hanging="720"/>
        <w:jc w:val="both"/>
        <w:rPr>
          <w:rFonts w:ascii="Times New Roman" w:eastAsia="Times New Roman" w:hAnsi="Times New Roman"/>
        </w:rPr>
      </w:pPr>
    </w:p>
    <w:p w14:paraId="1F9BA867" w14:textId="77777777" w:rsidR="003129FE" w:rsidRDefault="003129FE" w:rsidP="00345C8C">
      <w:pPr>
        <w:spacing w:after="220" w:line="240" w:lineRule="auto"/>
        <w:ind w:left="720" w:hanging="720"/>
        <w:jc w:val="both"/>
        <w:rPr>
          <w:rFonts w:ascii="Times New Roman" w:eastAsia="Times New Roman" w:hAnsi="Times New Roman"/>
        </w:rPr>
      </w:pPr>
    </w:p>
    <w:p w14:paraId="319829EC" w14:textId="77777777" w:rsidR="003129FE" w:rsidRDefault="003129FE" w:rsidP="00345C8C">
      <w:pPr>
        <w:spacing w:after="220" w:line="240" w:lineRule="auto"/>
        <w:ind w:left="720" w:hanging="720"/>
        <w:jc w:val="both"/>
        <w:rPr>
          <w:rFonts w:ascii="Times New Roman" w:eastAsia="Times New Roman" w:hAnsi="Times New Roman"/>
        </w:rPr>
      </w:pPr>
    </w:p>
    <w:p w14:paraId="358D068C" w14:textId="77777777" w:rsidR="003129FE" w:rsidRDefault="003129FE" w:rsidP="00345C8C">
      <w:pPr>
        <w:spacing w:after="220" w:line="240" w:lineRule="auto"/>
        <w:ind w:left="720" w:hanging="720"/>
        <w:jc w:val="both"/>
        <w:rPr>
          <w:rFonts w:ascii="Times New Roman" w:eastAsia="Times New Roman" w:hAnsi="Times New Roman"/>
        </w:rPr>
      </w:pPr>
    </w:p>
    <w:p w14:paraId="7E40EB18" w14:textId="77777777" w:rsidR="003129FE" w:rsidRDefault="003129FE" w:rsidP="00345C8C">
      <w:pPr>
        <w:spacing w:after="220" w:line="240" w:lineRule="auto"/>
        <w:ind w:left="720" w:hanging="720"/>
        <w:jc w:val="both"/>
        <w:rPr>
          <w:rFonts w:ascii="Times New Roman" w:eastAsia="Times New Roman" w:hAnsi="Times New Roman"/>
        </w:rPr>
      </w:pPr>
    </w:p>
    <w:p w14:paraId="1B87E770" w14:textId="77777777" w:rsidR="003129FE" w:rsidRDefault="003129FE" w:rsidP="00345C8C">
      <w:pPr>
        <w:spacing w:after="220" w:line="240" w:lineRule="auto"/>
        <w:ind w:left="720" w:hanging="720"/>
        <w:jc w:val="both"/>
        <w:rPr>
          <w:rFonts w:ascii="Times New Roman" w:eastAsia="Times New Roman" w:hAnsi="Times New Roman"/>
        </w:rPr>
      </w:pPr>
    </w:p>
    <w:p w14:paraId="47C686EF" w14:textId="77777777" w:rsidR="003129FE" w:rsidRPr="00EB2BC3" w:rsidRDefault="003129FE" w:rsidP="004E4618">
      <w:pPr>
        <w:spacing w:after="220"/>
        <w:ind w:left="720"/>
        <w:rPr>
          <w:rFonts w:ascii="Times New Roman" w:eastAsia="Times New Roman" w:hAnsi="Times New Roman"/>
        </w:rPr>
      </w:pPr>
      <w:r>
        <w:rPr>
          <w:rFonts w:ascii="Times New Roman" w:eastAsia="Times New Roman" w:hAnsi="Times New Roman"/>
        </w:rPr>
        <w:lastRenderedPageBreak/>
        <w:t>8.</w:t>
      </w:r>
      <w:r>
        <w:rPr>
          <w:rFonts w:ascii="Times New Roman" w:eastAsia="Times New Roman" w:hAnsi="Times New Roman"/>
        </w:rPr>
        <w:tab/>
      </w:r>
      <w:r w:rsidRPr="00EB2BC3">
        <w:rPr>
          <w:rFonts w:ascii="Times New Roman" w:eastAsia="Times New Roman" w:hAnsi="Times New Roman"/>
        </w:rPr>
        <w:t>A safe harbor approach is permitted for CDHS reflection for those companies whose modeled hedge assets comprise only linear instruments not sensitive to implied volatility</w:t>
      </w:r>
      <w:r>
        <w:rPr>
          <w:rFonts w:ascii="Times New Roman" w:eastAsia="Times New Roman" w:hAnsi="Times New Roman"/>
        </w:rPr>
        <w:t xml:space="preserve">. </w:t>
      </w:r>
      <w:r w:rsidRPr="00EB2BC3">
        <w:rPr>
          <w:rFonts w:ascii="Times New Roman" w:eastAsia="Times New Roman" w:hAnsi="Times New Roman"/>
        </w:rPr>
        <w:t xml:space="preserve">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p>
    <w:p w14:paraId="26335119" w14:textId="77777777" w:rsidR="003129FE" w:rsidRDefault="003129FE" w:rsidP="00345C8C">
      <w:pPr>
        <w:spacing w:after="220" w:line="240" w:lineRule="auto"/>
        <w:ind w:left="720" w:hanging="720"/>
        <w:jc w:val="both"/>
        <w:rPr>
          <w:rFonts w:ascii="Times New Roman" w:eastAsia="Times New Roman" w:hAnsi="Times New Roman"/>
        </w:rPr>
      </w:pPr>
    </w:p>
    <w:p w14:paraId="19BAF07F" w14:textId="77777777" w:rsidR="003129FE" w:rsidRPr="00B25AA4" w:rsidRDefault="003129FE" w:rsidP="004E4618">
      <w:pPr>
        <w:spacing w:after="220" w:line="240" w:lineRule="auto"/>
        <w:jc w:val="both"/>
        <w:rPr>
          <w:rFonts w:ascii="Times New Roman" w:eastAsia="Times New Roman" w:hAnsi="Times New Roman"/>
        </w:rPr>
      </w:pPr>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r>
        <w:rPr>
          <w:rFonts w:ascii="Times New Roman" w:eastAsia="Times New Roman" w:hAnsi="Times New Roman"/>
        </w:rPr>
        <w:t>Considerations</w:t>
      </w:r>
      <w:r w:rsidRPr="00345C8C">
        <w:rPr>
          <w:rFonts w:ascii="Times New Roman" w:eastAsia="Times New Roman" w:hAnsi="Times New Roman"/>
        </w:rPr>
        <w:t xml:space="preserve"> for CTE</w:t>
      </w:r>
      <w:r>
        <w:rPr>
          <w:rFonts w:ascii="Times New Roman" w:eastAsia="Times New Roman" w:hAnsi="Times New Roman"/>
        </w:rPr>
        <w:t>70</w:t>
      </w:r>
      <w:r w:rsidRPr="00345C8C">
        <w:rPr>
          <w:rFonts w:ascii="Times New Roman" w:eastAsia="Times New Roman" w:hAnsi="Times New Roman"/>
        </w:rPr>
        <w:t xml:space="preserve"> (best efforts)</w:t>
      </w:r>
    </w:p>
    <w:p w14:paraId="33A8E565" w14:textId="77777777" w:rsidR="003129FE" w:rsidRDefault="003129FE" w:rsidP="004E4618">
      <w:pPr>
        <w:spacing w:after="220" w:line="240" w:lineRule="auto"/>
        <w:ind w:left="720"/>
        <w:jc w:val="both"/>
        <w:rPr>
          <w:rFonts w:ascii="Times New Roman" w:eastAsia="Times New Roman" w:hAnsi="Times New Roman"/>
        </w:rPr>
      </w:pPr>
      <w:r w:rsidRPr="00345C8C">
        <w:rPr>
          <w:rFonts w:ascii="Times New Roman" w:eastAsia="Times New Roman" w:hAnsi="Times New Roman"/>
        </w:rPr>
        <w:t xml:space="preserve">If the company is following a </w:t>
      </w:r>
      <w:r w:rsidRPr="0067200C">
        <w:rPr>
          <w:rFonts w:ascii="Times New Roman" w:eastAsia="Times New Roman" w:hAnsi="Times New Roman"/>
        </w:rPr>
        <w:t xml:space="preserve">CDHS, </w:t>
      </w:r>
      <w:r>
        <w:rPr>
          <w:rFonts w:ascii="Times New Roman" w:eastAsia="Times New Roman" w:hAnsi="Times New Roman"/>
        </w:rPr>
        <w:t xml:space="preserve">the </w:t>
      </w:r>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r w:rsidRPr="00E83AE7">
        <w:rPr>
          <w:rFonts w:ascii="Times New Roman" w:eastAsia="Times New Roman" w:hAnsi="Times New Roman"/>
        </w:rPr>
        <w:t xml:space="preserve"> shall be computed, and compared to the CTE</w:t>
      </w:r>
      <w:r>
        <w:rPr>
          <w:rFonts w:ascii="Times New Roman" w:eastAsia="Times New Roman" w:hAnsi="Times New Roman"/>
        </w:rPr>
        <w:t>70</w:t>
      </w:r>
      <w:r w:rsidRPr="00E83AE7">
        <w:rPr>
          <w:rFonts w:ascii="Times New Roman" w:eastAsia="Times New Roman" w:hAnsi="Times New Roman"/>
        </w:rPr>
        <w:t xml:space="preserve"> (best efforts) and to the CTE</w:t>
      </w:r>
      <w:r>
        <w:rPr>
          <w:rFonts w:ascii="Times New Roman" w:eastAsia="Times New Roman" w:hAnsi="Times New Roman"/>
        </w:rPr>
        <w:t>70</w:t>
      </w:r>
      <w:r w:rsidRPr="00E83AE7">
        <w:rPr>
          <w:rFonts w:ascii="Times New Roman" w:eastAsia="Times New Roman" w:hAnsi="Times New Roman"/>
        </w:rPr>
        <w:t xml:space="preserve"> (adjusted) values.  If the CTE</w:t>
      </w:r>
      <w:r>
        <w:rPr>
          <w:rFonts w:ascii="Times New Roman" w:eastAsia="Times New Roman" w:hAnsi="Times New Roman"/>
        </w:rPr>
        <w:t>70</w:t>
      </w:r>
      <w:r w:rsidRPr="00E83AE7">
        <w:rPr>
          <w:rFonts w:ascii="Times New Roman" w:eastAsia="Times New Roman" w:hAnsi="Times New Roman"/>
        </w:rPr>
        <w:t xml:space="preserve"> (best efforts) is below</w:t>
      </w:r>
      <w:r w:rsidRPr="00345C8C">
        <w:rPr>
          <w:rFonts w:ascii="Times New Roman" w:eastAsia="Times New Roman" w:hAnsi="Times New Roman"/>
        </w:rPr>
        <w:t xml:space="preserve"> both the fair value </w:t>
      </w:r>
      <w:r w:rsidRPr="00E83AE7">
        <w:rPr>
          <w:rFonts w:ascii="Times New Roman" w:eastAsia="Times New Roman" w:hAnsi="Times New Roman"/>
        </w:rPr>
        <w:t xml:space="preserve">and the CTE (adjusted) value, the company should be prepared to explain why that result is reasonable.  </w:t>
      </w:r>
    </w:p>
    <w:p w14:paraId="71752270" w14:textId="77777777" w:rsidR="003129FE" w:rsidRPr="00345C8C" w:rsidRDefault="003129FE" w:rsidP="004E4618">
      <w:pPr>
        <w:spacing w:after="220" w:line="240" w:lineRule="auto"/>
        <w:ind w:left="720"/>
        <w:jc w:val="both"/>
        <w:rPr>
          <w:rFonts w:ascii="Times New Roman" w:eastAsia="Times New Roman" w:hAnsi="Times New Roman"/>
        </w:rPr>
      </w:pPr>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r w:rsidRPr="00EB2BC3">
        <w:rPr>
          <w:rFonts w:ascii="Times New Roman" w:eastAsia="Times New Roman" w:hAnsi="Times New Roman"/>
        </w:rPr>
        <w:t>s and fair value calculations shall be done without requiring</w:t>
      </w:r>
      <w:r w:rsidRPr="00345C8C">
        <w:rPr>
          <w:rFonts w:ascii="Times New Roman" w:eastAsia="Times New Roman" w:hAnsi="Times New Roman"/>
        </w:rPr>
        <w:t xml:space="preserve"> the </w:t>
      </w:r>
      <w:r w:rsidRPr="00EB2BC3">
        <w:rPr>
          <w:rFonts w:ascii="Times New Roman" w:eastAsia="Times New Roman" w:hAnsi="Times New Roman"/>
        </w:rPr>
        <w:t xml:space="preserve">scenario </w:t>
      </w:r>
      <w:r>
        <w:rPr>
          <w:rFonts w:ascii="Times New Roman" w:eastAsia="Times New Roman" w:hAnsi="Times New Roman"/>
        </w:rPr>
        <w:t xml:space="preserve">reserve </w:t>
      </w:r>
      <w:r w:rsidRPr="00EB2BC3">
        <w:rPr>
          <w:rFonts w:ascii="Times New Roman" w:eastAsia="Times New Roman" w:hAnsi="Times New Roman"/>
        </w:rPr>
        <w:t>for any given scenario to be equal to or in excess of</w:t>
      </w:r>
      <w:r w:rsidRPr="00345C8C">
        <w:rPr>
          <w:rFonts w:ascii="Times New Roman" w:eastAsia="Times New Roman" w:hAnsi="Times New Roman"/>
        </w:rPr>
        <w:t xml:space="preserve"> the </w:t>
      </w:r>
      <w:r w:rsidRPr="00EB2BC3">
        <w:rPr>
          <w:rFonts w:ascii="Times New Roman" w:eastAsia="Times New Roman" w:hAnsi="Times New Roman"/>
        </w:rPr>
        <w:t xml:space="preserve">cash surrender value in aggregate </w:t>
      </w:r>
      <w:r>
        <w:rPr>
          <w:rFonts w:ascii="Times New Roman" w:eastAsia="Times New Roman" w:hAnsi="Times New Roman"/>
        </w:rPr>
        <w:t>for the group of contracts modeled in the projection.</w:t>
      </w:r>
    </w:p>
    <w:p w14:paraId="35B71F38" w14:textId="77777777" w:rsidR="003129FE" w:rsidRPr="00B25AA4" w:rsidRDefault="003129FE" w:rsidP="0021502F">
      <w:pPr>
        <w:spacing w:after="220" w:line="240" w:lineRule="auto"/>
        <w:ind w:left="720" w:hanging="720"/>
        <w:jc w:val="both"/>
        <w:rPr>
          <w:rFonts w:ascii="Times New Roman" w:eastAsia="Times New Roman" w:hAnsi="Times New Roman"/>
        </w:rPr>
      </w:pPr>
      <w:r>
        <w:rPr>
          <w:rFonts w:ascii="Times New Roman" w:eastAsia="Times New Roman" w:hAnsi="Times New Roman"/>
        </w:rPr>
        <w:t>E</w:t>
      </w:r>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4D357CFC" w14:textId="4AB252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purposes of reducing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the </w:t>
      </w:r>
      <w:r w:rsidRPr="004C7199">
        <w:rPr>
          <w:rFonts w:ascii="Times New Roman" w:eastAsia="Times New Roman" w:hAnsi="Times New Roman"/>
        </w:rPr>
        <w:t>company</w:t>
      </w:r>
      <w:r w:rsidRPr="00B25AA4">
        <w:rPr>
          <w:rFonts w:ascii="Times New Roman" w:eastAsia="Times New Roman" w:hAnsi="Times New Roman"/>
        </w:rPr>
        <w:t xml:space="preserve"> should review actual historical hedging effectiveness. The </w:t>
      </w:r>
      <w:r w:rsidRPr="004C7199">
        <w:rPr>
          <w:rFonts w:ascii="Times New Roman" w:eastAsia="Times New Roman" w:hAnsi="Times New Roman"/>
        </w:rPr>
        <w:t>company</w:t>
      </w:r>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Pr>
          <w:rFonts w:ascii="Times New Roman" w:eastAsia="Times New Roman" w:hAnsi="Times New Roman"/>
        </w:rPr>
        <w:t>a</w:t>
      </w:r>
      <w:r w:rsidRPr="00B25AA4">
        <w:rPr>
          <w:rFonts w:ascii="Times New Roman" w:eastAsia="Times New Roman" w:hAnsi="Times New Roman"/>
        </w:rPr>
        <w:t xml:space="preserve">nticipated </w:t>
      </w:r>
      <w:r>
        <w:rPr>
          <w:rFonts w:ascii="Times New Roman" w:eastAsia="Times New Roman" w:hAnsi="Times New Roman"/>
        </w:rPr>
        <w:t>e</w:t>
      </w:r>
      <w:r w:rsidRPr="00B25AA4">
        <w:rPr>
          <w:rFonts w:ascii="Times New Roman" w:eastAsia="Times New Roman" w:hAnsi="Times New Roman"/>
        </w:rPr>
        <w:t>xperience or adverse estimates of the parameters.</w:t>
      </w:r>
    </w:p>
    <w:p w14:paraId="1808C0FE" w14:textId="54EB5B99"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960FE5">
        <w:rPr>
          <w:rFonts w:ascii="Times New Roman" w:eastAsia="Times New Roman" w:hAnsi="Times New Roman"/>
        </w:rPr>
        <w:t xml:space="preserve"> </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960FE5">
        <w:rPr>
          <w:rFonts w:ascii="Times New Roman" w:eastAsia="Times New Roman" w:hAnsi="Times New Roman"/>
        </w:rPr>
        <w:t xml:space="preserve"> </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the </w:t>
      </w:r>
      <w:r w:rsidRPr="004C7199">
        <w:rPr>
          <w:rFonts w:ascii="Times New Roman" w:eastAsia="Times New Roman" w:hAnsi="Times New Roman"/>
        </w:rPr>
        <w:t>company</w:t>
      </w:r>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 xml:space="preserve"> strategy that has a strong dependence on acquiring hedging assets at specific times that depend </w:t>
      </w:r>
      <w:r w:rsidRPr="00B25AA4">
        <w:rPr>
          <w:rFonts w:ascii="Times New Roman" w:eastAsia="Times New Roman" w:hAnsi="Times New Roman"/>
        </w:rPr>
        <w:lastRenderedPageBreak/>
        <w:t>on specific values of an index or other market indicators may not be implemented as precisely as planned.</w:t>
      </w:r>
    </w:p>
    <w:p w14:paraId="1A30EE2A" w14:textId="316CDAD5"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The combination of elements of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w:t>
      </w:r>
      <w:r w:rsidRPr="00B25AA4">
        <w:rPr>
          <w:rFonts w:ascii="Times New Roman" w:eastAsia="Times New Roman" w:hAnsi="Times New Roman"/>
        </w:rPr>
        <w:t>including the initial actual market asset prices, prices for trading at future dates, transaction costs and other assumptions</w:t>
      </w:r>
      <w:r>
        <w:rPr>
          <w:rFonts w:ascii="Times New Roman" w:eastAsia="Times New Roman" w:hAnsi="Times New Roman"/>
        </w:rPr>
        <w:t>—</w:t>
      </w:r>
      <w:r w:rsidRPr="00B25AA4">
        <w:rPr>
          <w:rFonts w:ascii="Times New Roman" w:eastAsia="Times New Roman" w:hAnsi="Times New Roman"/>
        </w:rPr>
        <w:t xml:space="preserve">should be analyzed by the </w:t>
      </w:r>
      <w:r w:rsidRPr="004C7199">
        <w:rPr>
          <w:rFonts w:ascii="Times New Roman" w:eastAsia="Times New Roman" w:hAnsi="Times New Roman"/>
        </w:rPr>
        <w:t>company</w:t>
      </w:r>
      <w:r w:rsidRPr="00B25AA4">
        <w:rPr>
          <w:rFonts w:ascii="Times New Roman" w:eastAsia="Times New Roman" w:hAnsi="Times New Roman"/>
        </w:rPr>
        <w:t xml:space="preserve"> as to whether the stochastic cash</w:t>
      </w:r>
      <w:r>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622D9267" w14:textId="3813DB45" w:rsidR="003129FE" w:rsidRPr="00B25AA4" w:rsidRDefault="003129FE" w:rsidP="000E04EA">
      <w:pPr>
        <w:pStyle w:val="ListParagraph"/>
        <w:numPr>
          <w:ilvl w:val="2"/>
          <w:numId w:val="63"/>
        </w:numPr>
        <w:spacing w:after="220" w:line="240" w:lineRule="auto"/>
        <w:jc w:val="both"/>
        <w:rPr>
          <w:rFonts w:ascii="Times New Roman" w:eastAsia="Times New Roman" w:hAnsi="Times New Roman"/>
        </w:rPr>
      </w:pPr>
      <w:r w:rsidRPr="00B25AA4">
        <w:rPr>
          <w:rFonts w:ascii="Times New Roman" w:eastAsia="Times New Roman" w:hAnsi="Times New Roman"/>
        </w:rPr>
        <w:t>Hedging strategies with no initial investment that never lose money in any scenario and in some scenarios make money</w:t>
      </w:r>
      <w:r>
        <w:rPr>
          <w:rFonts w:ascii="Times New Roman" w:eastAsia="Times New Roman" w:hAnsi="Times New Roman"/>
        </w:rPr>
        <w:t>.</w:t>
      </w:r>
    </w:p>
    <w:p w14:paraId="09566EC2" w14:textId="6CCFC140" w:rsidR="003129FE" w:rsidRPr="00B25AA4" w:rsidRDefault="003129FE" w:rsidP="000E04EA">
      <w:pPr>
        <w:pStyle w:val="ListParagraph"/>
        <w:numPr>
          <w:ilvl w:val="2"/>
          <w:numId w:val="63"/>
        </w:numPr>
        <w:spacing w:after="220" w:line="240" w:lineRule="auto"/>
        <w:jc w:val="both"/>
        <w:rPr>
          <w:rFonts w:ascii="Times New Roman" w:eastAsia="Times New Roman" w:hAnsi="Times New Roman"/>
        </w:rPr>
      </w:pPr>
      <w:r w:rsidRPr="00B25AA4">
        <w:rPr>
          <w:rFonts w:ascii="Times New Roman" w:eastAsia="Times New Roman" w:hAnsi="Times New Roman"/>
        </w:rPr>
        <w:t>Hedging strategies that</w:t>
      </w:r>
      <w:r>
        <w:rPr>
          <w:rFonts w:ascii="Times New Roman" w:eastAsia="Times New Roman" w:hAnsi="Times New Roman"/>
        </w:rPr>
        <w:t>,</w:t>
      </w:r>
      <w:r w:rsidRPr="00B25AA4">
        <w:rPr>
          <w:rFonts w:ascii="Times New Roman" w:eastAsia="Times New Roman" w:hAnsi="Times New Roman"/>
        </w:rPr>
        <w:t xml:space="preserve"> with a given amount of initial money</w:t>
      </w:r>
      <w:r>
        <w:rPr>
          <w:rFonts w:ascii="Times New Roman" w:eastAsia="Times New Roman" w:hAnsi="Times New Roman"/>
        </w:rPr>
        <w:t>,</w:t>
      </w:r>
      <w:r w:rsidRPr="00B25AA4">
        <w:rPr>
          <w:rFonts w:ascii="Times New Roman" w:eastAsia="Times New Roman" w:hAnsi="Times New Roman"/>
        </w:rPr>
        <w:t xml:space="preserve"> never make less than accumulation at the one-period risk free rates in any scenario but make more than this in one or more scenarios.</w:t>
      </w:r>
    </w:p>
    <w:p w14:paraId="53E3CD2F" w14:textId="565318E2"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If the stochastic cash</w:t>
      </w:r>
      <w:r>
        <w:rPr>
          <w:rFonts w:ascii="Times New Roman" w:eastAsia="Times New Roman" w:hAnsi="Times New Roman"/>
        </w:rPr>
        <w:t>-</w:t>
      </w:r>
      <w:r w:rsidRPr="00B25AA4">
        <w:rPr>
          <w:rFonts w:ascii="Times New Roman" w:eastAsia="Times New Roman" w:hAnsi="Times New Roman"/>
        </w:rPr>
        <w:t xml:space="preserve">flow model allows for such situations, the </w:t>
      </w:r>
      <w:r w:rsidRPr="004C7199">
        <w:rPr>
          <w:rFonts w:ascii="Times New Roman" w:eastAsia="Times New Roman" w:hAnsi="Times New Roman"/>
        </w:rPr>
        <w:t>company</w:t>
      </w:r>
      <w:r w:rsidRPr="00B25AA4">
        <w:rPr>
          <w:rFonts w:ascii="Times New Roman" w:eastAsia="Times New Roman" w:hAnsi="Times New Roman"/>
        </w:rPr>
        <w:t xml:space="preserve"> should be satisfied that the results do not materially rely directly or indirectly on the use of such strategies. If the results do materially rely directly or indirectly on the use of such strategies, the strategies may not be used to reduce the </w:t>
      </w:r>
      <w:r>
        <w:rPr>
          <w:rFonts w:ascii="Times New Roman" w:eastAsia="Times New Roman" w:hAnsi="Times New Roman"/>
        </w:rPr>
        <w:t>s</w:t>
      </w:r>
      <w:r w:rsidRPr="004C7199">
        <w:rPr>
          <w:rFonts w:ascii="Times New Roman" w:eastAsia="Times New Roman" w:hAnsi="Times New Roman"/>
        </w:rPr>
        <w:t>tochastic reserve</w:t>
      </w:r>
      <w:r w:rsidRPr="00B25AA4">
        <w:rPr>
          <w:rFonts w:ascii="Times New Roman" w:eastAsia="Times New Roman" w:hAnsi="Times New Roman"/>
        </w:rPr>
        <w:t xml:space="preserve"> otherwise calculated.</w:t>
      </w:r>
    </w:p>
    <w:p w14:paraId="65437391" w14:textId="076E281B"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28054557" w:rsidR="003129FE" w:rsidRDefault="003129FE" w:rsidP="0021502F">
      <w:pPr>
        <w:spacing w:after="220" w:line="240" w:lineRule="auto"/>
        <w:ind w:left="720"/>
        <w:jc w:val="both"/>
        <w:rPr>
          <w:rFonts w:ascii="Times New Roman" w:eastAsia="Times New Roman" w:hAnsi="Times New Roman"/>
        </w:rPr>
      </w:pPr>
    </w:p>
    <w:p w14:paraId="102F469A" w14:textId="77777777" w:rsidR="003129FE" w:rsidRDefault="003129FE" w:rsidP="0021502F">
      <w:pPr>
        <w:spacing w:after="220" w:line="240" w:lineRule="auto"/>
        <w:ind w:left="720"/>
        <w:jc w:val="both"/>
        <w:rPr>
          <w:rFonts w:ascii="Times New Roman" w:eastAsia="Times New Roman" w:hAnsi="Times New Roman"/>
        </w:rPr>
      </w:pPr>
    </w:p>
    <w:p w14:paraId="00B440BD" w14:textId="77777777" w:rsidR="003129FE" w:rsidRDefault="003129FE">
      <w:pPr>
        <w:rPr>
          <w:rFonts w:ascii="Times New Roman" w:eastAsia="Times New Roman" w:hAnsi="Times New Roman"/>
        </w:rPr>
      </w:pPr>
      <w:r>
        <w:rPr>
          <w:rFonts w:ascii="Times New Roman" w:eastAsia="Times New Roman" w:hAnsi="Times New Roman"/>
        </w:rPr>
        <w:br w:type="page"/>
      </w:r>
    </w:p>
    <w:p w14:paraId="1E244E61" w14:textId="5B00755D" w:rsidR="003129FE" w:rsidRPr="00695430" w:rsidRDefault="003129FE" w:rsidP="000E04EA">
      <w:pPr>
        <w:pStyle w:val="Heading3"/>
        <w:spacing w:after="220"/>
        <w:jc w:val="left"/>
        <w:rPr>
          <w:sz w:val="22"/>
          <w:szCs w:val="22"/>
        </w:rPr>
      </w:pPr>
      <w:r w:rsidRPr="00695430">
        <w:rPr>
          <w:sz w:val="22"/>
          <w:szCs w:val="22"/>
        </w:rPr>
        <w:lastRenderedPageBreak/>
        <w:t>Section 1</w:t>
      </w:r>
      <w:r>
        <w:rPr>
          <w:sz w:val="22"/>
          <w:szCs w:val="22"/>
        </w:rPr>
        <w:t>0</w:t>
      </w:r>
      <w:r w:rsidRPr="00695430">
        <w:rPr>
          <w:sz w:val="22"/>
          <w:szCs w:val="22"/>
        </w:rPr>
        <w:t>: Contract</w:t>
      </w:r>
      <w:r w:rsidR="00960FE5">
        <w:rPr>
          <w:sz w:val="22"/>
          <w:szCs w:val="22"/>
        </w:rPr>
        <w:t xml:space="preserve"> </w:t>
      </w:r>
      <w:bookmarkStart w:id="19" w:name="_GoBack"/>
      <w:bookmarkEnd w:id="19"/>
      <w:r>
        <w:rPr>
          <w:sz w:val="22"/>
          <w:szCs w:val="22"/>
        </w:rPr>
        <w:t>H</w:t>
      </w:r>
      <w:r w:rsidRPr="00695430">
        <w:rPr>
          <w:sz w:val="22"/>
          <w:szCs w:val="22"/>
        </w:rPr>
        <w:t>older Behavior Assumptions</w:t>
      </w:r>
    </w:p>
    <w:p w14:paraId="71DFB029" w14:textId="77777777" w:rsidR="003129FE" w:rsidRPr="00695430" w:rsidRDefault="003129FE" w:rsidP="000E04EA">
      <w:pPr>
        <w:spacing w:after="220" w:line="240" w:lineRule="auto"/>
        <w:ind w:left="72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General</w:t>
      </w:r>
    </w:p>
    <w:p w14:paraId="2D7600D5" w14:textId="6210DF2C"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sidR="00960FE5">
        <w:rPr>
          <w:rFonts w:ascii="Times New Roman" w:eastAsia="Times New Roman" w:hAnsi="Times New Roman"/>
        </w:rPr>
        <w:t xml:space="preserve"> </w:t>
      </w:r>
      <w:r w:rsidRPr="00695430">
        <w:rPr>
          <w:rFonts w:ascii="Times New Roman" w:eastAsia="Times New Roman" w:hAnsi="Times New Roman"/>
        </w:rPr>
        <w:t>holder behavior assumptions encompass actions such as lapses, withdrawals, transfers, recurring deposits, benefit utilization, option election, etc. Contract</w:t>
      </w:r>
      <w:r w:rsidR="00960FE5">
        <w:rPr>
          <w:rFonts w:ascii="Times New Roman" w:eastAsia="Times New Roman" w:hAnsi="Times New Roman"/>
        </w:rPr>
        <w:t xml:space="preserve"> </w:t>
      </w:r>
      <w:r w:rsidRPr="00695430">
        <w:rPr>
          <w:rFonts w:ascii="Times New Roman" w:eastAsia="Times New Roman" w:hAnsi="Times New Roman"/>
        </w:rPr>
        <w:t>holder behavior is difficult to predict</w:t>
      </w:r>
      <w:r>
        <w:rPr>
          <w:rFonts w:ascii="Times New Roman" w:eastAsia="Times New Roman" w:hAnsi="Times New Roman"/>
        </w:rPr>
        <w:t xml:space="preserve"> accurately,</w:t>
      </w:r>
      <w:r w:rsidRPr="00695430">
        <w:rPr>
          <w:rFonts w:ascii="Times New Roman" w:eastAsia="Times New Roman" w:hAnsi="Times New Roman"/>
        </w:rPr>
        <w:t xml:space="preserve"> and </w:t>
      </w:r>
      <w:r>
        <w:rPr>
          <w:rFonts w:ascii="Times New Roman" w:eastAsia="Times New Roman" w:hAnsi="Times New Roman"/>
        </w:rPr>
        <w:t xml:space="preserve">variance in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r>
        <w:rPr>
          <w:rFonts w:ascii="Times New Roman" w:eastAsia="Times New Roman" w:hAnsi="Times New Roman"/>
        </w:rPr>
        <w:t>company</w:t>
      </w:r>
      <w:r w:rsidRPr="00695430">
        <w:rPr>
          <w:rFonts w:ascii="Times New Roman" w:eastAsia="Times New Roman" w:hAnsi="Times New Roman"/>
        </w:rPr>
        <w:t xml:space="preserve"> should set behavior assumptions </w:t>
      </w:r>
      <w:r>
        <w:rPr>
          <w:rFonts w:ascii="Times New Roman" w:eastAsia="Times New Roman" w:hAnsi="Times New Roman"/>
        </w:rPr>
        <w:t>as guided by Principle 3 in Section 1.B.</w:t>
      </w:r>
    </w:p>
    <w:p w14:paraId="230AA4DA" w14:textId="6589358D"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r>
        <w:rPr>
          <w:rFonts w:ascii="Times New Roman" w:eastAsia="Times New Roman" w:hAnsi="Times New Roman"/>
        </w:rPr>
        <w:t>company</w:t>
      </w:r>
      <w:r w:rsidRPr="00695430">
        <w:rPr>
          <w:rFonts w:ascii="Times New Roman" w:eastAsia="Times New Roman" w:hAnsi="Times New Roman"/>
        </w:rPr>
        <w:t xml:space="preserve"> should examine, but not be limited by, the following considerations:</w:t>
      </w:r>
    </w:p>
    <w:p w14:paraId="6A62FEE2"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can vary by product, market, distribution channel, fund performance, time/product duration, etc.</w:t>
      </w:r>
    </w:p>
    <w:p w14:paraId="72D90D13"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0BD77E1A" w14:textId="5BD85D8E"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Pr>
          <w:rFonts w:ascii="Times New Roman" w:eastAsia="Times New Roman" w:hAnsi="Times New Roman"/>
        </w:rPr>
        <w:t>Utilization of o</w:t>
      </w:r>
      <w:r w:rsidRPr="00695430">
        <w:rPr>
          <w:rFonts w:ascii="Times New Roman" w:eastAsia="Times New Roman" w:hAnsi="Times New Roman"/>
        </w:rPr>
        <w:t xml:space="preserve">ptions may be elective or non-elective in nature. Living benefits </w:t>
      </w:r>
      <w:r>
        <w:rPr>
          <w:rFonts w:ascii="Times New Roman" w:eastAsia="Times New Roman" w:hAnsi="Times New Roman"/>
        </w:rPr>
        <w:t>often are</w:t>
      </w:r>
      <w:r w:rsidRPr="00695430">
        <w:rPr>
          <w:rFonts w:ascii="Times New Roman" w:eastAsia="Times New Roman" w:hAnsi="Times New Roman"/>
        </w:rPr>
        <w:t xml:space="preserve"> elective</w:t>
      </w:r>
      <w:r>
        <w:rPr>
          <w:rFonts w:ascii="Times New Roman" w:eastAsia="Times New Roman" w:hAnsi="Times New Roman"/>
        </w:rPr>
        <w:t>,</w:t>
      </w:r>
      <w:r w:rsidRPr="00695430">
        <w:rPr>
          <w:rFonts w:ascii="Times New Roman" w:eastAsia="Times New Roman" w:hAnsi="Times New Roman"/>
        </w:rPr>
        <w:t xml:space="preserve"> and death benefit options are generally non-elective.</w:t>
      </w:r>
    </w:p>
    <w:p w14:paraId="650D6A02" w14:textId="2D9BDE02"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Elective contract</w:t>
      </w:r>
      <w:r w:rsidR="00960FE5">
        <w:rPr>
          <w:rFonts w:ascii="Times New Roman" w:eastAsia="Times New Roman" w:hAnsi="Times New Roman"/>
        </w:rPr>
        <w:t xml:space="preserve"> </w:t>
      </w:r>
      <w:r w:rsidRPr="00695430">
        <w:rPr>
          <w:rFonts w:ascii="Times New Roman" w:eastAsia="Times New Roman" w:hAnsi="Times New Roman"/>
        </w:rPr>
        <w:t>holder options may be more driven by economic conditions than non-elective options.</w:t>
      </w:r>
    </w:p>
    <w:p w14:paraId="4EA8C244"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r>
        <w:rPr>
          <w:rFonts w:ascii="Times New Roman" w:eastAsia="Times New Roman" w:hAnsi="Times New Roman"/>
        </w:rPr>
        <w:t xml:space="preserve">  </w:t>
      </w:r>
    </w:p>
    <w:p w14:paraId="3B3187FD" w14:textId="6616F0E2"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r w:rsidR="003C482A" w:rsidRPr="00695430">
        <w:rPr>
          <w:rFonts w:ascii="Times New Roman" w:eastAsia="Times New Roman" w:hAnsi="Times New Roman"/>
        </w:rPr>
        <w:t>dynamic,</w:t>
      </w:r>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sidR="00960FE5">
        <w:rPr>
          <w:rFonts w:ascii="Times New Roman" w:eastAsia="Times New Roman" w:hAnsi="Times New Roman"/>
        </w:rPr>
        <w:t xml:space="preserve"> </w:t>
      </w:r>
      <w:r w:rsidRPr="00695430">
        <w:rPr>
          <w:rFonts w:ascii="Times New Roman" w:eastAsia="Times New Roman" w:hAnsi="Times New Roman"/>
        </w:rPr>
        <w:t>holder behavior based on increased or decreased financial efficiency in exercising their contractual options.</w:t>
      </w:r>
    </w:p>
    <w:p w14:paraId="763AD437"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7F8D3B9"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6FDF0405"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59AA2D46" w14:textId="38DFD5B4"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proofErr w:type="gramStart"/>
      <w:r w:rsidRPr="00695430">
        <w:rPr>
          <w:rFonts w:ascii="Times New Roman" w:eastAsia="Times New Roman" w:hAnsi="Times New Roman"/>
        </w:rPr>
        <w:t>External influences,</w:t>
      </w:r>
      <w:proofErr w:type="gramEnd"/>
      <w:r w:rsidRPr="00695430">
        <w:rPr>
          <w:rFonts w:ascii="Times New Roman" w:eastAsia="Times New Roman" w:hAnsi="Times New Roman"/>
        </w:rPr>
        <w:t xml:space="preserve"> may </w:t>
      </w:r>
      <w:r>
        <w:rPr>
          <w:rFonts w:ascii="Times New Roman" w:eastAsia="Times New Roman" w:hAnsi="Times New Roman"/>
        </w:rPr>
        <w:t>affect</w:t>
      </w:r>
      <w:r w:rsidRPr="00695430">
        <w:rPr>
          <w:rFonts w:ascii="Times New Roman" w:eastAsia="Times New Roman" w:hAnsi="Times New Roman"/>
        </w:rPr>
        <w:t xml:space="preserve"> behavior.</w:t>
      </w:r>
    </w:p>
    <w:p w14:paraId="7097C133" w14:textId="77777777" w:rsidR="003129FE" w:rsidRPr="00695430" w:rsidRDefault="003129FE" w:rsidP="000E04EA">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08DBBB84" w14:textId="4594FB58" w:rsidR="003129FE" w:rsidRPr="00695430" w:rsidRDefault="003129FE" w:rsidP="000E04EA">
      <w:pPr>
        <w:spacing w:after="220" w:line="240" w:lineRule="auto"/>
        <w:ind w:left="1440" w:hanging="720"/>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assumptions are developed by applying a margin for uncertainty to the </w:t>
      </w:r>
      <w:r>
        <w:rPr>
          <w:rFonts w:ascii="Times New Roman" w:eastAsia="Times New Roman" w:hAnsi="Times New Roman"/>
        </w:rPr>
        <w:t>a</w:t>
      </w:r>
      <w:r w:rsidRPr="00695430">
        <w:rPr>
          <w:rFonts w:ascii="Times New Roman" w:eastAsia="Times New Roman" w:hAnsi="Times New Roman"/>
        </w:rPr>
        <w:t xml:space="preserve">nticipated </w:t>
      </w:r>
      <w:r>
        <w:rPr>
          <w:rFonts w:ascii="Times New Roman" w:eastAsia="Times New Roman" w:hAnsi="Times New Roman"/>
        </w:rPr>
        <w:t>e</w:t>
      </w:r>
      <w:r w:rsidRPr="00695430">
        <w:rPr>
          <w:rFonts w:ascii="Times New Roman" w:eastAsia="Times New Roman" w:hAnsi="Times New Roman"/>
        </w:rPr>
        <w:t xml:space="preserve">xperience assumption. The issue of whether the level of the margin applied to the </w:t>
      </w:r>
      <w:r>
        <w:rPr>
          <w:rFonts w:ascii="Times New Roman" w:eastAsia="Times New Roman" w:hAnsi="Times New Roman"/>
        </w:rPr>
        <w:t>a</w:t>
      </w:r>
      <w:r w:rsidRPr="00695430">
        <w:rPr>
          <w:rFonts w:ascii="Times New Roman" w:eastAsia="Times New Roman" w:hAnsi="Times New Roman"/>
        </w:rPr>
        <w:t xml:space="preserve">nticipated </w:t>
      </w:r>
      <w:r>
        <w:rPr>
          <w:rFonts w:ascii="Times New Roman" w:eastAsia="Times New Roman" w:hAnsi="Times New Roman"/>
        </w:rPr>
        <w:t>e</w:t>
      </w:r>
      <w:r w:rsidRPr="00695430">
        <w:rPr>
          <w:rFonts w:ascii="Times New Roman" w:eastAsia="Times New Roman" w:hAnsi="Times New Roman"/>
        </w:rPr>
        <w:t>xperience assumption is determined in aggregate or independently for each and every behavior assumption is discussed in Principle 3 in Section 1.B, which states:</w:t>
      </w:r>
    </w:p>
    <w:p w14:paraId="70B55F56" w14:textId="557F8738"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695430">
        <w:rPr>
          <w:rFonts w:ascii="Times New Roman" w:eastAsia="Times New Roman" w:hAnsi="Times New Roman"/>
        </w:rPr>
        <w:t xml:space="preserve">The choice of a conservative estimate for each assumption may result in a distorted measure of the total risk. Conceptually, the choice of assumptions and the modeling decisions should be made so </w:t>
      </w:r>
      <w:r w:rsidRPr="00695430">
        <w:rPr>
          <w:rFonts w:ascii="Times New Roman" w:eastAsia="Times New Roman" w:hAnsi="Times New Roman"/>
        </w:rPr>
        <w:lastRenderedPageBreak/>
        <w:t xml:space="preserve">that the final result approximates what would be obtained for </w:t>
      </w:r>
      <w:r w:rsidRPr="00412E6D">
        <w:rPr>
          <w:rFonts w:ascii="Times New Roman" w:eastAsia="Times New Roman" w:hAnsi="Times New Roman"/>
        </w:rPr>
        <w:t xml:space="preserve">the </w:t>
      </w:r>
      <w:r>
        <w:rPr>
          <w:rFonts w:ascii="Times New Roman" w:eastAsia="Times New Roman" w:hAnsi="Times New Roman"/>
        </w:rPr>
        <w:t>s</w:t>
      </w:r>
      <w:r w:rsidRPr="00412E6D">
        <w:rPr>
          <w:rFonts w:ascii="Times New Roman" w:eastAsia="Times New Roman" w:hAnsi="Times New Roman"/>
        </w:rPr>
        <w:t xml:space="preserve">tochastic reserve at the required CTE level if it were possible to calculate results over the joint distribution of all future outcomes. In applying this concept to the actual calculation of the </w:t>
      </w:r>
      <w:r>
        <w:rPr>
          <w:rFonts w:ascii="Times New Roman" w:eastAsia="Times New Roman" w:hAnsi="Times New Roman"/>
        </w:rPr>
        <w:t>s</w:t>
      </w:r>
      <w:r w:rsidRPr="00412E6D">
        <w:rPr>
          <w:rFonts w:ascii="Times New Roman" w:eastAsia="Times New Roman" w:hAnsi="Times New Roman"/>
        </w:rPr>
        <w:t>tochastic</w:t>
      </w:r>
      <w:r>
        <w:rPr>
          <w:rFonts w:ascii="Times New Roman" w:eastAsia="Times New Roman" w:hAnsi="Times New Roman"/>
        </w:rPr>
        <w:t xml:space="preserve"> reserve</w:t>
      </w:r>
      <w:r w:rsidRPr="00695430">
        <w:rPr>
          <w:rFonts w:ascii="Times New Roman" w:eastAsia="Times New Roman" w:hAnsi="Times New Roman"/>
        </w:rPr>
        <w:t xml:space="preserve">, the </w:t>
      </w:r>
      <w:r>
        <w:rPr>
          <w:rFonts w:ascii="Times New Roman" w:eastAsia="Times New Roman" w:hAnsi="Times New Roman"/>
        </w:rPr>
        <w:t>company</w:t>
      </w:r>
      <w:r w:rsidRPr="00695430">
        <w:rPr>
          <w:rFonts w:ascii="Times New Roman" w:eastAsia="Times New Roman" w:hAnsi="Times New Roman"/>
        </w:rPr>
        <w:t xml:space="preserve"> should be guided by evolving practice and expanding knowledge base in the measurement and management of risk.</w:t>
      </w:r>
    </w:p>
    <w:p w14:paraId="791762C5" w14:textId="77777777"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695430">
        <w:rPr>
          <w:rFonts w:ascii="Times New Roman" w:eastAsia="Times New Roman" w:hAnsi="Times New Roman"/>
        </w:rPr>
        <w:t xml:space="preserve">Although this </w:t>
      </w:r>
      <w:r>
        <w:rPr>
          <w:rFonts w:ascii="Times New Roman" w:eastAsia="Times New Roman" w:hAnsi="Times New Roman"/>
        </w:rPr>
        <w:t>p</w:t>
      </w:r>
      <w:r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11351B93" w14:textId="1A91B8D3"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695430">
        <w:rPr>
          <w:rFonts w:ascii="Times New Roman" w:eastAsia="Times New Roman" w:hAnsi="Times New Roman"/>
        </w:rPr>
        <w:t xml:space="preserve">Therefore, the </w:t>
      </w:r>
      <w:r>
        <w:rPr>
          <w:rFonts w:ascii="Times New Roman" w:eastAsia="Times New Roman" w:hAnsi="Times New Roman"/>
        </w:rPr>
        <w:t>company</w:t>
      </w:r>
      <w:r w:rsidRPr="00695430">
        <w:rPr>
          <w:rFonts w:ascii="Times New Roman" w:eastAsia="Times New Roman" w:hAnsi="Times New Roman"/>
        </w:rPr>
        <w:t xml:space="preserve"> shall determine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assumptions independently for each behavior (e.g., mortality lapses and benefit utilization), using the requirements and guidance in this </w:t>
      </w:r>
      <w:r>
        <w:rPr>
          <w:rFonts w:ascii="Times New Roman" w:eastAsia="Times New Roman" w:hAnsi="Times New Roman"/>
        </w:rPr>
        <w:t>s</w:t>
      </w:r>
      <w:r w:rsidRPr="00695430">
        <w:rPr>
          <w:rFonts w:ascii="Times New Roman" w:eastAsia="Times New Roman" w:hAnsi="Times New Roman"/>
        </w:rPr>
        <w:t xml:space="preserve">ection and throughout these requirements, unless the </w:t>
      </w:r>
      <w:r>
        <w:rPr>
          <w:rFonts w:ascii="Times New Roman" w:eastAsia="Times New Roman" w:hAnsi="Times New Roman"/>
        </w:rPr>
        <w:t>company</w:t>
      </w:r>
      <w:r w:rsidRPr="00695430">
        <w:rPr>
          <w:rFonts w:ascii="Times New Roman" w:eastAsia="Times New Roman" w:hAnsi="Times New Roman"/>
        </w:rPr>
        <w:t xml:space="preserve"> can demonstrate that an appropriate method was used to determine the level of margin in aggregate for two or more behaviors.</w:t>
      </w:r>
    </w:p>
    <w:p w14:paraId="3D6FA18E"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7E95A58A" w14:textId="4AE8FF82"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r>
        <w:rPr>
          <w:rFonts w:ascii="Times New Roman" w:eastAsia="Times New Roman" w:hAnsi="Times New Roman"/>
        </w:rPr>
        <w:t>compan</w:t>
      </w:r>
      <w:r w:rsidRPr="00695430">
        <w:rPr>
          <w:rFonts w:ascii="Times New Roman" w:eastAsia="Times New Roman" w:hAnsi="Times New Roman"/>
        </w:rPr>
        <w:t xml:space="preserve">y should apply more caution in setting assumptions for behaviors where testing suggests that stochastic modeling results are sensitive to small changes in such assumptions. For such sensitive behaviors, the </w:t>
      </w:r>
      <w:r>
        <w:rPr>
          <w:rFonts w:ascii="Times New Roman" w:eastAsia="Times New Roman" w:hAnsi="Times New Roman"/>
        </w:rPr>
        <w:t>company</w:t>
      </w:r>
      <w:r w:rsidRPr="00695430">
        <w:rPr>
          <w:rFonts w:ascii="Times New Roman" w:eastAsia="Times New Roman" w:hAnsi="Times New Roman"/>
        </w:rPr>
        <w:t xml:space="preserve"> shall use higher margins when the underlying experience is less than fully relevant and credible.</w:t>
      </w:r>
    </w:p>
    <w:p w14:paraId="4DFCA0FC"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FB8B524" w14:textId="11F8D50D"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695430">
        <w:rPr>
          <w:rFonts w:ascii="Times New Roman" w:eastAsia="Times New Roman" w:hAnsi="Times New Roman"/>
        </w:rPr>
        <w:t xml:space="preserve">Within materiality considerations, the </w:t>
      </w:r>
      <w:r>
        <w:rPr>
          <w:rFonts w:ascii="Times New Roman" w:eastAsia="Times New Roman" w:hAnsi="Times New Roman"/>
        </w:rPr>
        <w:t>company</w:t>
      </w:r>
      <w:r w:rsidRPr="00695430">
        <w:rPr>
          <w:rFonts w:ascii="Times New Roman" w:eastAsia="Times New Roman" w:hAnsi="Times New Roman"/>
        </w:rPr>
        <w:t xml:space="preserve"> should consider all relevant forms of contract</w:t>
      </w:r>
      <w:r w:rsidR="00960FE5">
        <w:rPr>
          <w:rFonts w:ascii="Times New Roman" w:eastAsia="Times New Roman" w:hAnsi="Times New Roman"/>
        </w:rPr>
        <w:t xml:space="preserve"> </w:t>
      </w:r>
      <w:r w:rsidRPr="00695430">
        <w:rPr>
          <w:rFonts w:ascii="Times New Roman" w:eastAsia="Times New Roman" w:hAnsi="Times New Roman"/>
        </w:rPr>
        <w:t>holder behavior and persistency, including</w:t>
      </w:r>
      <w:r>
        <w:rPr>
          <w:rFonts w:ascii="Times New Roman" w:eastAsia="Times New Roman" w:hAnsi="Times New Roman"/>
        </w:rPr>
        <w:t>,</w:t>
      </w:r>
      <w:r w:rsidRPr="00695430">
        <w:rPr>
          <w:rFonts w:ascii="Times New Roman" w:eastAsia="Times New Roman" w:hAnsi="Times New Roman"/>
        </w:rPr>
        <w:t xml:space="preserve"> but not limited to</w:t>
      </w:r>
      <w:r>
        <w:rPr>
          <w:rFonts w:ascii="Times New Roman" w:eastAsia="Times New Roman" w:hAnsi="Times New Roman"/>
        </w:rPr>
        <w:t>,</w:t>
      </w:r>
      <w:r w:rsidRPr="00695430">
        <w:rPr>
          <w:rFonts w:ascii="Times New Roman" w:eastAsia="Times New Roman" w:hAnsi="Times New Roman"/>
        </w:rPr>
        <w:t xml:space="preserve"> the following:</w:t>
      </w:r>
    </w:p>
    <w:p w14:paraId="1C0A1EDD" w14:textId="5A57420F"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Section 1</w:t>
      </w:r>
      <w:r>
        <w:rPr>
          <w:rFonts w:ascii="Times New Roman" w:eastAsia="Times New Roman" w:hAnsi="Times New Roman"/>
        </w:rPr>
        <w:t>1</w:t>
      </w:r>
      <w:r w:rsidRPr="00982EE1">
        <w:rPr>
          <w:rFonts w:ascii="Times New Roman" w:eastAsia="Times New Roman" w:hAnsi="Times New Roman"/>
        </w:rPr>
        <w:t>).</w:t>
      </w:r>
    </w:p>
    <w:p w14:paraId="4B4ED6A2"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Surrenders</w:t>
      </w:r>
      <w:r>
        <w:rPr>
          <w:rFonts w:ascii="Times New Roman" w:eastAsia="Times New Roman" w:hAnsi="Times New Roman"/>
        </w:rPr>
        <w:t>.</w:t>
      </w:r>
    </w:p>
    <w:p w14:paraId="2A8CD03B"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771D36EE"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36D13DF3"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144265ED"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524CF5FC" w14:textId="77777777"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r>
      <w:r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6D85A9EC"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608E287E"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 xml:space="preserve">3. </w:t>
      </w:r>
      <w:r>
        <w:rPr>
          <w:rFonts w:ascii="Times New Roman" w:eastAsia="Times New Roman" w:hAnsi="Times New Roman"/>
        </w:rPr>
        <w:tab/>
      </w:r>
      <w:r w:rsidRPr="00695430">
        <w:rPr>
          <w:rFonts w:ascii="Times New Roman" w:eastAsia="Times New Roman" w:hAnsi="Times New Roman"/>
        </w:rPr>
        <w:t xml:space="preserve">However, the </w:t>
      </w:r>
      <w:r>
        <w:rPr>
          <w:rFonts w:ascii="Times New Roman" w:eastAsia="Times New Roman" w:hAnsi="Times New Roman"/>
        </w:rPr>
        <w:t>company</w:t>
      </w:r>
      <w:r w:rsidRPr="00695430">
        <w:rPr>
          <w:rFonts w:ascii="Times New Roman" w:eastAsia="Times New Roman" w:hAnsi="Times New Roman"/>
        </w:rPr>
        <w:t xml:space="preserve">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CA4936B"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r>
      <w:r w:rsidRPr="00695430">
        <w:rPr>
          <w:rFonts w:ascii="Times New Roman" w:eastAsia="Times New Roman" w:hAnsi="Times New Roman"/>
        </w:rPr>
        <w:t>Normally, the underlying model assumptions would differ according to the attributes of the contract being valued. This would typically mean that contract</w:t>
      </w:r>
      <w:r w:rsidR="00960FE5">
        <w:rPr>
          <w:rFonts w:ascii="Times New Roman" w:eastAsia="Times New Roman" w:hAnsi="Times New Roman"/>
        </w:rPr>
        <w:t xml:space="preserve"> </w:t>
      </w:r>
      <w:r w:rsidRPr="00695430">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Gender</w:t>
      </w:r>
      <w:r>
        <w:rPr>
          <w:rFonts w:ascii="Times New Roman" w:eastAsia="Times New Roman" w:hAnsi="Times New Roman"/>
        </w:rPr>
        <w:t>.</w:t>
      </w:r>
    </w:p>
    <w:p w14:paraId="3A3449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Attained age</w:t>
      </w:r>
      <w:r>
        <w:rPr>
          <w:rFonts w:ascii="Times New Roman" w:eastAsia="Times New Roman" w:hAnsi="Times New Roman"/>
        </w:rPr>
        <w:t>.</w:t>
      </w:r>
    </w:p>
    <w:p w14:paraId="03075B7C"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Issue age</w:t>
      </w:r>
      <w:r>
        <w:rPr>
          <w:rFonts w:ascii="Times New Roman" w:eastAsia="Times New Roman" w:hAnsi="Times New Roman"/>
        </w:rPr>
        <w:t>.</w:t>
      </w:r>
    </w:p>
    <w:p w14:paraId="4C4D5F17"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Contract duration</w:t>
      </w:r>
      <w:r>
        <w:rPr>
          <w:rFonts w:ascii="Times New Roman" w:eastAsia="Times New Roman" w:hAnsi="Times New Roman"/>
        </w:rPr>
        <w:t>.</w:t>
      </w:r>
    </w:p>
    <w:p w14:paraId="4F45D44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Time to maturity</w:t>
      </w:r>
      <w:r>
        <w:rPr>
          <w:rFonts w:ascii="Times New Roman" w:eastAsia="Times New Roman" w:hAnsi="Times New Roman"/>
        </w:rPr>
        <w:t>.</w:t>
      </w:r>
    </w:p>
    <w:p w14:paraId="44EE110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Tax status</w:t>
      </w:r>
      <w:r>
        <w:rPr>
          <w:rFonts w:ascii="Times New Roman" w:eastAsia="Times New Roman" w:hAnsi="Times New Roman"/>
        </w:rPr>
        <w:t>.</w:t>
      </w:r>
    </w:p>
    <w:p w14:paraId="7C10BD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Fund value</w:t>
      </w:r>
      <w:r>
        <w:rPr>
          <w:rFonts w:ascii="Times New Roman" w:eastAsia="Times New Roman" w:hAnsi="Times New Roman"/>
        </w:rPr>
        <w:t>.</w:t>
      </w:r>
    </w:p>
    <w:p w14:paraId="2955A1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Investment option</w:t>
      </w:r>
      <w:r>
        <w:rPr>
          <w:rFonts w:ascii="Times New Roman" w:eastAsia="Times New Roman" w:hAnsi="Times New Roman"/>
        </w:rPr>
        <w:t>.</w:t>
      </w:r>
    </w:p>
    <w:p w14:paraId="552CF7EF"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Guaranteed benefit amounts</w:t>
      </w:r>
      <w:r>
        <w:rPr>
          <w:rFonts w:ascii="Times New Roman" w:eastAsia="Times New Roman" w:hAnsi="Times New Roman"/>
        </w:rPr>
        <w:t>.</w:t>
      </w:r>
    </w:p>
    <w:p w14:paraId="39306A16"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116294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Distribution channel</w:t>
      </w:r>
      <w:r>
        <w:rPr>
          <w:rFonts w:ascii="Times New Roman" w:eastAsia="Times New Roman" w:hAnsi="Times New Roman"/>
        </w:rPr>
        <w:t>.</w:t>
      </w:r>
    </w:p>
    <w:p w14:paraId="0DF348E7" w14:textId="4A689819" w:rsidR="003129FE" w:rsidRPr="00695430" w:rsidRDefault="003129FE" w:rsidP="000E04EA">
      <w:pPr>
        <w:pStyle w:val="ListParagraph"/>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 xml:space="preserve">5. </w:t>
      </w:r>
      <w:r>
        <w:rPr>
          <w:rFonts w:ascii="Times New Roman" w:eastAsia="Times New Roman" w:hAnsi="Times New Roman"/>
        </w:rPr>
        <w:tab/>
      </w:r>
      <w:r w:rsidRPr="00695430">
        <w:rPr>
          <w:rFonts w:ascii="Times New Roman" w:eastAsia="Times New Roman" w:hAnsi="Times New Roman"/>
        </w:rPr>
        <w:t>Unless there is clear evidence to the contrary, behavior assumptions should be no less conservative than past experience. Margins for contract</w:t>
      </w:r>
      <w:r w:rsidR="00960FE5">
        <w:rPr>
          <w:rFonts w:ascii="Times New Roman" w:eastAsia="Times New Roman" w:hAnsi="Times New Roman"/>
        </w:rPr>
        <w:t xml:space="preserve"> </w:t>
      </w:r>
      <w:r w:rsidRPr="00695430">
        <w:rPr>
          <w:rFonts w:ascii="Times New Roman" w:eastAsia="Times New Roman" w:hAnsi="Times New Roman"/>
        </w:rPr>
        <w:t>holder behavior assumptions shall assume, without relevant and credible experience or clear evidence to the contrary, that contract</w:t>
      </w:r>
      <w:r w:rsidR="00960FE5">
        <w:rPr>
          <w:rFonts w:ascii="Times New Roman" w:eastAsia="Times New Roman" w:hAnsi="Times New Roman"/>
        </w:rPr>
        <w:t xml:space="preserve"> </w:t>
      </w:r>
      <w:r w:rsidRPr="00695430">
        <w:rPr>
          <w:rFonts w:ascii="Times New Roman" w:eastAsia="Times New Roman" w:hAnsi="Times New Roman"/>
        </w:rPr>
        <w:t>holders’ efficiency will increase over time.</w:t>
      </w:r>
    </w:p>
    <w:p w14:paraId="494083E2" w14:textId="75D0A05D"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6. </w:t>
      </w:r>
      <w:r>
        <w:rPr>
          <w:rFonts w:ascii="Times New Roman" w:eastAsia="Times New Roman" w:hAnsi="Times New Roman"/>
        </w:rPr>
        <w:tab/>
      </w:r>
      <w:r w:rsidRPr="00695430">
        <w:rPr>
          <w:rFonts w:ascii="Times New Roman" w:eastAsia="Times New Roman" w:hAnsi="Times New Roman"/>
        </w:rPr>
        <w:t>In determining contract</w:t>
      </w:r>
      <w:r w:rsidR="00960FE5">
        <w:rPr>
          <w:rFonts w:ascii="Times New Roman" w:eastAsia="Times New Roman" w:hAnsi="Times New Roman"/>
        </w:rPr>
        <w:t xml:space="preserve"> </w:t>
      </w:r>
      <w:r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r>
        <w:rPr>
          <w:rFonts w:ascii="Times New Roman" w:eastAsia="Times New Roman" w:hAnsi="Times New Roman"/>
        </w:rPr>
        <w:t>is</w:t>
      </w:r>
      <w:r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B105742" w14:textId="64759A23"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7. </w:t>
      </w:r>
      <w:r>
        <w:rPr>
          <w:rFonts w:ascii="Times New Roman" w:eastAsia="Times New Roman" w:hAnsi="Times New Roman"/>
        </w:rPr>
        <w:tab/>
      </w:r>
      <w:r w:rsidRPr="00695430">
        <w:rPr>
          <w:rFonts w:ascii="Times New Roman" w:eastAsia="Times New Roman" w:hAnsi="Times New Roman"/>
        </w:rPr>
        <w:t>Where relevant and fully credible empirical data do not exist for a given contract</w:t>
      </w:r>
      <w:r w:rsidR="00960FE5">
        <w:rPr>
          <w:rFonts w:ascii="Times New Roman" w:eastAsia="Times New Roman" w:hAnsi="Times New Roman"/>
        </w:rPr>
        <w:t xml:space="preserve"> </w:t>
      </w:r>
      <w:r w:rsidRPr="00695430">
        <w:rPr>
          <w:rFonts w:ascii="Times New Roman" w:eastAsia="Times New Roman" w:hAnsi="Times New Roman"/>
        </w:rPr>
        <w:t xml:space="preserve">holder behavior assumption, the </w:t>
      </w:r>
      <w:r>
        <w:rPr>
          <w:rFonts w:ascii="Times New Roman" w:eastAsia="Times New Roman" w:hAnsi="Times New Roman"/>
        </w:rPr>
        <w:t>compan</w:t>
      </w:r>
      <w:r w:rsidRPr="00695430">
        <w:rPr>
          <w:rFonts w:ascii="Times New Roman" w:eastAsia="Times New Roman" w:hAnsi="Times New Roman"/>
        </w:rPr>
        <w:t>y shall set the contract</w:t>
      </w:r>
      <w:r w:rsidR="00960FE5">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960FE5">
        <w:rPr>
          <w:rFonts w:ascii="Times New Roman" w:eastAsia="Times New Roman" w:hAnsi="Times New Roman"/>
        </w:rPr>
        <w:t xml:space="preserve"> </w:t>
      </w:r>
      <w:r w:rsidRPr="00695430">
        <w:rPr>
          <w:rFonts w:ascii="Times New Roman" w:eastAsia="Times New Roman" w:hAnsi="Times New Roman"/>
        </w:rPr>
        <w:t xml:space="preserve">holder behavior assumption is shifted towards the conservative end of the plausible range of expected experience that serves to increase the </w:t>
      </w:r>
      <w:r>
        <w:rPr>
          <w:rFonts w:ascii="Times New Roman" w:eastAsia="Times New Roman" w:hAnsi="Times New Roman"/>
        </w:rPr>
        <w:t>a</w:t>
      </w:r>
      <w:r w:rsidRPr="00695430">
        <w:rPr>
          <w:rFonts w:ascii="Times New Roman" w:eastAsia="Times New Roman" w:hAnsi="Times New Roman"/>
        </w:rPr>
        <w:t xml:space="preserve">ggregate </w:t>
      </w:r>
      <w:r>
        <w:rPr>
          <w:rFonts w:ascii="Times New Roman" w:eastAsia="Times New Roman" w:hAnsi="Times New Roman"/>
        </w:rPr>
        <w:t>r</w:t>
      </w:r>
      <w:r w:rsidRPr="00695430">
        <w:rPr>
          <w:rFonts w:ascii="Times New Roman" w:eastAsia="Times New Roman" w:hAnsi="Times New Roman"/>
        </w:rPr>
        <w:t xml:space="preserve">eserve. If there are no relevant data, the </w:t>
      </w:r>
      <w:r>
        <w:rPr>
          <w:rFonts w:ascii="Times New Roman" w:eastAsia="Times New Roman" w:hAnsi="Times New Roman"/>
        </w:rPr>
        <w:t>compan</w:t>
      </w:r>
      <w:r w:rsidRPr="00695430">
        <w:rPr>
          <w:rFonts w:ascii="Times New Roman" w:eastAsia="Times New Roman" w:hAnsi="Times New Roman"/>
        </w:rPr>
        <w:t>y shall set the contract</w:t>
      </w:r>
      <w:r w:rsidR="00960FE5">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960FE5">
        <w:rPr>
          <w:rFonts w:ascii="Times New Roman" w:eastAsia="Times New Roman" w:hAnsi="Times New Roman"/>
        </w:rPr>
        <w:t xml:space="preserve"> </w:t>
      </w:r>
      <w:r w:rsidRPr="00695430">
        <w:rPr>
          <w:rFonts w:ascii="Times New Roman" w:eastAsia="Times New Roman" w:hAnsi="Times New Roman"/>
        </w:rPr>
        <w:t xml:space="preserve">holder behavior assumption is at the conservative end of the range. Such adjustments shall be consistent with the definition of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with the </w:t>
      </w:r>
      <w:r>
        <w:rPr>
          <w:rFonts w:ascii="Times New Roman" w:eastAsia="Times New Roman" w:hAnsi="Times New Roman"/>
        </w:rPr>
        <w:t>p</w:t>
      </w:r>
      <w:r w:rsidRPr="00695430">
        <w:rPr>
          <w:rFonts w:ascii="Times New Roman" w:eastAsia="Times New Roman" w:hAnsi="Times New Roman"/>
        </w:rPr>
        <w:t xml:space="preserve">rinciples described in Section 1.B, and with the guidance and requirements in this </w:t>
      </w:r>
      <w:r>
        <w:rPr>
          <w:rFonts w:ascii="Times New Roman" w:eastAsia="Times New Roman" w:hAnsi="Times New Roman"/>
        </w:rPr>
        <w:t>s</w:t>
      </w:r>
      <w:r w:rsidRPr="00695430">
        <w:rPr>
          <w:rFonts w:ascii="Times New Roman" w:eastAsia="Times New Roman" w:hAnsi="Times New Roman"/>
        </w:rPr>
        <w:t>ection.</w:t>
      </w:r>
    </w:p>
    <w:p w14:paraId="4CF056DE" w14:textId="023BFF46"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8. </w:t>
      </w:r>
      <w:r>
        <w:rPr>
          <w:rFonts w:ascii="Times New Roman" w:eastAsia="Times New Roman" w:hAnsi="Times New Roman"/>
        </w:rPr>
        <w:tab/>
      </w:r>
      <w:r w:rsidRPr="00695430">
        <w:rPr>
          <w:rFonts w:ascii="Times New Roman" w:eastAsia="Times New Roman" w:hAnsi="Times New Roman"/>
        </w:rPr>
        <w:t>Ideally, contract</w:t>
      </w:r>
      <w:r w:rsidR="00960FE5">
        <w:rPr>
          <w:rFonts w:ascii="Times New Roman" w:eastAsia="Times New Roman" w:hAnsi="Times New Roman"/>
        </w:rPr>
        <w:t xml:space="preserve"> </w:t>
      </w:r>
      <w:r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960FE5">
        <w:rPr>
          <w:rFonts w:ascii="Times New Roman" w:eastAsia="Times New Roman" w:hAnsi="Times New Roman"/>
        </w:rPr>
        <w:t xml:space="preserve"> </w:t>
      </w:r>
      <w:r w:rsidRPr="00695430">
        <w:rPr>
          <w:rFonts w:ascii="Times New Roman" w:eastAsia="Times New Roman" w:hAnsi="Times New Roman"/>
        </w:rPr>
        <w:t>holder behavior should neither assume that all contract</w:t>
      </w:r>
      <w:r>
        <w:rPr>
          <w:rFonts w:ascii="Times New Roman" w:eastAsia="Times New Roman" w:hAnsi="Times New Roman"/>
        </w:rPr>
        <w:t xml:space="preserve"> </w:t>
      </w:r>
      <w:r w:rsidRPr="00695430">
        <w:rPr>
          <w:rFonts w:ascii="Times New Roman" w:eastAsia="Times New Roman" w:hAnsi="Times New Roman"/>
        </w:rPr>
        <w:t xml:space="preserve">holders act with 100% efficiency in a </w:t>
      </w:r>
      <w:r w:rsidRPr="00695430">
        <w:rPr>
          <w:rFonts w:ascii="Times New Roman" w:eastAsia="Times New Roman" w:hAnsi="Times New Roman"/>
        </w:rPr>
        <w:lastRenderedPageBreak/>
        <w:t>financially rational manner nor assume that contract</w:t>
      </w:r>
      <w:r>
        <w:rPr>
          <w:rFonts w:ascii="Times New Roman" w:eastAsia="Times New Roman" w:hAnsi="Times New Roman"/>
        </w:rPr>
        <w:t xml:space="preserve"> </w:t>
      </w:r>
      <w:r w:rsidRPr="00695430">
        <w:rPr>
          <w:rFonts w:ascii="Times New Roman" w:eastAsia="Times New Roman" w:hAnsi="Times New Roman"/>
        </w:rPr>
        <w:t>holders will always act irrationally.</w:t>
      </w:r>
      <w:r>
        <w:rPr>
          <w:rFonts w:ascii="Times New Roman" w:eastAsia="Times New Roman" w:hAnsi="Times New Roman"/>
        </w:rPr>
        <w:t xml:space="preserve">   These extreme assumptions may be used for modeling efficiency if the result is more conservative.</w:t>
      </w:r>
    </w:p>
    <w:p w14:paraId="3B415EF6" w14:textId="77777777" w:rsidR="003129FE" w:rsidRPr="00695430" w:rsidRDefault="003129FE" w:rsidP="004E4618">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55E4D4D0" w14:textId="77777777"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1BE70A8E"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The company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98CAE4D"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2DC2DEED"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27EF00A4" w14:textId="0B60DBA1" w:rsidR="003129FE"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832BBC" w:rsidRDefault="003129FE" w:rsidP="004E4618">
      <w:pPr>
        <w:pStyle w:val="ListParagraph"/>
        <w:spacing w:after="220" w:line="240" w:lineRule="auto"/>
        <w:ind w:left="1440" w:hanging="720"/>
        <w:jc w:val="both"/>
        <w:rPr>
          <w:rFonts w:ascii="Times New Roman" w:eastAsia="Times New Roman" w:hAnsi="Times New Roman"/>
        </w:rPr>
      </w:pPr>
    </w:p>
    <w:p w14:paraId="525CA11F"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469E065E"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37671166"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Rapidly changing interest rates.</w:t>
      </w:r>
    </w:p>
    <w:p w14:paraId="08135A50" w14:textId="1DD65781"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r>
      <w:r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r>
        <w:rPr>
          <w:rFonts w:ascii="Times New Roman" w:eastAsia="Times New Roman" w:hAnsi="Times New Roman"/>
        </w:rPr>
        <w:t>company</w:t>
      </w:r>
      <w:r w:rsidRPr="00695430">
        <w:rPr>
          <w:rFonts w:ascii="Times New Roman" w:eastAsia="Times New Roman" w:hAnsi="Times New Roman"/>
        </w:rPr>
        <w:t xml:space="preserve">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6410D77A"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Represent plausible outcomes</w:t>
      </w:r>
      <w:r>
        <w:rPr>
          <w:rFonts w:ascii="Times New Roman" w:eastAsia="Times New Roman" w:hAnsi="Times New Roman"/>
        </w:rPr>
        <w:t>.</w:t>
      </w:r>
    </w:p>
    <w:p w14:paraId="75273F41"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Lead to appropriate, but not excessive, asset requirements.</w:t>
      </w:r>
    </w:p>
    <w:p w14:paraId="7DB29BF1" w14:textId="42E7A330"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r>
      <w:r w:rsidRPr="00695430">
        <w:rPr>
          <w:rFonts w:ascii="Times New Roman" w:eastAsia="Times New Roman" w:hAnsi="Times New Roman"/>
        </w:rPr>
        <w:t xml:space="preserve">The </w:t>
      </w:r>
      <w:r>
        <w:rPr>
          <w:rFonts w:ascii="Times New Roman" w:eastAsia="Times New Roman" w:hAnsi="Times New Roman"/>
        </w:rPr>
        <w:t>compan</w:t>
      </w:r>
      <w:r w:rsidRPr="00695430">
        <w:rPr>
          <w:rFonts w:ascii="Times New Roman" w:eastAsia="Times New Roman" w:hAnsi="Times New Roman"/>
        </w:rPr>
        <w:t>y should remember that the continuum of “plausibility” should not be confined or constrained to the outcomes and events exhibited by historic experience.</w:t>
      </w:r>
    </w:p>
    <w:p w14:paraId="48156C27" w14:textId="2F3752AF" w:rsidR="003129FE" w:rsidRPr="00695430" w:rsidRDefault="003129FE" w:rsidP="000E04EA">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 xml:space="preserve">5. </w:t>
      </w:r>
      <w:r>
        <w:rPr>
          <w:rFonts w:ascii="Times New Roman" w:eastAsia="Times New Roman" w:hAnsi="Times New Roman"/>
        </w:rPr>
        <w:tab/>
      </w:r>
      <w:r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960FE5">
        <w:rPr>
          <w:rFonts w:ascii="Times New Roman" w:eastAsia="Times New Roman" w:hAnsi="Times New Roman"/>
        </w:rPr>
        <w:t xml:space="preserve"> </w:t>
      </w:r>
      <w:r w:rsidRPr="00695430">
        <w:rPr>
          <w:rFonts w:ascii="Times New Roman" w:eastAsia="Times New Roman" w:hAnsi="Times New Roman"/>
        </w:rPr>
        <w:t>holder behavior.</w:t>
      </w:r>
    </w:p>
    <w:p w14:paraId="78E2FAE4" w14:textId="77777777" w:rsidR="003129FE" w:rsidRPr="00695430" w:rsidRDefault="003129FE" w:rsidP="004E4618">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36BFFE28" w14:textId="4B6C5289"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r>
        <w:rPr>
          <w:rFonts w:ascii="Times New Roman" w:eastAsia="Times New Roman" w:hAnsi="Times New Roman"/>
        </w:rPr>
        <w:t>.</w:t>
      </w:r>
      <w:r w:rsidRPr="00695430">
        <w:rPr>
          <w:rFonts w:ascii="Times New Roman" w:eastAsia="Times New Roman" w:hAnsi="Times New Roman"/>
        </w:rPr>
        <w:t xml:space="preserve"> </w:t>
      </w:r>
    </w:p>
    <w:p w14:paraId="5D574D97" w14:textId="75C3FC38" w:rsidR="003129FE" w:rsidRDefault="003129FE">
      <w:pPr>
        <w:spacing w:after="0" w:line="240" w:lineRule="auto"/>
        <w:rPr>
          <w:rFonts w:ascii="Times New Roman" w:eastAsia="Times New Roman" w:hAnsi="Times New Roman"/>
          <w:b/>
        </w:rPr>
      </w:pPr>
      <w:r>
        <w:br w:type="page"/>
      </w:r>
    </w:p>
    <w:p w14:paraId="794879FC" w14:textId="2E9E26DA" w:rsidR="003129FE" w:rsidRPr="006B31AC" w:rsidRDefault="003129FE" w:rsidP="004E4618">
      <w:pPr>
        <w:pStyle w:val="Heading3"/>
        <w:spacing w:after="220"/>
        <w:jc w:val="left"/>
        <w:rPr>
          <w:sz w:val="22"/>
          <w:szCs w:val="22"/>
        </w:rPr>
      </w:pPr>
      <w:r w:rsidRPr="006B31AC">
        <w:rPr>
          <w:sz w:val="22"/>
          <w:szCs w:val="22"/>
        </w:rPr>
        <w:lastRenderedPageBreak/>
        <w:t>Section 1</w:t>
      </w:r>
      <w:r>
        <w:rPr>
          <w:sz w:val="22"/>
          <w:szCs w:val="22"/>
        </w:rPr>
        <w:t xml:space="preserve">1: </w:t>
      </w:r>
      <w:r w:rsidRPr="006B31AC">
        <w:rPr>
          <w:sz w:val="22"/>
          <w:szCs w:val="22"/>
        </w:rPr>
        <w:t>Specific Guidance and Requirements for Setting Prudent Estimate Mortality Assumptions</w:t>
      </w:r>
    </w:p>
    <w:p w14:paraId="6C7CBA78"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080A8C9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17C09EEE" w14:textId="6DE3F8BB"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for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the </w:t>
      </w:r>
      <w:r>
        <w:rPr>
          <w:rFonts w:ascii="Times New Roman" w:eastAsia="Times New Roman" w:hAnsi="Times New Roman"/>
        </w:rPr>
        <w:t>either the stochastic reserve</w:t>
      </w:r>
      <w:r w:rsidRPr="006B31AC">
        <w:rPr>
          <w:rFonts w:ascii="Times New Roman" w:eastAsia="Times New Roman" w:hAnsi="Times New Roman"/>
        </w:rPr>
        <w:t xml:space="preserve"> or the Alternative Methodology.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 xml:space="preserve">here more than one approach to appropriate actuarial practice exists, the </w:t>
      </w:r>
      <w:r>
        <w:rPr>
          <w:rFonts w:ascii="Times New Roman" w:eastAsia="Times New Roman" w:hAnsi="Times New Roman"/>
        </w:rPr>
        <w:t>company</w:t>
      </w:r>
      <w:r w:rsidRPr="006B31AC">
        <w:rPr>
          <w:rFonts w:ascii="Times New Roman" w:eastAsia="Times New Roman" w:hAnsi="Times New Roman"/>
        </w:rPr>
        <w:t xml:space="preserve"> should select the practice that the </w:t>
      </w:r>
      <w:r>
        <w:rPr>
          <w:rFonts w:ascii="Times New Roman" w:eastAsia="Times New Roman" w:hAnsi="Times New Roman"/>
        </w:rPr>
        <w:t>company</w:t>
      </w:r>
      <w:r w:rsidRPr="006B31AC">
        <w:rPr>
          <w:rFonts w:ascii="Times New Roman" w:eastAsia="Times New Roman" w:hAnsi="Times New Roman"/>
        </w:rPr>
        <w:t xml:space="preserve">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539DBFA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65CEC73B" w14:textId="2E6BB10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are determined by first developing expected mortality curves based on either available experience or published tables. Where necessary, margins are applied to the experience to reflect data uncertainty. The expected mortality curves are then adjusted based on the credibility of the experience used to determine the expected mortality curve. Section </w:t>
      </w:r>
      <w:r w:rsidR="00C82945">
        <w:rPr>
          <w:rFonts w:ascii="Times New Roman" w:eastAsia="Times New Roman" w:hAnsi="Times New Roman"/>
        </w:rPr>
        <w:t>11.</w:t>
      </w:r>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r w:rsidR="00DA1604">
        <w:rPr>
          <w:rFonts w:ascii="Times New Roman" w:eastAsia="Times New Roman" w:hAnsi="Times New Roman"/>
        </w:rPr>
        <w:t>11</w:t>
      </w:r>
      <w:r>
        <w:rPr>
          <w:rFonts w:ascii="Times New Roman" w:eastAsia="Times New Roman" w:hAnsi="Times New Roman"/>
        </w:rPr>
        <w:t>.</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48BE008B" w14:textId="74734CA1"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sidR="00C82945">
        <w:rPr>
          <w:rFonts w:ascii="Times New Roman" w:eastAsia="Times New Roman" w:hAnsi="Times New Roman"/>
        </w:rPr>
        <w:t>11.</w:t>
      </w:r>
      <w:r w:rsidRPr="006B31AC">
        <w:rPr>
          <w:rFonts w:ascii="Times New Roman" w:eastAsia="Times New Roman" w:hAnsi="Times New Roman"/>
        </w:rPr>
        <w:t>D.</w:t>
      </w:r>
    </w:p>
    <w:p w14:paraId="3C27B3BB"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20A9B487" w14:textId="65D040B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the products falling under the scope of these requirements shall be grouped into business segments with different mortality assumptions. The grouping should generally follow the pricing, marketing, management and/or reinsurance programs of the company. </w:t>
      </w:r>
    </w:p>
    <w:p w14:paraId="297F61E1" w14:textId="77777777" w:rsidR="003129FE" w:rsidRPr="006B31AC" w:rsidRDefault="003129FE" w:rsidP="000E04EA">
      <w:pPr>
        <w:spacing w:after="220" w:line="240" w:lineRule="auto"/>
        <w:ind w:left="1440" w:hanging="720"/>
        <w:rPr>
          <w:rFonts w:ascii="Times New Roman" w:eastAsia="Times New Roman" w:hAnsi="Times New Roman"/>
          <w:spacing w:val="-2"/>
        </w:rPr>
      </w:pPr>
      <w:r>
        <w:rPr>
          <w:rFonts w:ascii="Times New Roman" w:eastAsia="Times New Roman" w:hAnsi="Times New Roman"/>
          <w:spacing w:val="-2"/>
        </w:rPr>
        <w:t xml:space="preserve">4. </w:t>
      </w:r>
      <w:r>
        <w:rPr>
          <w:rFonts w:ascii="Times New Roman" w:eastAsia="Times New Roman" w:hAnsi="Times New Roman"/>
          <w:spacing w:val="-2"/>
        </w:rPr>
        <w:tab/>
      </w:r>
      <w:r w:rsidRPr="006B31AC">
        <w:rPr>
          <w:rFonts w:ascii="Times New Roman" w:eastAsia="Times New Roman" w:hAnsi="Times New Roman"/>
          <w:spacing w:val="-2"/>
        </w:rPr>
        <w:t>Margin for Data Uncertainty</w:t>
      </w:r>
    </w:p>
    <w:p w14:paraId="16DACF7B" w14:textId="014F9CF4" w:rsidR="003129FE" w:rsidRPr="006B31AC" w:rsidRDefault="003129FE" w:rsidP="000E04EA">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r w:rsidR="00C82945">
        <w:rPr>
          <w:rFonts w:ascii="Times New Roman" w:eastAsia="Times New Roman" w:hAnsi="Times New Roman"/>
          <w:spacing w:val="-2"/>
        </w:rPr>
        <w:t>11.</w:t>
      </w:r>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01DCF9C5"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1E1E99F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17051DE7" w14:textId="7BAE783C"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w:t>
      </w:r>
      <w:r w:rsidRPr="006B31AC">
        <w:rPr>
          <w:rFonts w:ascii="Times New Roman" w:eastAsia="Times New Roman" w:hAnsi="Times New Roman"/>
        </w:rPr>
        <w:lastRenderedPageBreak/>
        <w:t xml:space="preserve">the company should then look to use data from a segment that is similar to the business segment (i.e., other than direct experience). See Section </w:t>
      </w:r>
      <w:r w:rsidR="00C82945">
        <w:rPr>
          <w:rFonts w:ascii="Times New Roman" w:eastAsia="Times New Roman" w:hAnsi="Times New Roman"/>
        </w:rPr>
        <w:t>11.</w:t>
      </w:r>
      <w:r w:rsidRPr="006B31AC">
        <w:rPr>
          <w:rFonts w:ascii="Times New Roman" w:eastAsia="Times New Roman" w:hAnsi="Times New Roman"/>
        </w:rPr>
        <w:t xml:space="preserve">B.2. for additional considerations. Finally, if there is no data, the company shall use the applicable table, as required in Section </w:t>
      </w:r>
      <w:r w:rsidR="00C82945">
        <w:rPr>
          <w:rFonts w:ascii="Times New Roman" w:eastAsia="Times New Roman" w:hAnsi="Times New Roman"/>
        </w:rPr>
        <w:t>11.</w:t>
      </w:r>
      <w:r w:rsidRPr="006B31AC">
        <w:rPr>
          <w:rFonts w:ascii="Times New Roman" w:eastAsia="Times New Roman" w:hAnsi="Times New Roman"/>
        </w:rPr>
        <w:t>B.3.</w:t>
      </w:r>
    </w:p>
    <w:p w14:paraId="3A58EED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00CFE310" w14:textId="0787A933"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Adjustments shall be applied to the data to reflect differences between the business segments</w:t>
      </w:r>
      <w:r>
        <w:rPr>
          <w:rFonts w:ascii="Times New Roman" w:eastAsia="Times New Roman" w:hAnsi="Times New Roman"/>
        </w:rPr>
        <w:t>,</w:t>
      </w:r>
      <w:r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p>
    <w:p w14:paraId="42468353" w14:textId="1FDD949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p>
    <w:p w14:paraId="2628EEEE"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0B62F55C" w14:textId="129B6551"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using 100% of the 1994 Variable Annuity MGDB </w:t>
      </w:r>
      <w:r>
        <w:rPr>
          <w:rFonts w:ascii="Times New Roman" w:eastAsia="Times New Roman" w:hAnsi="Times New Roman"/>
        </w:rPr>
        <w:t>M</w:t>
      </w:r>
      <w:r w:rsidRPr="006B31AC">
        <w:rPr>
          <w:rFonts w:ascii="Times New Roman" w:eastAsia="Times New Roman" w:hAnsi="Times New Roman"/>
        </w:rPr>
        <w:t xml:space="preserve">ortality </w:t>
      </w:r>
      <w:r>
        <w:rPr>
          <w:rFonts w:ascii="Times New Roman" w:eastAsia="Times New Roman" w:hAnsi="Times New Roman"/>
        </w:rPr>
        <w:t>T</w:t>
      </w:r>
      <w:r w:rsidRPr="006B31AC">
        <w:rPr>
          <w:rFonts w:ascii="Times New Roman" w:eastAsia="Times New Roman" w:hAnsi="Times New Roman"/>
        </w:rPr>
        <w:t xml:space="preserve">able for a plus segment and expected deaths no greater than 100% of the </w:t>
      </w:r>
      <w:r w:rsidRPr="0061022C">
        <w:rPr>
          <w:rFonts w:ascii="Times New Roman" w:eastAsia="Times New Roman" w:hAnsi="Times New Roman"/>
        </w:rPr>
        <w:t>2012 IAM Basic</w:t>
      </w:r>
      <w:r>
        <w:rPr>
          <w:rFonts w:ascii="Times New Roman" w:eastAsia="Times New Roman" w:hAnsi="Times New Roman"/>
        </w:rPr>
        <w:t xml:space="preserve"> Mortality</w:t>
      </w:r>
      <w:r w:rsidRPr="006B31AC">
        <w:rPr>
          <w:rFonts w:ascii="Times New Roman" w:eastAsia="Times New Roman" w:hAnsi="Times New Roman"/>
        </w:rPr>
        <w:t xml:space="preserve"> </w:t>
      </w:r>
      <w:r>
        <w:rPr>
          <w:rFonts w:ascii="Times New Roman" w:eastAsia="Times New Roman" w:hAnsi="Times New Roman"/>
        </w:rPr>
        <w:t>T</w:t>
      </w:r>
      <w:r w:rsidRPr="006B31AC">
        <w:rPr>
          <w:rFonts w:ascii="Times New Roman" w:eastAsia="Times New Roman" w:hAnsi="Times New Roman"/>
        </w:rPr>
        <w:t xml:space="preserve">able for a minus segment.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6E6B762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2BA19F8C" w14:textId="53899AB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r w:rsidR="00C82945">
        <w:rPr>
          <w:rFonts w:ascii="Times New Roman" w:eastAsia="Times New Roman" w:hAnsi="Times New Roman"/>
        </w:rPr>
        <w:t>11.</w:t>
      </w:r>
      <w:r w:rsidRPr="006B31AC">
        <w:rPr>
          <w:rFonts w:ascii="Times New Roman" w:eastAsia="Times New Roman" w:hAnsi="Times New Roman"/>
        </w:rPr>
        <w:t xml:space="preserve">B.1 or other than direct data discussed in Section </w:t>
      </w:r>
      <w:r w:rsidR="00C82945">
        <w:rPr>
          <w:rFonts w:ascii="Times New Roman" w:eastAsia="Times New Roman" w:hAnsi="Times New Roman"/>
        </w:rPr>
        <w:t>11.</w:t>
      </w:r>
      <w:r w:rsidRPr="006B31AC">
        <w:rPr>
          <w:rFonts w:ascii="Times New Roman" w:eastAsia="Times New Roman" w:hAnsi="Times New Roman"/>
        </w:rPr>
        <w:t>B.2).</w:t>
      </w:r>
    </w:p>
    <w:p w14:paraId="727299CB"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3182FC14"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1D58F83" w14:textId="1C20C5D0"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w:t>
      </w:r>
      <w:r>
        <w:rPr>
          <w:rFonts w:ascii="Times New Roman" w:eastAsia="Times New Roman" w:hAnsi="Times New Roman"/>
        </w:rPr>
        <w:t>company</w:t>
      </w:r>
      <w:r w:rsidRPr="006B31AC">
        <w:rPr>
          <w:rFonts w:ascii="Times New Roman" w:eastAsia="Times New Roman" w:hAnsi="Times New Roman"/>
        </w:rPr>
        <w:t xml:space="preserve"> shall assume that expected mortality will increase by contract duration for an appropriate select period. As an alternative, if the </w:t>
      </w:r>
      <w:r>
        <w:rPr>
          <w:rFonts w:ascii="Times New Roman" w:eastAsia="Times New Roman" w:hAnsi="Times New Roman"/>
        </w:rPr>
        <w:t>company</w:t>
      </w:r>
      <w:r w:rsidRPr="006B31AC">
        <w:rPr>
          <w:rFonts w:ascii="Times New Roman" w:eastAsia="Times New Roman" w:hAnsi="Times New Roman"/>
        </w:rPr>
        <w:t xml:space="preserve">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w:t>
      </w:r>
      <w:r>
        <w:rPr>
          <w:rFonts w:ascii="Times New Roman" w:eastAsia="Times New Roman" w:hAnsi="Times New Roman"/>
        </w:rPr>
        <w:t>company</w:t>
      </w:r>
      <w:r w:rsidRPr="006B31AC">
        <w:rPr>
          <w:rFonts w:ascii="Times New Roman" w:eastAsia="Times New Roman" w:hAnsi="Times New Roman"/>
        </w:rPr>
        <w:t xml:space="preserve"> could apply margins to the expected mortality in such a way that the actual mortality modeled does not depend on contract duration.</w:t>
      </w:r>
    </w:p>
    <w:p w14:paraId="58EF8EF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794BCB81" w14:textId="40551505"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w:t>
      </w:r>
      <w:r w:rsidRPr="006B31AC">
        <w:rPr>
          <w:rFonts w:ascii="Times New Roman" w:eastAsia="Times New Roman" w:hAnsi="Times New Roman"/>
        </w:rPr>
        <w:lastRenderedPageBreak/>
        <w:t xml:space="preserve">number of deaths less (greater) than the actual number deaths during the exposure period for plus (minus) segments. </w:t>
      </w:r>
    </w:p>
    <w:p w14:paraId="6BCAFBC9" w14:textId="70DBFF0E"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652A4BD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22ABB698"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16991973"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0A721C29"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Adjustment for Credibility</w:t>
      </w:r>
    </w:p>
    <w:p w14:paraId="56AEFA07" w14:textId="4247AED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r w:rsidR="00C82945">
        <w:rPr>
          <w:rFonts w:ascii="Times New Roman" w:eastAsia="Times New Roman" w:hAnsi="Times New Roman"/>
        </w:rPr>
        <w:t>11.</w:t>
      </w:r>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Pr="006B31AC">
        <w:rPr>
          <w:rFonts w:ascii="Times New Roman" w:eastAsia="Times New Roman" w:hAnsi="Times New Roman"/>
        </w:rPr>
        <w:t xml:space="preserve">For a plus segment, the table shall be consistent with 100% of the 1994 Variable Annuity MGDB </w:t>
      </w:r>
      <w:r>
        <w:rPr>
          <w:rFonts w:ascii="Times New Roman" w:eastAsia="Times New Roman" w:hAnsi="Times New Roman"/>
        </w:rPr>
        <w:t>T</w:t>
      </w:r>
      <w:r w:rsidRPr="006B31AC">
        <w:rPr>
          <w:rFonts w:ascii="Times New Roman" w:eastAsia="Times New Roman" w:hAnsi="Times New Roman"/>
        </w:rPr>
        <w:t>able</w:t>
      </w:r>
      <w:r>
        <w:rPr>
          <w:rFonts w:ascii="Times New Roman" w:eastAsia="Times New Roman" w:hAnsi="Times New Roman"/>
        </w:rPr>
        <w:t>.</w:t>
      </w:r>
      <w:r w:rsidRPr="006B31AC">
        <w:rPr>
          <w:rFonts w:ascii="Times New Roman" w:eastAsia="Times New Roman" w:hAnsi="Times New Roman"/>
        </w:rPr>
        <w:t xml:space="preserve"> For a minus segment,</w:t>
      </w:r>
      <w:r>
        <w:rPr>
          <w:rFonts w:ascii="Times New Roman" w:eastAsia="Times New Roman" w:hAnsi="Times New Roman"/>
        </w:rPr>
        <w:t xml:space="preserve"> t</w:t>
      </w:r>
      <w:r w:rsidRPr="00982EE1">
        <w:rPr>
          <w:rFonts w:ascii="Times New Roman" w:eastAsia="Times New Roman" w:hAnsi="Times New Roman"/>
        </w:rPr>
        <w:t>he table shall be consistent with 100% of the 2012 IAM Basic Mortality Table</w:t>
      </w:r>
      <w:r>
        <w:rPr>
          <w:rFonts w:ascii="Times New Roman" w:eastAsia="Times New Roman" w:hAnsi="Times New Roman"/>
        </w:rPr>
        <w:t>.</w:t>
      </w:r>
      <w:r w:rsidRPr="00982EE1">
        <w:rPr>
          <w:rFonts w:ascii="Times New Roman" w:eastAsia="Times New Roman" w:hAnsi="Times New Roman"/>
        </w:rPr>
        <w:t xml:space="preserve">  The approach used to adjust the curves shall suitably account for credibility.</w:t>
      </w:r>
    </w:p>
    <w:p w14:paraId="11BAD409" w14:textId="77777777" w:rsidR="003129FE" w:rsidRPr="006B31AC"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0A2C4D7A" w14:textId="530C6E90" w:rsidR="003129FE" w:rsidRPr="006B31AC" w:rsidRDefault="003129FE" w:rsidP="000E04EA">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applicable published industrywide experience from the effective date of the respective statutory valuation mortality table to the experience weighted average date underlying the data used to develop the expected mortality curves (discussed in Section </w:t>
      </w:r>
      <w:r w:rsidR="00C82945">
        <w:rPr>
          <w:rFonts w:ascii="Times New Roman" w:eastAsia="Times New Roman" w:hAnsi="Times New Roman"/>
        </w:rPr>
        <w:t>11.</w:t>
      </w:r>
      <w:r w:rsidRPr="006B31AC">
        <w:rPr>
          <w:rFonts w:ascii="Times New Roman" w:eastAsia="Times New Roman" w:hAnsi="Times New Roman"/>
        </w:rPr>
        <w:t>B).</w:t>
      </w:r>
    </w:p>
    <w:p w14:paraId="60A50055" w14:textId="77777777" w:rsidR="003129FE" w:rsidRPr="0001084F" w:rsidRDefault="003129FE" w:rsidP="000E04EA">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0AB3DE"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76A31034" w14:textId="06DE1DF9"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Produce results that are reasonable</w:t>
      </w:r>
      <w:r>
        <w:rPr>
          <w:rFonts w:ascii="Times New Roman" w:eastAsia="Times New Roman" w:hAnsi="Times New Roman"/>
        </w:rPr>
        <w:t>.</w:t>
      </w:r>
      <w:r w:rsidRPr="006B31AC">
        <w:rPr>
          <w:rFonts w:ascii="Times New Roman" w:eastAsia="Times New Roman" w:hAnsi="Times New Roman"/>
        </w:rPr>
        <w:t xml:space="preserve"> .</w:t>
      </w:r>
    </w:p>
    <w:p w14:paraId="68B1A2CF"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1BFCC39"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360A6533"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Give consideration to the need to balance responsiveness and stability.</w:t>
      </w:r>
    </w:p>
    <w:p w14:paraId="47D91BBD"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t>Take into account not only the level of aggregate claims but the shape of the mortality curve.</w:t>
      </w:r>
    </w:p>
    <w:p w14:paraId="6F09F3B4"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lastRenderedPageBreak/>
        <w:t>f.</w:t>
      </w:r>
      <w:r w:rsidRPr="006B31AC">
        <w:rPr>
          <w:rFonts w:ascii="Times New Roman" w:eastAsia="Times New Roman" w:hAnsi="Times New Roman"/>
        </w:rPr>
        <w:tab/>
        <w:t>Contain criteria for full credibility and partial credibility that have a sound statistical basis and be appropriately applied.</w:t>
      </w:r>
    </w:p>
    <w:p w14:paraId="3B3D7FE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41604FD4"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The credibility-adjusted table used for plus segments may be and the credibility adjusted date used for minus segments must be adjusted for applicable published industrywide experience from the experience weighted average date underlying the company experience used in the credibility process to the valuation date.</w:t>
      </w:r>
    </w:p>
    <w:p w14:paraId="26E3577A" w14:textId="62CAEC2B"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Any adjustment for mortality improvement beyond the valuation date is discussed in Section </w:t>
      </w:r>
      <w:r w:rsidR="00C82945">
        <w:rPr>
          <w:rFonts w:ascii="Times New Roman" w:eastAsia="Times New Roman" w:hAnsi="Times New Roman"/>
        </w:rPr>
        <w:t>11.</w:t>
      </w:r>
      <w:r w:rsidRPr="006B31AC">
        <w:rPr>
          <w:rFonts w:ascii="Times New Roman" w:eastAsia="Times New Roman" w:hAnsi="Times New Roman"/>
        </w:rPr>
        <w:t>D.</w:t>
      </w:r>
    </w:p>
    <w:p w14:paraId="7A9FA687"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59C4869F" w14:textId="26CF6390" w:rsidR="003129FE" w:rsidRPr="006B31AC" w:rsidRDefault="003129FE" w:rsidP="000E04EA">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r w:rsidR="00C82945">
        <w:rPr>
          <w:rFonts w:ascii="Times New Roman" w:eastAsia="Times New Roman" w:hAnsi="Times New Roman"/>
        </w:rPr>
        <w:t>11.</w:t>
      </w:r>
      <w:r w:rsidRPr="006B31AC">
        <w:rPr>
          <w:rFonts w:ascii="Times New Roman" w:eastAsia="Times New Roman" w:hAnsi="Times New Roman"/>
        </w:rPr>
        <w:t xml:space="preserve">C shall be adjusted for mortality improvements beyond the valuation date if such an adjustment would serve to increase the resulting </w:t>
      </w:r>
      <w:r>
        <w:rPr>
          <w:rFonts w:ascii="Times New Roman" w:eastAsia="Times New Roman" w:hAnsi="Times New Roman"/>
        </w:rPr>
        <w:t>stochastic reserve</w:t>
      </w:r>
      <w:r w:rsidRPr="006B31AC">
        <w:rPr>
          <w:rFonts w:ascii="Times New Roman" w:eastAsia="Times New Roman" w:hAnsi="Times New Roman"/>
        </w:rPr>
        <w:t xml:space="preserve">. If such an adjustment would reduce the </w:t>
      </w:r>
      <w:r>
        <w:rPr>
          <w:rFonts w:ascii="Times New Roman" w:eastAsia="Times New Roman" w:hAnsi="Times New Roman"/>
        </w:rPr>
        <w:t>stochastic reserve</w:t>
      </w:r>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636D6C15" w14:textId="77777777" w:rsidR="003129FE" w:rsidRPr="000E04EA" w:rsidRDefault="003129FE" w:rsidP="000E04EA"/>
    <w:p w14:paraId="77D8582A" w14:textId="2F41B121" w:rsidR="003129FE" w:rsidRPr="00A53211" w:rsidRDefault="003129FE" w:rsidP="0021502F">
      <w:pPr>
        <w:pStyle w:val="Heading2"/>
        <w:spacing w:after="280"/>
        <w:jc w:val="center"/>
        <w:rPr>
          <w:sz w:val="22"/>
          <w:szCs w:val="22"/>
          <w:u w:val="none"/>
        </w:rPr>
      </w:pPr>
      <w:r w:rsidRPr="00A53211">
        <w:rPr>
          <w:sz w:val="22"/>
          <w:szCs w:val="22"/>
          <w:u w:val="none"/>
        </w:rPr>
        <w:t>VM-21: Requirements for Principle-Based Reserves for</w:t>
      </w:r>
      <w:r w:rsidRPr="000E04EA">
        <w:rPr>
          <w:sz w:val="22"/>
          <w:u w:val="none"/>
        </w:rPr>
        <w:t xml:space="preserve"> Variable </w:t>
      </w:r>
      <w:r w:rsidRPr="00A53211">
        <w:rPr>
          <w:sz w:val="22"/>
          <w:szCs w:val="22"/>
          <w:u w:val="none"/>
        </w:rPr>
        <w:t>Annuities</w:t>
      </w:r>
    </w:p>
    <w:p w14:paraId="41BB2ABC" w14:textId="77777777" w:rsidR="003129FE" w:rsidRPr="008B57FF" w:rsidRDefault="003129FE" w:rsidP="004E4618">
      <w:pPr>
        <w:pStyle w:val="Heading3"/>
        <w:keepNext/>
        <w:keepLines/>
        <w:spacing w:after="220"/>
        <w:rPr>
          <w:sz w:val="22"/>
          <w:szCs w:val="22"/>
        </w:rPr>
      </w:pPr>
      <w:r w:rsidRPr="008B57FF">
        <w:rPr>
          <w:sz w:val="22"/>
          <w:szCs w:val="22"/>
        </w:rPr>
        <w:t xml:space="preserve">Section </w:t>
      </w:r>
      <w:r>
        <w:rPr>
          <w:sz w:val="22"/>
          <w:szCs w:val="22"/>
        </w:rPr>
        <w:t xml:space="preserve">12: </w:t>
      </w:r>
      <w:r w:rsidRPr="008B57FF">
        <w:rPr>
          <w:sz w:val="22"/>
          <w:szCs w:val="22"/>
        </w:rPr>
        <w:t>Allocation of the Aggregate Reserves to the Contract Level</w:t>
      </w:r>
    </w:p>
    <w:p w14:paraId="4463424B" w14:textId="77777777" w:rsidR="003129FE" w:rsidRPr="008B57FF" w:rsidRDefault="003129FE" w:rsidP="004E4618">
      <w:pPr>
        <w:keepNext/>
        <w:keepLines/>
        <w:spacing w:after="220" w:line="240" w:lineRule="auto"/>
        <w:jc w:val="both"/>
        <w:rPr>
          <w:rFonts w:ascii="Times New Roman" w:eastAsia="Times New Roman" w:hAnsi="Times New Roman"/>
        </w:rPr>
      </w:pPr>
      <w:r w:rsidRPr="008B57FF">
        <w:rPr>
          <w:rFonts w:ascii="Times New Roman" w:eastAsia="Times New Roman" w:hAnsi="Times New Roman"/>
        </w:rPr>
        <w:t>Section 2</w:t>
      </w:r>
      <w:r>
        <w:rPr>
          <w:rFonts w:ascii="Times New Roman" w:eastAsia="Times New Roman" w:hAnsi="Times New Roman"/>
        </w:rPr>
        <w:t>.F.</w:t>
      </w:r>
      <w:r w:rsidRPr="008B57FF">
        <w:rPr>
          <w:rFonts w:ascii="Times New Roman" w:eastAsia="Times New Roman" w:hAnsi="Times New Roman"/>
        </w:rPr>
        <w:t xml:space="preserve"> states that the </w:t>
      </w:r>
      <w:r>
        <w:rPr>
          <w:rFonts w:ascii="Times New Roman" w:eastAsia="Times New Roman" w:hAnsi="Times New Roman"/>
        </w:rPr>
        <w:t>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eserve shall be allocated to the contracts falling within the scope of these requirements.</w:t>
      </w:r>
      <w:r>
        <w:rPr>
          <w:rFonts w:ascii="Times New Roman" w:eastAsia="Times New Roman" w:hAnsi="Times New Roman"/>
        </w:rPr>
        <w:t xml:space="preserve">  That allocation should be done for both the pre- and post- reinsurance ceded reserves.  </w:t>
      </w:r>
    </w:p>
    <w:p w14:paraId="2EF3027A" w14:textId="77777777" w:rsidR="003129FE" w:rsidRPr="00A426A0" w:rsidRDefault="003129FE" w:rsidP="004E4618">
      <w:pPr>
        <w:keepNext/>
        <w:keepLines/>
        <w:spacing w:after="220" w:line="240" w:lineRule="auto"/>
        <w:jc w:val="both"/>
        <w:rPr>
          <w:rFonts w:ascii="Times New Roman" w:eastAsia="Times New Roman" w:hAnsi="Times New Roman"/>
        </w:rPr>
      </w:pPr>
      <w:r w:rsidRPr="00A426A0">
        <w:rPr>
          <w:rFonts w:ascii="Times New Roman" w:eastAsia="Times New Roman" w:hAnsi="Times New Roman"/>
        </w:rPr>
        <w:t>The contract-level reserve for each contract shall be</w:t>
      </w:r>
      <w:r>
        <w:rPr>
          <w:rFonts w:ascii="Times New Roman" w:eastAsia="Times New Roman" w:hAnsi="Times New Roman"/>
        </w:rPr>
        <w:t xml:space="preserve"> </w:t>
      </w:r>
      <w:r w:rsidRPr="008B57FF">
        <w:rPr>
          <w:rFonts w:ascii="Times New Roman" w:eastAsia="Times New Roman" w:hAnsi="Times New Roman"/>
        </w:rPr>
        <w:t xml:space="preserve">the </w:t>
      </w:r>
      <w:r w:rsidRPr="00A426A0">
        <w:rPr>
          <w:rFonts w:ascii="Times New Roman" w:eastAsia="Times New Roman" w:hAnsi="Times New Roman"/>
        </w:rPr>
        <w:t>sum of the following:</w:t>
      </w:r>
    </w:p>
    <w:p w14:paraId="3BB2C3E2" w14:textId="77777777" w:rsidR="003129FE" w:rsidRPr="00A426A0" w:rsidRDefault="003129FE" w:rsidP="004E4618">
      <w:pPr>
        <w:keepNext/>
        <w:keepLines/>
        <w:spacing w:after="220" w:line="240" w:lineRule="auto"/>
        <w:jc w:val="both"/>
        <w:rPr>
          <w:rFonts w:ascii="Times New Roman" w:eastAsia="Times New Roman" w:hAnsi="Times New Roman"/>
        </w:rPr>
      </w:pPr>
      <w:r>
        <w:rPr>
          <w:rFonts w:ascii="Times New Roman" w:eastAsia="Times New Roman" w:hAnsi="Times New Roman"/>
        </w:rPr>
        <w:t>A</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 xml:space="preserve">The contract’s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 and</w:t>
      </w:r>
    </w:p>
    <w:p w14:paraId="54118C78" w14:textId="77777777" w:rsidR="003129FE" w:rsidRDefault="003129FE" w:rsidP="004E4618">
      <w:pPr>
        <w:keepNext/>
        <w:keepLines/>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An allocated portion of the excess of the</w:t>
      </w:r>
      <w:r>
        <w:rPr>
          <w:rFonts w:ascii="Times New Roman" w:eastAsia="Times New Roman" w:hAnsi="Times New Roman"/>
        </w:rPr>
        <w:t xml:space="preserve"> 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 xml:space="preserve">eserve </w:t>
      </w:r>
      <w:r w:rsidRPr="00A426A0">
        <w:rPr>
          <w:rFonts w:ascii="Times New Roman" w:eastAsia="Times New Roman" w:hAnsi="Times New Roman"/>
        </w:rPr>
        <w:t xml:space="preserve">over the aggregate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w:t>
      </w:r>
    </w:p>
    <w:p w14:paraId="4046A97E" w14:textId="77777777" w:rsidR="003129FE" w:rsidRPr="005210FD" w:rsidRDefault="003129FE" w:rsidP="00E87EFC">
      <w:pPr>
        <w:pStyle w:val="ListParagraph"/>
        <w:numPr>
          <w:ilvl w:val="0"/>
          <w:numId w:val="69"/>
        </w:numPr>
        <w:spacing w:after="220" w:line="240" w:lineRule="auto"/>
        <w:jc w:val="both"/>
        <w:rPr>
          <w:rFonts w:ascii="Times New Roman" w:eastAsia="Times New Roman" w:hAnsi="Times New Roman"/>
        </w:rPr>
      </w:pPr>
      <w:r w:rsidRPr="005210FD">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p>
    <w:p w14:paraId="71E10EB4" w14:textId="063518C2" w:rsidR="003129FE" w:rsidRPr="005210FD" w:rsidRDefault="003129FE" w:rsidP="00E87EFC">
      <w:pPr>
        <w:pStyle w:val="ListParagraph"/>
        <w:numPr>
          <w:ilvl w:val="0"/>
          <w:numId w:val="69"/>
        </w:numPr>
        <w:spacing w:after="220" w:line="240" w:lineRule="auto"/>
        <w:jc w:val="both"/>
        <w:rPr>
          <w:rFonts w:ascii="Times New Roman" w:eastAsia="Times New Roman" w:hAnsi="Times New Roman"/>
        </w:rPr>
      </w:pPr>
      <w:r w:rsidRPr="005210FD">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r w:rsidR="003C482A" w:rsidRPr="005210FD">
        <w:rPr>
          <w:rFonts w:ascii="Times New Roman" w:eastAsia="Times New Roman" w:hAnsi="Times New Roman"/>
        </w:rPr>
        <w:t>in force</w:t>
      </w:r>
      <w:r w:rsidRPr="005210FD">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p>
    <w:p w14:paraId="61FDF79D" w14:textId="77777777" w:rsidR="003129FE" w:rsidRPr="005210FD" w:rsidRDefault="003129FE" w:rsidP="00E87EFC">
      <w:pPr>
        <w:pStyle w:val="ListParagraph"/>
        <w:keepNext/>
        <w:numPr>
          <w:ilvl w:val="0"/>
          <w:numId w:val="69"/>
        </w:numPr>
        <w:tabs>
          <w:tab w:val="left" w:pos="7650"/>
        </w:tabs>
        <w:spacing w:after="220" w:line="240" w:lineRule="auto"/>
        <w:jc w:val="both"/>
        <w:rPr>
          <w:rFonts w:ascii="Times New Roman" w:eastAsia="Times New Roman" w:hAnsi="Times New Roman"/>
          <w:position w:val="-1"/>
        </w:rPr>
      </w:pPr>
      <w:r w:rsidRPr="005210FD">
        <w:rPr>
          <w:rFonts w:ascii="Times New Roman" w:eastAsia="Times New Roman" w:hAnsi="Times New Roman"/>
          <w:position w:val="-1"/>
        </w:rPr>
        <w:t>As an example, consider a company with the results of the following three contracts:</w:t>
      </w:r>
    </w:p>
    <w:p w14:paraId="67113559" w14:textId="77777777" w:rsidR="003129FE" w:rsidRPr="000E04EA" w:rsidRDefault="003129FE" w:rsidP="000E04EA">
      <w:pPr>
        <w:keepNext/>
        <w:tabs>
          <w:tab w:val="left" w:pos="7650"/>
        </w:tabs>
        <w:spacing w:after="220" w:line="240" w:lineRule="auto"/>
        <w:ind w:left="720"/>
        <w:jc w:val="both"/>
        <w:rPr>
          <w:position w:val="-1"/>
        </w:rPr>
      </w:pPr>
      <w:r>
        <w:rPr>
          <w:rFonts w:ascii="Times New Roman" w:eastAsia="Times New Roman" w:hAnsi="Times New Roman"/>
          <w:position w:val="-1"/>
        </w:rPr>
        <w:t xml:space="preserve">                                  </w:t>
      </w:r>
      <w:r w:rsidRPr="000E04EA">
        <w:rPr>
          <w:rFonts w:ascii="Times New Roman" w:hAnsi="Times New Roman"/>
          <w:position w:val="-1"/>
        </w:rPr>
        <w:t xml:space="preserve"> Table</w:t>
      </w:r>
      <w:r>
        <w:rPr>
          <w:rFonts w:ascii="Times New Roman" w:eastAsia="Times New Roman" w:hAnsi="Times New Roman"/>
          <w:position w:val="-1"/>
        </w:rPr>
        <w:t xml:space="preserve"> ABC: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p w14:paraId="077FD1D9" w14:textId="26E70C9C" w:rsidR="0021502F" w:rsidRDefault="0021502F" w:rsidP="0021502F">
      <w:pPr>
        <w:spacing w:after="220" w:line="240" w:lineRule="auto"/>
        <w:jc w:val="center"/>
        <w:rPr>
          <w:rFonts w:ascii="Times New Roman" w:eastAsia="Times New Roman" w:hAnsi="Times New Roman"/>
          <w:bCs/>
        </w:rPr>
      </w:pPr>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220"/>
        <w:gridCol w:w="1229"/>
        <w:gridCol w:w="1229"/>
        <w:gridCol w:w="1229"/>
        <w:gridCol w:w="1229"/>
      </w:tblGrid>
      <w:tr w:rsidR="00B70048" w:rsidRPr="00472C9B" w14:paraId="1DCD2679"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lastRenderedPageBreak/>
              <w:t>Contract (i)</w:t>
            </w:r>
          </w:p>
        </w:tc>
        <w:tc>
          <w:tcPr>
            <w:tcW w:w="1229" w:type="dxa"/>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472C9B" w:rsidRDefault="00B70048" w:rsidP="000E04EA">
            <w:pPr>
              <w:spacing w:after="0" w:line="240" w:lineRule="auto"/>
              <w:jc w:val="center"/>
              <w:rPr>
                <w:rFonts w:ascii="Times New Roman" w:hAnsi="Times New Roman"/>
                <w:sz w:val="20"/>
                <w:szCs w:val="20"/>
              </w:rPr>
            </w:pPr>
            <w:r w:rsidRPr="000E04EA">
              <w:rPr>
                <w:rFonts w:ascii="Times New Roman" w:hAnsi="Times New Roman"/>
                <w:sz w:val="20"/>
              </w:rPr>
              <w:t>Total</w:t>
            </w:r>
          </w:p>
        </w:tc>
      </w:tr>
      <w:tr w:rsidR="00B70048" w:rsidRPr="00472C9B" w14:paraId="16E57618"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Cash Surrender Value, C</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28</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40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120</w:t>
            </w:r>
          </w:p>
        </w:tc>
      </w:tr>
      <w:tr w:rsidR="00B70048" w:rsidRPr="00472C9B" w14:paraId="53C17DBF"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Risk adjusted measure, R</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38</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r>
      <w:tr w:rsidR="00B70048" w:rsidRPr="00472C9B" w14:paraId="4F683777"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03231B" w:rsidRDefault="00B70048" w:rsidP="000E04EA">
            <w:pPr>
              <w:spacing w:after="0" w:line="240" w:lineRule="auto"/>
              <w:jc w:val="center"/>
              <w:rPr>
                <w:rFonts w:ascii="Times New Roman" w:hAnsi="Times New Roman"/>
                <w:sz w:val="20"/>
              </w:rPr>
            </w:pPr>
            <w:r w:rsidRPr="000E04EA">
              <w:rPr>
                <w:rFonts w:ascii="Times New Roman" w:hAnsi="Times New Roman"/>
                <w:sz w:val="20"/>
              </w:rPr>
              <w:t>Aggregate Reserve</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03231B" w:rsidRDefault="00B70048" w:rsidP="000E04EA">
            <w:pPr>
              <w:spacing w:after="0" w:line="240" w:lineRule="auto"/>
              <w:jc w:val="center"/>
              <w:rPr>
                <w:rFonts w:ascii="Times New Roman" w:hAnsi="Times New Roman"/>
                <w:sz w:val="20"/>
              </w:rPr>
            </w:pPr>
            <w:r>
              <w:rPr>
                <w:rFonts w:ascii="Times New Roman" w:eastAsia="Times New Roman" w:hAnsi="Times New Roman"/>
                <w:b/>
                <w:sz w:val="20"/>
                <w:szCs w:val="20"/>
              </w:rPr>
              <w:t>1</w:t>
            </w:r>
            <w:r>
              <w:rPr>
                <w:rFonts w:ascii="Times New Roman" w:hAnsi="Times New Roman"/>
                <w:sz w:val="20"/>
                <w:szCs w:val="20"/>
              </w:rPr>
              <w:t>4</w:t>
            </w:r>
            <w:r w:rsidRPr="00472C9B">
              <w:rPr>
                <w:rFonts w:ascii="Times New Roman" w:hAnsi="Times New Roman"/>
                <w:sz w:val="20"/>
                <w:szCs w:val="20"/>
              </w:rPr>
              <w:t>0</w:t>
            </w:r>
          </w:p>
        </w:tc>
      </w:tr>
      <w:tr w:rsidR="00B70048" w:rsidRPr="00472C9B" w14:paraId="1FB94509"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Basis for the excess of the Aggregate Reserve over the Cash Surrender Value</w:t>
            </w:r>
          </w:p>
          <w:p w14:paraId="3A9BA8BE" w14:textId="77777777" w:rsidR="00B70048" w:rsidRPr="0003231B" w:rsidRDefault="00B70048" w:rsidP="000E04EA">
            <w:pPr>
              <w:spacing w:after="0" w:line="240" w:lineRule="auto"/>
              <w:jc w:val="center"/>
              <w:rPr>
                <w:rFonts w:ascii="Times New Roman" w:hAnsi="Times New Roman"/>
                <w:sz w:val="20"/>
              </w:rPr>
            </w:pPr>
            <w:r w:rsidRPr="00472C9B">
              <w:rPr>
                <w:rFonts w:ascii="Times New Roman" w:hAnsi="Times New Roman"/>
                <w:sz w:val="20"/>
                <w:szCs w:val="20"/>
              </w:rPr>
              <w:t>Ai = Max(Ri-Ci, 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12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22</w:t>
            </w:r>
          </w:p>
        </w:tc>
      </w:tr>
      <w:tr w:rsidR="00B70048" w:rsidRPr="00472C9B" w14:paraId="1168DA75"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472C9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472C9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472C9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472C9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472C9B" w:rsidRDefault="00B70048" w:rsidP="000E04EA">
            <w:pPr>
              <w:spacing w:after="0" w:line="240" w:lineRule="auto"/>
              <w:jc w:val="center"/>
              <w:rPr>
                <w:rFonts w:ascii="Times New Roman" w:hAnsi="Times New Roman"/>
                <w:sz w:val="20"/>
                <w:szCs w:val="20"/>
              </w:rPr>
            </w:pPr>
          </w:p>
        </w:tc>
      </w:tr>
      <w:tr w:rsidR="00B70048" w:rsidRPr="00472C9B" w14:paraId="711BC2A4"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of the excess of the Aggregate Reserve over the Cash Surrender Value</w:t>
            </w:r>
          </w:p>
          <w:p w14:paraId="49D0CCCF" w14:textId="77777777" w:rsidR="00B70048" w:rsidRPr="0003231B" w:rsidRDefault="00B70048" w:rsidP="004E4618">
            <w:pPr>
              <w:spacing w:after="0" w:line="240" w:lineRule="auto"/>
              <w:jc w:val="center"/>
              <w:rPr>
                <w:rFonts w:ascii="Times New Roman" w:hAnsi="Times New Roman"/>
                <w:sz w:val="20"/>
              </w:rPr>
            </w:pPr>
            <w:r w:rsidRPr="00472C9B">
              <w:rPr>
                <w:rFonts w:ascii="Times New Roman" w:hAnsi="Times New Roman"/>
                <w:sz w:val="20"/>
                <w:szCs w:val="20"/>
              </w:rPr>
              <w:t>Li = (Ai)/</w:t>
            </w:r>
            <w:proofErr w:type="spellStart"/>
            <w:r w:rsidRPr="00472C9B">
              <w:rPr>
                <w:rFonts w:ascii="Times New Roman" w:hAnsi="Times New Roman"/>
                <w:sz w:val="20"/>
                <w:szCs w:val="20"/>
              </w:rPr>
              <w:t>ΣAi</w:t>
            </w:r>
            <w:proofErr w:type="spellEnd"/>
            <w:r w:rsidRPr="00472C9B">
              <w:rPr>
                <w:rFonts w:ascii="Times New Roman" w:hAnsi="Times New Roman"/>
                <w:sz w:val="20"/>
                <w:szCs w:val="20"/>
              </w:rPr>
              <w:t xml:space="preserve">*[Aggregate Reserve - </w:t>
            </w:r>
            <w:proofErr w:type="spellStart"/>
            <w:r w:rsidRPr="00472C9B">
              <w:rPr>
                <w:rFonts w:ascii="Times New Roman" w:hAnsi="Times New Roman"/>
                <w:sz w:val="20"/>
                <w:szCs w:val="20"/>
              </w:rPr>
              <w:t>ΣCi</w:t>
            </w:r>
            <w:proofErr w:type="spellEnd"/>
            <w:r w:rsidRPr="00472C9B">
              <w:rPr>
                <w:rFonts w:ascii="Times New Roman" w:hAnsi="Times New Roman"/>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9.09</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10.91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0.00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20</w:t>
            </w:r>
          </w:p>
        </w:tc>
      </w:tr>
      <w:tr w:rsidR="00B70048" w:rsidRPr="00472C9B" w14:paraId="3EB25805"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472C9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472C9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472C9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472C9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472C9B" w:rsidRDefault="00B70048" w:rsidP="00B70048">
            <w:pPr>
              <w:spacing w:after="0" w:line="240" w:lineRule="auto"/>
              <w:jc w:val="center"/>
              <w:rPr>
                <w:rFonts w:ascii="Times New Roman" w:hAnsi="Times New Roman"/>
                <w:sz w:val="20"/>
                <w:szCs w:val="20"/>
              </w:rPr>
            </w:pPr>
          </w:p>
        </w:tc>
      </w:tr>
      <w:tr w:rsidR="00B70048" w:rsidRPr="00472C9B" w14:paraId="1D97B778"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08DB728D"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Contract-level reserve Ci+ Li</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37.09</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50.91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52.00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140.00</w:t>
            </w:r>
          </w:p>
        </w:tc>
      </w:tr>
    </w:tbl>
    <w:p w14:paraId="72FC68B2" w14:textId="77777777" w:rsidR="003129FE" w:rsidRPr="000E04EA" w:rsidRDefault="003129FE" w:rsidP="000E04EA">
      <w:pPr>
        <w:spacing w:after="220" w:line="240" w:lineRule="auto"/>
        <w:ind w:left="720"/>
        <w:jc w:val="both"/>
        <w:rPr>
          <w:rFonts w:ascii="Times New Roman" w:hAnsi="Times New Roman"/>
        </w:rPr>
      </w:pPr>
    </w:p>
    <w:p w14:paraId="58496F78" w14:textId="77777777" w:rsidR="003129FE" w:rsidRDefault="003129FE" w:rsidP="004E4618">
      <w:pPr>
        <w:spacing w:after="220" w:line="240" w:lineRule="auto"/>
        <w:ind w:left="720"/>
        <w:jc w:val="both"/>
        <w:rPr>
          <w:rFonts w:ascii="Times New Roman" w:eastAsia="Times New Roman" w:hAnsi="Times New Roman"/>
        </w:rPr>
      </w:pPr>
      <w:r w:rsidRPr="00B70C19">
        <w:rPr>
          <w:rFonts w:ascii="Times New Roman" w:eastAsia="Times New Roman" w:hAnsi="Times New Roman"/>
        </w:rPr>
        <w:t xml:space="preserve">In this example, the Aggregate Reserve exceeds the aggregate Cash Surrender Value by </w:t>
      </w:r>
      <w:r>
        <w:rPr>
          <w:rFonts w:ascii="Times New Roman" w:eastAsia="Times New Roman" w:hAnsi="Times New Roman"/>
        </w:rPr>
        <w:t>2</w:t>
      </w:r>
      <w:r w:rsidRPr="00B70C19">
        <w:rPr>
          <w:rFonts w:ascii="Times New Roman" w:eastAsia="Times New Roman" w:hAnsi="Times New Roman"/>
        </w:rPr>
        <w:t xml:space="preserve">0. The </w:t>
      </w:r>
      <w:r>
        <w:rPr>
          <w:rFonts w:ascii="Times New Roman" w:eastAsia="Times New Roman" w:hAnsi="Times New Roman"/>
        </w:rPr>
        <w:t>2</w:t>
      </w:r>
      <w:r w:rsidRPr="00B70C19">
        <w:rPr>
          <w:rFonts w:ascii="Times New Roman" w:eastAsia="Times New Roman" w:hAnsi="Times New Roman"/>
        </w:rPr>
        <w:t xml:space="preserve">0 is allocated proportionally across the three contracts based on the allocation basis of the larger of (i) zero and (ii) </w:t>
      </w:r>
      <w:r>
        <w:rPr>
          <w:rFonts w:ascii="Times New Roman" w:eastAsia="Times New Roman" w:hAnsi="Times New Roman"/>
        </w:rPr>
        <w:t>a risk adjusted measure based on reserve principles</w:t>
      </w:r>
      <w:r w:rsidRPr="00B70C19">
        <w:rPr>
          <w:rFonts w:ascii="Times New Roman" w:eastAsia="Times New Roman" w:hAnsi="Times New Roman"/>
        </w:rPr>
        <w:t>. Cont</w:t>
      </w:r>
      <w:r>
        <w:rPr>
          <w:rFonts w:ascii="Times New Roman" w:eastAsia="Times New Roman" w:hAnsi="Times New Roman"/>
        </w:rPr>
        <w:t>racts 1</w:t>
      </w:r>
      <w:r w:rsidRPr="00B70C19">
        <w:rPr>
          <w:rFonts w:ascii="Times New Roman" w:eastAsia="Times New Roman" w:hAnsi="Times New Roman"/>
        </w:rPr>
        <w:t xml:space="preserve"> and </w:t>
      </w:r>
      <w:r>
        <w:rPr>
          <w:rFonts w:ascii="Times New Roman" w:eastAsia="Times New Roman" w:hAnsi="Times New Roman"/>
        </w:rPr>
        <w:t>2</w:t>
      </w:r>
      <w:r w:rsidRPr="00B70C19">
        <w:rPr>
          <w:rFonts w:ascii="Times New Roman" w:eastAsia="Times New Roman" w:hAnsi="Times New Roman"/>
        </w:rPr>
        <w:t xml:space="preserve"> therefore receive </w:t>
      </w:r>
      <w:r>
        <w:rPr>
          <w:rFonts w:ascii="Times New Roman" w:eastAsia="Times New Roman" w:hAnsi="Times New Roman"/>
        </w:rPr>
        <w:t>45</w:t>
      </w:r>
      <w:r w:rsidRPr="00B70C19">
        <w:rPr>
          <w:rFonts w:ascii="Times New Roman" w:eastAsia="Times New Roman" w:hAnsi="Times New Roman"/>
        </w:rPr>
        <w:t xml:space="preserve">% </w:t>
      </w:r>
      <w:r>
        <w:rPr>
          <w:rFonts w:ascii="Times New Roman" w:eastAsia="Times New Roman" w:hAnsi="Times New Roman"/>
        </w:rPr>
        <w:t xml:space="preserve">(9/22) </w:t>
      </w:r>
      <w:r w:rsidRPr="00B70C19">
        <w:rPr>
          <w:rFonts w:ascii="Times New Roman" w:eastAsia="Times New Roman" w:hAnsi="Times New Roman"/>
        </w:rPr>
        <w:t xml:space="preserve">and </w:t>
      </w:r>
      <w:r>
        <w:rPr>
          <w:rFonts w:ascii="Times New Roman" w:eastAsia="Times New Roman" w:hAnsi="Times New Roman"/>
        </w:rPr>
        <w:t>55</w:t>
      </w:r>
      <w:r w:rsidRPr="00B70C19">
        <w:rPr>
          <w:rFonts w:ascii="Times New Roman" w:eastAsia="Times New Roman" w:hAnsi="Times New Roman"/>
        </w:rPr>
        <w:t>%</w:t>
      </w:r>
      <w:r>
        <w:rPr>
          <w:rFonts w:ascii="Times New Roman" w:eastAsia="Times New Roman" w:hAnsi="Times New Roman"/>
        </w:rPr>
        <w:t xml:space="preserve"> (11/22)</w:t>
      </w:r>
      <w:r w:rsidRPr="00B70C19">
        <w:rPr>
          <w:rFonts w:ascii="Times New Roman" w:eastAsia="Times New Roman" w:hAnsi="Times New Roman"/>
        </w:rPr>
        <w:t xml:space="preserve">, respectively, of the excess Aggregate Reserve. </w:t>
      </w:r>
      <w:r>
        <w:rPr>
          <w:rFonts w:ascii="Times New Roman" w:eastAsia="Times New Roman" w:hAnsi="Times New Roman"/>
        </w:rPr>
        <w:t xml:space="preserve"> </w:t>
      </w:r>
      <w:r w:rsidRPr="00B70C19">
        <w:rPr>
          <w:rFonts w:ascii="Times New Roman" w:eastAsia="Times New Roman" w:hAnsi="Times New Roman"/>
        </w:rPr>
        <w:t xml:space="preserve">As Contract </w:t>
      </w:r>
      <w:r>
        <w:rPr>
          <w:rFonts w:ascii="Times New Roman" w:eastAsia="Times New Roman" w:hAnsi="Times New Roman"/>
        </w:rPr>
        <w:t>3</w:t>
      </w:r>
      <w:r w:rsidRPr="00B70C19">
        <w:rPr>
          <w:rFonts w:ascii="Times New Roman" w:eastAsia="Times New Roman" w:hAnsi="Times New Roman"/>
        </w:rPr>
        <w:t xml:space="preserve"> </w:t>
      </w:r>
      <w:r>
        <w:rPr>
          <w:rFonts w:ascii="Times New Roman" w:eastAsia="Times New Roman" w:hAnsi="Times New Roman"/>
        </w:rPr>
        <w:t>presents no risk in excess of its cash surrender value</w:t>
      </w:r>
      <w:r w:rsidRPr="00B70C19">
        <w:rPr>
          <w:rFonts w:ascii="Times New Roman" w:eastAsia="Times New Roman" w:hAnsi="Times New Roman"/>
        </w:rPr>
        <w:t>, it does not receive an allocation of the excess Aggregate Reserve.</w:t>
      </w:r>
    </w:p>
    <w:p w14:paraId="144643B6" w14:textId="77777777" w:rsidR="003129FE" w:rsidRDefault="003129FE"/>
    <w:p w14:paraId="66A04CEB" w14:textId="77777777" w:rsidR="003129FE" w:rsidRPr="00B25AA4" w:rsidRDefault="003129FE" w:rsidP="0021502F">
      <w:pPr>
        <w:spacing w:after="220" w:line="240" w:lineRule="auto"/>
        <w:ind w:left="720"/>
        <w:jc w:val="both"/>
        <w:rPr>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FC1197">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360" w:header="720" w:footer="432"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27A7" w14:textId="77777777" w:rsidR="00FC1197" w:rsidRDefault="00FC1197">
      <w:pPr>
        <w:spacing w:after="0" w:line="240" w:lineRule="auto"/>
      </w:pPr>
      <w:r>
        <w:separator/>
      </w:r>
    </w:p>
  </w:endnote>
  <w:endnote w:type="continuationSeparator" w:id="0">
    <w:p w14:paraId="06A35E78" w14:textId="77777777" w:rsidR="00FC1197" w:rsidRDefault="00FC1197">
      <w:pPr>
        <w:spacing w:after="0" w:line="240" w:lineRule="auto"/>
      </w:pPr>
      <w:r>
        <w:continuationSeparator/>
      </w:r>
    </w:p>
  </w:endnote>
  <w:endnote w:type="continuationNotice" w:id="1">
    <w:p w14:paraId="77CB85DB" w14:textId="77777777" w:rsidR="00FC1197" w:rsidRDefault="00FC1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FC1197" w:rsidRPr="00B75DCB" w:rsidRDefault="00FC1197"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FA8" w14:textId="0D736C8B" w:rsidR="00FC1197" w:rsidRPr="00235B94" w:rsidRDefault="00FC1197" w:rsidP="00FC1197">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r w:rsidR="004405B0">
      <w:rPr>
        <w:rFonts w:ascii="Times New Roman" w:hAnsi="Times New Roman"/>
        <w:sz w:val="18"/>
        <w:szCs w:val="18"/>
      </w:rPr>
      <w:t>1</w:t>
    </w:r>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sz w:val="18"/>
        <w:szCs w:val="18"/>
      </w:rPr>
      <w:t>1</w:t>
    </w:r>
    <w:r w:rsidRPr="001C52B6">
      <w:rPr>
        <w:rFonts w:ascii="Times New Roman" w:hAnsi="Times New Roman"/>
        <w:noProof/>
        <w:sz w:val="18"/>
        <w:szCs w:val="18"/>
      </w:rPr>
      <w:fldChar w:fldCharType="end"/>
    </w:r>
  </w:p>
  <w:p w14:paraId="36DCE374" w14:textId="77777777" w:rsidR="00FC1197" w:rsidRDefault="00FC1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00A3" w14:textId="77777777" w:rsidR="00FC1197" w:rsidRPr="00235B94" w:rsidRDefault="00FC1197" w:rsidP="00FC1197">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rPr>
      <w:t>1</w:t>
    </w:r>
    <w:r>
      <w:rPr>
        <w:rFonts w:ascii="Times New Roman" w:hAnsi="Times New Roman"/>
        <w:sz w:val="18"/>
        <w:szCs w:val="18"/>
      </w:rPr>
      <w:fldChar w:fldCharType="end"/>
    </w:r>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sz w:val="18"/>
        <w:szCs w:val="18"/>
      </w:rPr>
      <w:t>1</w:t>
    </w:r>
    <w:r w:rsidRPr="001C52B6">
      <w:rPr>
        <w:rFonts w:ascii="Times New Roman" w:hAnsi="Times New Roman"/>
        <w:noProof/>
        <w:sz w:val="18"/>
        <w:szCs w:val="18"/>
      </w:rPr>
      <w:fldChar w:fldCharType="end"/>
    </w:r>
  </w:p>
  <w:p w14:paraId="7382750C" w14:textId="251AA763" w:rsidR="00FC1197" w:rsidRPr="00145D86" w:rsidRDefault="00FC1197" w:rsidP="0014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EF2B" w14:textId="77777777" w:rsidR="00FC1197" w:rsidRDefault="00FC1197">
      <w:pPr>
        <w:spacing w:after="0" w:line="240" w:lineRule="auto"/>
      </w:pPr>
      <w:r>
        <w:separator/>
      </w:r>
    </w:p>
  </w:footnote>
  <w:footnote w:type="continuationSeparator" w:id="0">
    <w:p w14:paraId="6D067419" w14:textId="77777777" w:rsidR="00FC1197" w:rsidRDefault="00FC1197">
      <w:pPr>
        <w:spacing w:after="0" w:line="240" w:lineRule="auto"/>
      </w:pPr>
      <w:r>
        <w:continuationSeparator/>
      </w:r>
    </w:p>
  </w:footnote>
  <w:footnote w:type="continuationNotice" w:id="1">
    <w:p w14:paraId="56C6330F" w14:textId="77777777" w:rsidR="00FC1197" w:rsidRDefault="00FC1197">
      <w:pPr>
        <w:spacing w:after="0" w:line="240" w:lineRule="auto"/>
      </w:pPr>
    </w:p>
  </w:footnote>
  <w:footnote w:id="2">
    <w:p w14:paraId="72934B2C" w14:textId="77777777" w:rsidR="00FC1197" w:rsidRDefault="00FC1197" w:rsidP="005A72E6">
      <w:pPr>
        <w:pStyle w:val="FootnoteText"/>
      </w:pPr>
      <w:r>
        <w:rPr>
          <w:rStyle w:val="FootnoteReference"/>
        </w:rPr>
        <w:footnoteRef/>
      </w:r>
      <w:r>
        <w:t xml:space="preserve"> Deferred hedge gains/losses developed under SSAP108 are not included in the value of the starting assets.</w:t>
      </w:r>
    </w:p>
  </w:footnote>
  <w:footnote w:id="3">
    <w:p w14:paraId="00A23CB1" w14:textId="77777777" w:rsidR="00FC1197" w:rsidRPr="00AA18C7" w:rsidRDefault="00FC1197" w:rsidP="004E4618">
      <w:pPr>
        <w:spacing w:after="220" w:line="240" w:lineRule="auto"/>
        <w:ind w:left="1440"/>
        <w:rPr>
          <w:rFonts w:ascii="Times New Roman" w:eastAsia="Times New Roman" w:hAnsi="Times New Roman"/>
        </w:rPr>
      </w:pPr>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p>
    <w:p w14:paraId="6AFEFCA2" w14:textId="77777777" w:rsidR="00FC1197" w:rsidRDefault="00FC1197" w:rsidP="004E4618">
      <w:pPr>
        <w:pStyle w:val="FootnoteText"/>
      </w:pPr>
    </w:p>
  </w:footnote>
  <w:footnote w:id="4">
    <w:p w14:paraId="1A2393B8" w14:textId="77777777" w:rsidR="00FC1197" w:rsidRPr="00465680" w:rsidRDefault="00FC1197" w:rsidP="004E4618">
      <w:pPr>
        <w:tabs>
          <w:tab w:val="left" w:pos="2260"/>
        </w:tabs>
        <w:spacing w:after="220" w:line="240" w:lineRule="auto"/>
        <w:ind w:left="360"/>
        <w:rPr>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FC1197" w:rsidRPr="00063E8C" w:rsidRDefault="00FC1197"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1565674"/>
      <w:docPartObj>
        <w:docPartGallery w:val="Page Numbers (Top of Page)"/>
        <w:docPartUnique/>
      </w:docPartObj>
    </w:sdtPr>
    <w:sdtEndPr>
      <w:rPr>
        <w:rStyle w:val="PageNumber"/>
      </w:rPr>
    </w:sdtEndPr>
    <w:sdtContent>
      <w:p w14:paraId="3DED5CE4" w14:textId="75306C65" w:rsidR="00FC1197" w:rsidRDefault="00FC1197" w:rsidP="00B420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2463E" w14:textId="77777777" w:rsidR="00FC1197" w:rsidRPr="00B75DCB" w:rsidRDefault="00FC1197" w:rsidP="00B22FED">
    <w:pPr>
      <w:pStyle w:val="Header"/>
      <w:tabs>
        <w:tab w:val="clear" w:pos="4680"/>
      </w:tabs>
      <w:ind w:right="360"/>
      <w:rPr>
        <w:rFonts w:ascii="Times New Roman" w:hAnsi="Times New Roman"/>
        <w:b/>
        <w:sz w:val="18"/>
      </w:rPr>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21842"/>
      <w:docPartObj>
        <w:docPartGallery w:val="Page Numbers (Top of Page)"/>
        <w:docPartUnique/>
      </w:docPartObj>
    </w:sdtPr>
    <w:sdtEndPr>
      <w:rPr>
        <w:rStyle w:val="PageNumber"/>
      </w:rPr>
    </w:sdtEndPr>
    <w:sdtContent>
      <w:p w14:paraId="3E4800C6" w14:textId="6F71900C" w:rsidR="00FC1197" w:rsidRDefault="00960FE5" w:rsidP="00B4207B">
        <w:pPr>
          <w:pStyle w:val="Header"/>
          <w:framePr w:wrap="none" w:vAnchor="text" w:hAnchor="margin" w:xAlign="right" w:y="1"/>
          <w:rPr>
            <w:rStyle w:val="PageNumber"/>
          </w:rPr>
        </w:pPr>
      </w:p>
    </w:sdtContent>
  </w:sdt>
  <w:p w14:paraId="7BAA1938" w14:textId="77777777" w:rsidR="00FC1197" w:rsidRPr="000920F1" w:rsidRDefault="00FC1197" w:rsidP="00B22FE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09532793" w:rsidR="00FC1197" w:rsidRPr="00600360" w:rsidRDefault="00FC1197"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Pr>
        <w:rFonts w:ascii="Times New Roman" w:hAnsi="Times New Roman"/>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8"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4"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6"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7"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6"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7"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419C3CCD"/>
    <w:multiLevelType w:val="multilevel"/>
    <w:tmpl w:val="2488F566"/>
    <w:numStyleLink w:val="VMOutline"/>
  </w:abstractNum>
  <w:abstractNum w:abstractNumId="114"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5"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7"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1"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5"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6"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8"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39"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0"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1"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6"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7"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0"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7"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8"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59"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0"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1"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B973D32"/>
    <w:multiLevelType w:val="hybridMultilevel"/>
    <w:tmpl w:val="83A4A6E2"/>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68"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9"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1"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6"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77"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0"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1"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5"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6"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89"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0"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4"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2"/>
  </w:num>
  <w:num w:numId="2">
    <w:abstractNumId w:val="198"/>
  </w:num>
  <w:num w:numId="3">
    <w:abstractNumId w:val="13"/>
  </w:num>
  <w:num w:numId="4">
    <w:abstractNumId w:val="24"/>
  </w:num>
  <w:num w:numId="5">
    <w:abstractNumId w:val="97"/>
  </w:num>
  <w:num w:numId="6">
    <w:abstractNumId w:val="66"/>
  </w:num>
  <w:num w:numId="7">
    <w:abstractNumId w:val="160"/>
  </w:num>
  <w:num w:numId="8">
    <w:abstractNumId w:val="95"/>
  </w:num>
  <w:num w:numId="9">
    <w:abstractNumId w:val="193"/>
  </w:num>
  <w:num w:numId="10">
    <w:abstractNumId w:val="63"/>
  </w:num>
  <w:num w:numId="11">
    <w:abstractNumId w:val="120"/>
  </w:num>
  <w:num w:numId="12">
    <w:abstractNumId w:val="46"/>
  </w:num>
  <w:num w:numId="13">
    <w:abstractNumId w:val="185"/>
  </w:num>
  <w:num w:numId="14">
    <w:abstractNumId w:val="20"/>
  </w:num>
  <w:num w:numId="15">
    <w:abstractNumId w:val="139"/>
  </w:num>
  <w:num w:numId="16">
    <w:abstractNumId w:val="115"/>
  </w:num>
  <w:num w:numId="17">
    <w:abstractNumId w:val="143"/>
  </w:num>
  <w:num w:numId="18">
    <w:abstractNumId w:val="128"/>
  </w:num>
  <w:num w:numId="19">
    <w:abstractNumId w:val="55"/>
  </w:num>
  <w:num w:numId="20">
    <w:abstractNumId w:val="158"/>
  </w:num>
  <w:num w:numId="21">
    <w:abstractNumId w:val="0"/>
  </w:num>
  <w:num w:numId="22">
    <w:abstractNumId w:val="11"/>
  </w:num>
  <w:num w:numId="23">
    <w:abstractNumId w:val="82"/>
  </w:num>
  <w:num w:numId="24">
    <w:abstractNumId w:val="25"/>
  </w:num>
  <w:num w:numId="25">
    <w:abstractNumId w:val="146"/>
  </w:num>
  <w:num w:numId="26">
    <w:abstractNumId w:val="107"/>
  </w:num>
  <w:num w:numId="27">
    <w:abstractNumId w:val="180"/>
  </w:num>
  <w:num w:numId="28">
    <w:abstractNumId w:val="176"/>
  </w:num>
  <w:num w:numId="29">
    <w:abstractNumId w:val="192"/>
  </w:num>
  <w:num w:numId="30">
    <w:abstractNumId w:val="171"/>
  </w:num>
  <w:num w:numId="31">
    <w:abstractNumId w:val="57"/>
  </w:num>
  <w:num w:numId="32">
    <w:abstractNumId w:val="187"/>
  </w:num>
  <w:num w:numId="33">
    <w:abstractNumId w:val="174"/>
  </w:num>
  <w:num w:numId="34">
    <w:abstractNumId w:val="90"/>
  </w:num>
  <w:num w:numId="35">
    <w:abstractNumId w:val="41"/>
  </w:num>
  <w:num w:numId="36">
    <w:abstractNumId w:val="164"/>
  </w:num>
  <w:num w:numId="37">
    <w:abstractNumId w:val="29"/>
  </w:num>
  <w:num w:numId="38">
    <w:abstractNumId w:val="39"/>
  </w:num>
  <w:num w:numId="39">
    <w:abstractNumId w:val="133"/>
  </w:num>
  <w:num w:numId="40">
    <w:abstractNumId w:val="62"/>
  </w:num>
  <w:num w:numId="41">
    <w:abstractNumId w:val="69"/>
  </w:num>
  <w:num w:numId="42">
    <w:abstractNumId w:val="49"/>
  </w:num>
  <w:num w:numId="43">
    <w:abstractNumId w:val="144"/>
  </w:num>
  <w:num w:numId="44">
    <w:abstractNumId w:val="92"/>
  </w:num>
  <w:num w:numId="45">
    <w:abstractNumId w:val="181"/>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7"/>
  </w:num>
  <w:num w:numId="53">
    <w:abstractNumId w:val="118"/>
  </w:num>
  <w:num w:numId="54">
    <w:abstractNumId w:val="98"/>
  </w:num>
  <w:num w:numId="55">
    <w:abstractNumId w:val="136"/>
  </w:num>
  <w:num w:numId="56">
    <w:abstractNumId w:val="161"/>
  </w:num>
  <w:num w:numId="57">
    <w:abstractNumId w:val="103"/>
  </w:num>
  <w:num w:numId="58">
    <w:abstractNumId w:val="89"/>
  </w:num>
  <w:num w:numId="59">
    <w:abstractNumId w:val="12"/>
  </w:num>
  <w:num w:numId="60">
    <w:abstractNumId w:val="58"/>
  </w:num>
  <w:num w:numId="61">
    <w:abstractNumId w:val="71"/>
  </w:num>
  <w:num w:numId="62">
    <w:abstractNumId w:val="121"/>
  </w:num>
  <w:num w:numId="63">
    <w:abstractNumId w:val="183"/>
  </w:num>
  <w:num w:numId="64">
    <w:abstractNumId w:val="2"/>
  </w:num>
  <w:num w:numId="65">
    <w:abstractNumId w:val="189"/>
  </w:num>
  <w:num w:numId="66">
    <w:abstractNumId w:val="22"/>
  </w:num>
  <w:num w:numId="67">
    <w:abstractNumId w:val="37"/>
  </w:num>
  <w:num w:numId="68">
    <w:abstractNumId w:val="135"/>
  </w:num>
  <w:num w:numId="69">
    <w:abstractNumId w:val="48"/>
  </w:num>
  <w:num w:numId="70">
    <w:abstractNumId w:val="182"/>
  </w:num>
  <w:num w:numId="71">
    <w:abstractNumId w:val="131"/>
  </w:num>
  <w:num w:numId="72">
    <w:abstractNumId w:val="155"/>
  </w:num>
  <w:num w:numId="73">
    <w:abstractNumId w:val="186"/>
  </w:num>
  <w:num w:numId="74">
    <w:abstractNumId w:val="127"/>
  </w:num>
  <w:num w:numId="75">
    <w:abstractNumId w:val="51"/>
  </w:num>
  <w:num w:numId="76">
    <w:abstractNumId w:val="32"/>
  </w:num>
  <w:num w:numId="77">
    <w:abstractNumId w:val="108"/>
  </w:num>
  <w:num w:numId="78">
    <w:abstractNumId w:val="84"/>
  </w:num>
  <w:num w:numId="79">
    <w:abstractNumId w:val="6"/>
  </w:num>
  <w:num w:numId="80">
    <w:abstractNumId w:val="162"/>
  </w:num>
  <w:num w:numId="81">
    <w:abstractNumId w:val="91"/>
  </w:num>
  <w:num w:numId="82">
    <w:abstractNumId w:val="191"/>
  </w:num>
  <w:num w:numId="83">
    <w:abstractNumId w:val="178"/>
  </w:num>
  <w:num w:numId="84">
    <w:abstractNumId w:val="85"/>
  </w:num>
  <w:num w:numId="85">
    <w:abstractNumId w:val="74"/>
  </w:num>
  <w:num w:numId="86">
    <w:abstractNumId w:val="14"/>
  </w:num>
  <w:num w:numId="87">
    <w:abstractNumId w:val="93"/>
  </w:num>
  <w:num w:numId="88">
    <w:abstractNumId w:val="101"/>
  </w:num>
  <w:num w:numId="89">
    <w:abstractNumId w:val="102"/>
  </w:num>
  <w:num w:numId="90">
    <w:abstractNumId w:val="67"/>
  </w:num>
  <w:num w:numId="91">
    <w:abstractNumId w:val="3"/>
  </w:num>
  <w:num w:numId="92">
    <w:abstractNumId w:val="141"/>
  </w:num>
  <w:num w:numId="93">
    <w:abstractNumId w:val="156"/>
  </w:num>
  <w:num w:numId="94">
    <w:abstractNumId w:val="109"/>
  </w:num>
  <w:num w:numId="95">
    <w:abstractNumId w:val="122"/>
  </w:num>
  <w:num w:numId="96">
    <w:abstractNumId w:val="19"/>
  </w:num>
  <w:num w:numId="97">
    <w:abstractNumId w:val="112"/>
  </w:num>
  <w:num w:numId="98">
    <w:abstractNumId w:val="104"/>
  </w:num>
  <w:num w:numId="99">
    <w:abstractNumId w:val="166"/>
  </w:num>
  <w:num w:numId="100">
    <w:abstractNumId w:val="10"/>
  </w:num>
  <w:num w:numId="101">
    <w:abstractNumId w:val="188"/>
  </w:num>
  <w:num w:numId="102">
    <w:abstractNumId w:val="159"/>
  </w:num>
  <w:num w:numId="103">
    <w:abstractNumId w:val="9"/>
  </w:num>
  <w:num w:numId="104">
    <w:abstractNumId w:val="64"/>
  </w:num>
  <w:num w:numId="105">
    <w:abstractNumId w:val="123"/>
  </w:num>
  <w:num w:numId="106">
    <w:abstractNumId w:val="111"/>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0"/>
  </w:num>
  <w:num w:numId="112">
    <w:abstractNumId w:val="113"/>
  </w:num>
  <w:num w:numId="113">
    <w:abstractNumId w:val="149"/>
  </w:num>
  <w:num w:numId="114">
    <w:abstractNumId w:val="117"/>
  </w:num>
  <w:num w:numId="115">
    <w:abstractNumId w:val="56"/>
  </w:num>
  <w:num w:numId="116">
    <w:abstractNumId w:val="116"/>
  </w:num>
  <w:num w:numId="117">
    <w:abstractNumId w:val="190"/>
  </w:num>
  <w:num w:numId="118">
    <w:abstractNumId w:val="65"/>
  </w:num>
  <w:num w:numId="119">
    <w:abstractNumId w:val="184"/>
  </w:num>
  <w:num w:numId="120">
    <w:abstractNumId w:val="134"/>
  </w:num>
  <w:num w:numId="121">
    <w:abstractNumId w:val="36"/>
  </w:num>
  <w:num w:numId="122">
    <w:abstractNumId w:val="154"/>
  </w:num>
  <w:num w:numId="123">
    <w:abstractNumId w:val="53"/>
  </w:num>
  <w:num w:numId="124">
    <w:abstractNumId w:val="124"/>
  </w:num>
  <w:num w:numId="125">
    <w:abstractNumId w:val="86"/>
  </w:num>
  <w:num w:numId="126">
    <w:abstractNumId w:val="130"/>
  </w:num>
  <w:num w:numId="127">
    <w:abstractNumId w:val="195"/>
  </w:num>
  <w:num w:numId="128">
    <w:abstractNumId w:val="170"/>
  </w:num>
  <w:num w:numId="129">
    <w:abstractNumId w:val="132"/>
  </w:num>
  <w:num w:numId="130">
    <w:abstractNumId w:val="105"/>
  </w:num>
  <w:num w:numId="131">
    <w:abstractNumId w:val="137"/>
  </w:num>
  <w:num w:numId="132">
    <w:abstractNumId w:val="150"/>
  </w:num>
  <w:num w:numId="133">
    <w:abstractNumId w:val="15"/>
  </w:num>
  <w:num w:numId="134">
    <w:abstractNumId w:val="96"/>
  </w:num>
  <w:num w:numId="135">
    <w:abstractNumId w:val="43"/>
  </w:num>
  <w:num w:numId="136">
    <w:abstractNumId w:val="79"/>
  </w:num>
  <w:num w:numId="137">
    <w:abstractNumId w:val="140"/>
  </w:num>
  <w:num w:numId="138">
    <w:abstractNumId w:val="27"/>
  </w:num>
  <w:num w:numId="139">
    <w:abstractNumId w:val="28"/>
  </w:num>
  <w:num w:numId="140">
    <w:abstractNumId w:val="168"/>
  </w:num>
  <w:num w:numId="141">
    <w:abstractNumId w:val="179"/>
  </w:num>
  <w:num w:numId="142">
    <w:abstractNumId w:val="175"/>
  </w:num>
  <w:num w:numId="143">
    <w:abstractNumId w:val="77"/>
  </w:num>
  <w:num w:numId="144">
    <w:abstractNumId w:val="194"/>
  </w:num>
  <w:num w:numId="145">
    <w:abstractNumId w:val="197"/>
  </w:num>
  <w:num w:numId="146">
    <w:abstractNumId w:val="33"/>
  </w:num>
  <w:num w:numId="147">
    <w:abstractNumId w:val="17"/>
  </w:num>
  <w:num w:numId="148">
    <w:abstractNumId w:val="106"/>
  </w:num>
  <w:num w:numId="149">
    <w:abstractNumId w:val="196"/>
  </w:num>
  <w:num w:numId="150">
    <w:abstractNumId w:val="23"/>
  </w:num>
  <w:num w:numId="151">
    <w:abstractNumId w:val="78"/>
  </w:num>
  <w:num w:numId="152">
    <w:abstractNumId w:val="114"/>
  </w:num>
  <w:num w:numId="153">
    <w:abstractNumId w:val="167"/>
  </w:num>
  <w:num w:numId="154">
    <w:abstractNumId w:val="75"/>
  </w:num>
  <w:num w:numId="155">
    <w:abstractNumId w:val="145"/>
  </w:num>
  <w:num w:numId="156">
    <w:abstractNumId w:val="59"/>
  </w:num>
  <w:num w:numId="157">
    <w:abstractNumId w:val="172"/>
  </w:num>
  <w:num w:numId="158">
    <w:abstractNumId w:val="70"/>
  </w:num>
  <w:num w:numId="159">
    <w:abstractNumId w:val="165"/>
  </w:num>
  <w:num w:numId="160">
    <w:abstractNumId w:val="142"/>
  </w:num>
  <w:num w:numId="161">
    <w:abstractNumId w:val="88"/>
  </w:num>
  <w:num w:numId="162">
    <w:abstractNumId w:val="50"/>
  </w:num>
  <w:num w:numId="163">
    <w:abstractNumId w:val="44"/>
  </w:num>
  <w:num w:numId="164">
    <w:abstractNumId w:val="26"/>
  </w:num>
  <w:num w:numId="165">
    <w:abstractNumId w:val="148"/>
  </w:num>
  <w:num w:numId="166">
    <w:abstractNumId w:val="94"/>
  </w:num>
  <w:num w:numId="167">
    <w:abstractNumId w:val="1"/>
  </w:num>
  <w:num w:numId="168">
    <w:abstractNumId w:val="7"/>
  </w:num>
  <w:num w:numId="169">
    <w:abstractNumId w:val="87"/>
  </w:num>
  <w:num w:numId="170">
    <w:abstractNumId w:val="31"/>
  </w:num>
  <w:num w:numId="171">
    <w:abstractNumId w:val="81"/>
  </w:num>
  <w:num w:numId="172">
    <w:abstractNumId w:val="83"/>
  </w:num>
  <w:num w:numId="173">
    <w:abstractNumId w:val="126"/>
  </w:num>
  <w:num w:numId="174">
    <w:abstractNumId w:val="5"/>
  </w:num>
  <w:num w:numId="175">
    <w:abstractNumId w:val="30"/>
  </w:num>
  <w:num w:numId="176">
    <w:abstractNumId w:val="4"/>
  </w:num>
  <w:num w:numId="177">
    <w:abstractNumId w:val="40"/>
  </w:num>
  <w:num w:numId="178">
    <w:abstractNumId w:val="157"/>
  </w:num>
  <w:num w:numId="179">
    <w:abstractNumId w:val="138"/>
  </w:num>
  <w:num w:numId="180">
    <w:abstractNumId w:val="68"/>
  </w:num>
  <w:num w:numId="181">
    <w:abstractNumId w:val="42"/>
  </w:num>
  <w:num w:numId="182">
    <w:abstractNumId w:val="151"/>
  </w:num>
  <w:num w:numId="183">
    <w:abstractNumId w:val="163"/>
  </w:num>
  <w:num w:numId="184">
    <w:abstractNumId w:val="129"/>
  </w:num>
  <w:num w:numId="185">
    <w:abstractNumId w:val="177"/>
  </w:num>
  <w:num w:numId="186">
    <w:abstractNumId w:val="60"/>
  </w:num>
  <w:num w:numId="187">
    <w:abstractNumId w:val="35"/>
  </w:num>
  <w:num w:numId="188">
    <w:abstractNumId w:val="54"/>
  </w:num>
  <w:num w:numId="189">
    <w:abstractNumId w:val="119"/>
  </w:num>
  <w:num w:numId="190">
    <w:abstractNumId w:val="125"/>
  </w:num>
  <w:num w:numId="191">
    <w:abstractNumId w:val="110"/>
  </w:num>
  <w:num w:numId="192">
    <w:abstractNumId w:val="73"/>
  </w:num>
  <w:num w:numId="193">
    <w:abstractNumId w:val="16"/>
  </w:num>
  <w:num w:numId="194">
    <w:abstractNumId w:val="153"/>
  </w:num>
  <w:num w:numId="195">
    <w:abstractNumId w:val="34"/>
  </w:num>
  <w:num w:numId="196">
    <w:abstractNumId w:val="52"/>
  </w:num>
  <w:num w:numId="197">
    <w:abstractNumId w:val="99"/>
  </w:num>
  <w:num w:numId="198">
    <w:abstractNumId w:val="100"/>
  </w:num>
  <w:num w:numId="199">
    <w:abstractNumId w:val="76"/>
  </w:num>
  <w:num w:numId="200">
    <w:abstractNumId w:val="72"/>
  </w:num>
  <w:num w:numId="201">
    <w:abstractNumId w:val="61"/>
  </w:num>
  <w:num w:numId="202">
    <w:abstractNumId w:val="199"/>
  </w:num>
  <w:num w:numId="203">
    <w:abstractNumId w:val="169"/>
  </w:num>
  <w:num w:numId="204">
    <w:abstractNumId w:val="8"/>
  </w:num>
  <w:num w:numId="205">
    <w:abstractNumId w:val="173"/>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736"/>
    <w:rsid w:val="00171696"/>
    <w:rsid w:val="001717EE"/>
    <w:rsid w:val="00172F40"/>
    <w:rsid w:val="00174C25"/>
    <w:rsid w:val="00175327"/>
    <w:rsid w:val="001758A0"/>
    <w:rsid w:val="00176D4B"/>
    <w:rsid w:val="00180D4F"/>
    <w:rsid w:val="001830EE"/>
    <w:rsid w:val="00183B01"/>
    <w:rsid w:val="00190B3A"/>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E2591"/>
    <w:rsid w:val="001E4322"/>
    <w:rsid w:val="001E4927"/>
    <w:rsid w:val="001E5443"/>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D13"/>
    <w:rsid w:val="00290596"/>
    <w:rsid w:val="00290B90"/>
    <w:rsid w:val="00292D3B"/>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55F8"/>
    <w:rsid w:val="00356031"/>
    <w:rsid w:val="003563BF"/>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C43"/>
    <w:rsid w:val="004319FC"/>
    <w:rsid w:val="004343FA"/>
    <w:rsid w:val="004347B2"/>
    <w:rsid w:val="00434F62"/>
    <w:rsid w:val="0043553B"/>
    <w:rsid w:val="0043697C"/>
    <w:rsid w:val="00437E0D"/>
    <w:rsid w:val="004405B0"/>
    <w:rsid w:val="00440EE7"/>
    <w:rsid w:val="00442AE9"/>
    <w:rsid w:val="004430A5"/>
    <w:rsid w:val="00444047"/>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075"/>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5BD"/>
    <w:rsid w:val="005B2E9B"/>
    <w:rsid w:val="005B3BEC"/>
    <w:rsid w:val="005B3DCD"/>
    <w:rsid w:val="005B576E"/>
    <w:rsid w:val="005B633D"/>
    <w:rsid w:val="005B6712"/>
    <w:rsid w:val="005B7702"/>
    <w:rsid w:val="005B7E6B"/>
    <w:rsid w:val="005C0795"/>
    <w:rsid w:val="005C48C2"/>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39AC"/>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364"/>
    <w:rsid w:val="005F447A"/>
    <w:rsid w:val="005F5D92"/>
    <w:rsid w:val="005F6EC6"/>
    <w:rsid w:val="005F72EB"/>
    <w:rsid w:val="005F7412"/>
    <w:rsid w:val="0060001D"/>
    <w:rsid w:val="00600360"/>
    <w:rsid w:val="0060092D"/>
    <w:rsid w:val="006018A0"/>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B3D"/>
    <w:rsid w:val="006D5ED5"/>
    <w:rsid w:val="006D79C2"/>
    <w:rsid w:val="006E06E8"/>
    <w:rsid w:val="006E110B"/>
    <w:rsid w:val="006E172E"/>
    <w:rsid w:val="006E2E05"/>
    <w:rsid w:val="006E3027"/>
    <w:rsid w:val="006E4ADC"/>
    <w:rsid w:val="006E6F7F"/>
    <w:rsid w:val="006E71F9"/>
    <w:rsid w:val="006F1C91"/>
    <w:rsid w:val="006F1F7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2B4"/>
    <w:rsid w:val="0071513F"/>
    <w:rsid w:val="0071555B"/>
    <w:rsid w:val="007205A5"/>
    <w:rsid w:val="00722849"/>
    <w:rsid w:val="00722D26"/>
    <w:rsid w:val="007240CA"/>
    <w:rsid w:val="00724A49"/>
    <w:rsid w:val="00724C20"/>
    <w:rsid w:val="00727C09"/>
    <w:rsid w:val="00727DE4"/>
    <w:rsid w:val="0073072C"/>
    <w:rsid w:val="00730EC7"/>
    <w:rsid w:val="00731DA2"/>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150A"/>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0FE5"/>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54B0"/>
    <w:rsid w:val="00A077AA"/>
    <w:rsid w:val="00A10831"/>
    <w:rsid w:val="00A10D46"/>
    <w:rsid w:val="00A111E3"/>
    <w:rsid w:val="00A11601"/>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2FED"/>
    <w:rsid w:val="00B255F8"/>
    <w:rsid w:val="00B25858"/>
    <w:rsid w:val="00B270D4"/>
    <w:rsid w:val="00B27926"/>
    <w:rsid w:val="00B3057E"/>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0EF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6869"/>
    <w:rsid w:val="00C57490"/>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687A"/>
    <w:rsid w:val="00C928A3"/>
    <w:rsid w:val="00C9309F"/>
    <w:rsid w:val="00C935D3"/>
    <w:rsid w:val="00C96564"/>
    <w:rsid w:val="00CA1DFC"/>
    <w:rsid w:val="00CA211B"/>
    <w:rsid w:val="00CA2188"/>
    <w:rsid w:val="00CA29F5"/>
    <w:rsid w:val="00CA4D52"/>
    <w:rsid w:val="00CA519B"/>
    <w:rsid w:val="00CA5BBF"/>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47B0"/>
    <w:rsid w:val="00CE5367"/>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11AFD"/>
    <w:rsid w:val="00D12553"/>
    <w:rsid w:val="00D1497A"/>
    <w:rsid w:val="00D16DEB"/>
    <w:rsid w:val="00D17C56"/>
    <w:rsid w:val="00D2245E"/>
    <w:rsid w:val="00D225D4"/>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3686A"/>
    <w:rsid w:val="00D40E92"/>
    <w:rsid w:val="00D415BC"/>
    <w:rsid w:val="00D4335B"/>
    <w:rsid w:val="00D43B89"/>
    <w:rsid w:val="00D443C2"/>
    <w:rsid w:val="00D453E9"/>
    <w:rsid w:val="00D45C69"/>
    <w:rsid w:val="00D50D22"/>
    <w:rsid w:val="00D52208"/>
    <w:rsid w:val="00D538E4"/>
    <w:rsid w:val="00D541EC"/>
    <w:rsid w:val="00D54826"/>
    <w:rsid w:val="00D5516E"/>
    <w:rsid w:val="00D55998"/>
    <w:rsid w:val="00D55C2E"/>
    <w:rsid w:val="00D564C5"/>
    <w:rsid w:val="00D565FA"/>
    <w:rsid w:val="00D60442"/>
    <w:rsid w:val="00D60FFF"/>
    <w:rsid w:val="00D6171C"/>
    <w:rsid w:val="00D618C9"/>
    <w:rsid w:val="00D6477A"/>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BF9"/>
    <w:rsid w:val="00E25C30"/>
    <w:rsid w:val="00E30887"/>
    <w:rsid w:val="00E311C6"/>
    <w:rsid w:val="00E312DA"/>
    <w:rsid w:val="00E328BB"/>
    <w:rsid w:val="00E365F3"/>
    <w:rsid w:val="00E37CCD"/>
    <w:rsid w:val="00E37D62"/>
    <w:rsid w:val="00E42AE0"/>
    <w:rsid w:val="00E4391A"/>
    <w:rsid w:val="00E44E49"/>
    <w:rsid w:val="00E4732C"/>
    <w:rsid w:val="00E50E7E"/>
    <w:rsid w:val="00E51827"/>
    <w:rsid w:val="00E52D8B"/>
    <w:rsid w:val="00E5402A"/>
    <w:rsid w:val="00E545FD"/>
    <w:rsid w:val="00E553B0"/>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6BF5"/>
    <w:rsid w:val="00E971CB"/>
    <w:rsid w:val="00EA10CB"/>
    <w:rsid w:val="00EA1C7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4301"/>
    <w:rsid w:val="00EE4378"/>
    <w:rsid w:val="00EE50A0"/>
    <w:rsid w:val="00EE6D1D"/>
    <w:rsid w:val="00EE7910"/>
    <w:rsid w:val="00EF20B4"/>
    <w:rsid w:val="00EF2996"/>
    <w:rsid w:val="00EF2B0C"/>
    <w:rsid w:val="00EF3635"/>
    <w:rsid w:val="00EF40A4"/>
    <w:rsid w:val="00EF5A28"/>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05AF"/>
    <w:rsid w:val="00FB1D77"/>
    <w:rsid w:val="00FB1FC6"/>
    <w:rsid w:val="00FC093D"/>
    <w:rsid w:val="00FC1197"/>
    <w:rsid w:val="00FC176A"/>
    <w:rsid w:val="00FC19A4"/>
    <w:rsid w:val="00FC25EB"/>
    <w:rsid w:val="00FC2F66"/>
    <w:rsid w:val="00FC3BCF"/>
    <w:rsid w:val="00FC43B9"/>
    <w:rsid w:val="00FC591F"/>
    <w:rsid w:val="00FC6752"/>
    <w:rsid w:val="00FC705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01.safelinks.protection.outlook.com/?url=http%3A%2F%2Fwww.actuary.org%2Fcontent%2Fc3-phase-ii-rbc-and-reserves-project&amp;data=02%7C01%7CPeter.Weber%40insurance.ohio.gov%7C8f8133ce9028459d3a8008d6a0d17544%7C50f8fcc494d84f0784eb36ed57c7c8a2%7C0%7C0%7C636873218817126031&amp;sdata=HcGPd6cvptVsklLd3FyD8Yb1mdwdjhKG7jiK8QuD%2FlY%3D&amp;reserved=0" TargetMode="External"/><Relationship Id="rId17" Type="http://schemas.openxmlformats.org/officeDocument/2006/relationships/image" Target="media/image5.wmf"/><Relationship Id="rId25" Type="http://schemas.openxmlformats.org/officeDocument/2006/relationships/hyperlink" Target="http://www.treas.gov/offices/domestic-finance/debt-management/interest-rate/yield_historical_main.s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actuary.org/life/phase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DD7E-3D9C-4156-BF91-AC92D13B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11</TotalTime>
  <Pages>75</Pages>
  <Words>29495</Words>
  <Characters>168126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197227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Mazyck, Reggie</cp:lastModifiedBy>
  <cp:revision>4</cp:revision>
  <cp:lastPrinted>2018-09-11T20:42:00Z</cp:lastPrinted>
  <dcterms:created xsi:type="dcterms:W3CDTF">2019-03-07T17:13:00Z</dcterms:created>
  <dcterms:modified xsi:type="dcterms:W3CDTF">2019-03-07T17:58:00Z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