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C3BC" w14:textId="443FD560"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bookmarkStart w:id="0" w:name="_GoBack"/>
      <w:bookmarkEnd w:id="0"/>
    </w:p>
    <w:p w14:paraId="088FEDB3"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149E9CCF"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23F26E31"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267A2219"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367AD9D2"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220324BC"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6DA4F2CC"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6C036648" w14:textId="188E1C8A" w:rsidR="00F143DD" w:rsidRPr="00AA24E8" w:rsidRDefault="003973A1" w:rsidP="00ED02D3">
      <w:pPr>
        <w:tabs>
          <w:tab w:val="left" w:pos="860"/>
        </w:tabs>
        <w:kinsoku w:val="0"/>
        <w:overflowPunct w:val="0"/>
        <w:autoSpaceDE w:val="0"/>
        <w:autoSpaceDN w:val="0"/>
        <w:adjustRightInd w:val="0"/>
        <w:spacing w:after="0" w:line="240" w:lineRule="auto"/>
        <w:ind w:left="864" w:right="144"/>
        <w:rPr>
          <w:rFonts w:cs="Calibri"/>
          <w:sz w:val="20"/>
          <w:szCs w:val="20"/>
        </w:rPr>
      </w:pPr>
      <w:r>
        <w:rPr>
          <w:rFonts w:ascii="Calibri" w:hAnsi="Calibri" w:cs="Calibri"/>
          <w:sz w:val="20"/>
          <w:szCs w:val="20"/>
        </w:rPr>
        <w:t>Mike Boerner, Texas Department of Insurance.  Edits applied to the Life PBR Exemption portion of the LATF adopted</w:t>
      </w:r>
      <w:r w:rsidR="008453FF">
        <w:rPr>
          <w:rFonts w:ascii="Calibri" w:hAnsi="Calibri" w:cs="Calibri"/>
          <w:sz w:val="20"/>
          <w:szCs w:val="20"/>
        </w:rPr>
        <w:t xml:space="preserve"> APF</w:t>
      </w:r>
      <w:r>
        <w:rPr>
          <w:rFonts w:ascii="Calibri" w:hAnsi="Calibri" w:cs="Calibri"/>
          <w:sz w:val="20"/>
          <w:szCs w:val="20"/>
        </w:rPr>
        <w:t xml:space="preserve"> 2018-08 </w:t>
      </w:r>
      <w:r w:rsidR="008453FF">
        <w:rPr>
          <w:rFonts w:ascii="Calibri" w:hAnsi="Calibri" w:cs="Calibri"/>
          <w:sz w:val="20"/>
          <w:szCs w:val="20"/>
        </w:rPr>
        <w:t xml:space="preserve">as provided </w:t>
      </w:r>
      <w:r>
        <w:rPr>
          <w:rFonts w:ascii="Calibri" w:hAnsi="Calibri" w:cs="Calibri"/>
          <w:sz w:val="20"/>
          <w:szCs w:val="20"/>
        </w:rPr>
        <w:t xml:space="preserve">on the Industry tab of the NAIC website.  These edits remove the </w:t>
      </w:r>
      <w:r w:rsidR="008453FF">
        <w:rPr>
          <w:rFonts w:ascii="Calibri" w:hAnsi="Calibri" w:cs="Calibri"/>
          <w:sz w:val="20"/>
          <w:szCs w:val="20"/>
        </w:rPr>
        <w:t>condition</w:t>
      </w:r>
      <w:r>
        <w:rPr>
          <w:rFonts w:ascii="Calibri" w:hAnsi="Calibri" w:cs="Calibri"/>
          <w:sz w:val="20"/>
          <w:szCs w:val="20"/>
        </w:rPr>
        <w:t xml:space="preserve"> for a non-qualified actuarial opinion and provide </w:t>
      </w:r>
      <w:r w:rsidR="008453FF">
        <w:rPr>
          <w:rFonts w:ascii="Calibri" w:hAnsi="Calibri" w:cs="Calibri"/>
          <w:sz w:val="20"/>
          <w:szCs w:val="20"/>
        </w:rPr>
        <w:t xml:space="preserve">greater </w:t>
      </w:r>
      <w:r w:rsidR="00F23159">
        <w:rPr>
          <w:rFonts w:ascii="Calibri" w:hAnsi="Calibri" w:cs="Calibri"/>
          <w:sz w:val="20"/>
          <w:szCs w:val="20"/>
        </w:rPr>
        <w:t xml:space="preserve">domiciliary </w:t>
      </w:r>
      <w:r>
        <w:rPr>
          <w:rFonts w:ascii="Calibri" w:hAnsi="Calibri" w:cs="Calibri"/>
          <w:sz w:val="20"/>
          <w:szCs w:val="20"/>
        </w:rPr>
        <w:t>commissioner discretion.</w:t>
      </w:r>
    </w:p>
    <w:p w14:paraId="5977C0D4" w14:textId="77777777" w:rsidR="00ED02D3" w:rsidRPr="00AA24E8" w:rsidRDefault="00ED02D3" w:rsidP="00ED02D3">
      <w:pPr>
        <w:tabs>
          <w:tab w:val="left" w:pos="860"/>
        </w:tabs>
        <w:kinsoku w:val="0"/>
        <w:overflowPunct w:val="0"/>
        <w:autoSpaceDE w:val="0"/>
        <w:autoSpaceDN w:val="0"/>
        <w:adjustRightInd w:val="0"/>
        <w:spacing w:after="0" w:line="240" w:lineRule="auto"/>
        <w:ind w:left="864" w:right="144"/>
        <w:rPr>
          <w:rFonts w:cs="Calibri"/>
          <w:sz w:val="20"/>
          <w:szCs w:val="20"/>
        </w:rPr>
      </w:pPr>
    </w:p>
    <w:p w14:paraId="622D7BC6" w14:textId="77777777"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 xml:space="preserve">n the document where the amendment is </w:t>
      </w:r>
      <w:r w:rsidRPr="008033E2">
        <w:rPr>
          <w:rFonts w:ascii="Calibri" w:hAnsi="Calibri" w:cs="Calibri"/>
          <w:spacing w:val="40"/>
          <w:sz w:val="20"/>
          <w:szCs w:val="20"/>
        </w:rPr>
        <w:t xml:space="preserve"> </w:t>
      </w:r>
      <w:r w:rsidRPr="008033E2">
        <w:rPr>
          <w:rFonts w:ascii="Calibri" w:hAnsi="Calibri" w:cs="Calibri"/>
          <w:sz w:val="20"/>
          <w:szCs w:val="20"/>
        </w:rPr>
        <w:t>proposed:</w:t>
      </w:r>
    </w:p>
    <w:p w14:paraId="05F25751"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3D0C5F9F" w14:textId="753FE793" w:rsidR="00F143DD" w:rsidRPr="008E6C3D" w:rsidRDefault="005A752B"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Pr>
          <w:rFonts w:ascii="Calibri" w:hAnsi="Calibri" w:cs="Calibri"/>
          <w:sz w:val="20"/>
          <w:szCs w:val="20"/>
        </w:rPr>
        <w:t>(January 1, 201</w:t>
      </w:r>
      <w:r w:rsidR="0075786E">
        <w:rPr>
          <w:rFonts w:ascii="Calibri" w:hAnsi="Calibri" w:cs="Calibri"/>
          <w:sz w:val="20"/>
          <w:szCs w:val="20"/>
        </w:rPr>
        <w:t>9</w:t>
      </w:r>
      <w:r>
        <w:rPr>
          <w:rFonts w:ascii="Calibri" w:hAnsi="Calibri" w:cs="Calibri"/>
          <w:sz w:val="20"/>
          <w:szCs w:val="20"/>
        </w:rPr>
        <w:t xml:space="preserve"> edition)</w:t>
      </w:r>
      <w:r w:rsidRPr="008033E2">
        <w:rPr>
          <w:rFonts w:ascii="Calibri" w:hAnsi="Calibri" w:cs="Calibri"/>
          <w:sz w:val="20"/>
          <w:szCs w:val="20"/>
        </w:rPr>
        <w:t>,</w:t>
      </w:r>
      <w:r w:rsidR="00D21A43">
        <w:rPr>
          <w:rFonts w:ascii="Calibri" w:hAnsi="Calibri" w:cs="Calibri"/>
          <w:sz w:val="20"/>
          <w:szCs w:val="20"/>
        </w:rPr>
        <w:t xml:space="preserve"> </w:t>
      </w:r>
      <w:r w:rsidR="00EA7E85">
        <w:rPr>
          <w:rFonts w:ascii="Calibri" w:hAnsi="Calibri" w:cs="Calibri"/>
          <w:sz w:val="20"/>
          <w:szCs w:val="20"/>
        </w:rPr>
        <w:t xml:space="preserve">Section II, </w:t>
      </w:r>
      <w:r w:rsidR="001053A1">
        <w:rPr>
          <w:rFonts w:ascii="Calibri" w:hAnsi="Calibri" w:cs="Calibri"/>
          <w:sz w:val="20"/>
          <w:szCs w:val="20"/>
        </w:rPr>
        <w:t xml:space="preserve">(1) </w:t>
      </w:r>
      <w:r w:rsidR="00EA7E85">
        <w:rPr>
          <w:rFonts w:ascii="Calibri" w:hAnsi="Calibri" w:cs="Calibri"/>
          <w:sz w:val="20"/>
          <w:szCs w:val="20"/>
        </w:rPr>
        <w:t>Life Insurance Products, Subsection D</w:t>
      </w:r>
      <w:r w:rsidR="00264A8E">
        <w:rPr>
          <w:rFonts w:ascii="Calibri" w:hAnsi="Calibri" w:cs="Calibri"/>
          <w:sz w:val="20"/>
          <w:szCs w:val="20"/>
        </w:rPr>
        <w:t xml:space="preserve">, Life PBR Exemption, </w:t>
      </w:r>
      <w:r w:rsidR="00FA737C">
        <w:rPr>
          <w:rFonts w:ascii="Calibri" w:hAnsi="Calibri" w:cs="Calibri"/>
          <w:sz w:val="20"/>
          <w:szCs w:val="20"/>
        </w:rPr>
        <w:t>as amended by APF 201</w:t>
      </w:r>
      <w:r w:rsidR="00714160">
        <w:rPr>
          <w:rFonts w:ascii="Calibri" w:hAnsi="Calibri" w:cs="Calibri"/>
          <w:sz w:val="20"/>
          <w:szCs w:val="20"/>
        </w:rPr>
        <w:t>8</w:t>
      </w:r>
      <w:r w:rsidR="00FA737C">
        <w:rPr>
          <w:rFonts w:ascii="Calibri" w:hAnsi="Calibri" w:cs="Calibri"/>
          <w:sz w:val="20"/>
          <w:szCs w:val="20"/>
        </w:rPr>
        <w:t>-</w:t>
      </w:r>
      <w:r w:rsidR="00714160">
        <w:rPr>
          <w:rFonts w:ascii="Calibri" w:hAnsi="Calibri" w:cs="Calibri"/>
          <w:sz w:val="20"/>
          <w:szCs w:val="20"/>
        </w:rPr>
        <w:t>08</w:t>
      </w:r>
      <w:r w:rsidR="00264A8E">
        <w:rPr>
          <w:rFonts w:ascii="Calibri" w:hAnsi="Calibri" w:cs="Calibri"/>
          <w:sz w:val="20"/>
          <w:szCs w:val="20"/>
        </w:rPr>
        <w:t xml:space="preserve"> on the Industry tab of the NAIC website.</w:t>
      </w:r>
    </w:p>
    <w:p w14:paraId="1EBD1C26" w14:textId="77777777" w:rsidR="00F143DD" w:rsidRPr="008E6C3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57ED98EC"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51107BA3"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0063F742" w14:textId="77777777" w:rsidR="00FF79D0" w:rsidRPr="00FF79D0" w:rsidRDefault="00102E75"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w:t>
      </w:r>
      <w:r w:rsidR="00AA24E8">
        <w:rPr>
          <w:rFonts w:ascii="Calibri" w:hAnsi="Calibri" w:cs="Calibri"/>
          <w:sz w:val="20"/>
          <w:szCs w:val="20"/>
        </w:rPr>
        <w:t xml:space="preserve"> attached</w:t>
      </w:r>
      <w:r w:rsidR="00FF79D0" w:rsidRPr="00FF79D0">
        <w:rPr>
          <w:rFonts w:ascii="Calibri" w:hAnsi="Calibri" w:cs="Calibri"/>
          <w:sz w:val="20"/>
          <w:szCs w:val="20"/>
        </w:rPr>
        <w:t xml:space="preserve"> </w:t>
      </w:r>
      <w:r w:rsidR="00770F6D">
        <w:rPr>
          <w:rFonts w:ascii="Calibri" w:hAnsi="Calibri" w:cs="Calibri"/>
          <w:sz w:val="20"/>
          <w:szCs w:val="20"/>
        </w:rPr>
        <w:t>Appendi</w:t>
      </w:r>
      <w:r w:rsidR="00473D18">
        <w:rPr>
          <w:rFonts w:ascii="Calibri" w:hAnsi="Calibri" w:cs="Calibri"/>
          <w:sz w:val="20"/>
          <w:szCs w:val="20"/>
        </w:rPr>
        <w:t>x.</w:t>
      </w:r>
      <w:r w:rsidR="00574101">
        <w:rPr>
          <w:rFonts w:ascii="Calibri" w:hAnsi="Calibri" w:cs="Calibri"/>
          <w:sz w:val="20"/>
          <w:szCs w:val="20"/>
        </w:rPr>
        <w:t xml:space="preserve"> </w:t>
      </w:r>
      <w:r w:rsidR="00B706BD">
        <w:rPr>
          <w:rFonts w:ascii="Calibri" w:hAnsi="Calibri" w:cs="Calibri"/>
          <w:sz w:val="20"/>
          <w:szCs w:val="20"/>
        </w:rPr>
        <w:t xml:space="preserve"> </w:t>
      </w:r>
    </w:p>
    <w:p w14:paraId="161146B1"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FD1B21F"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1AAB0B7D" w14:textId="77777777" w:rsidR="003973A1" w:rsidRDefault="003973A1" w:rsidP="003973A1">
      <w:pPr>
        <w:kinsoku w:val="0"/>
        <w:overflowPunct w:val="0"/>
        <w:autoSpaceDE w:val="0"/>
        <w:autoSpaceDN w:val="0"/>
        <w:adjustRightInd w:val="0"/>
        <w:spacing w:before="1" w:after="0" w:line="240" w:lineRule="auto"/>
        <w:ind w:left="900"/>
        <w:rPr>
          <w:rFonts w:ascii="Calibri" w:hAnsi="Calibri" w:cs="Calibri"/>
          <w:sz w:val="20"/>
          <w:szCs w:val="20"/>
        </w:rPr>
      </w:pPr>
    </w:p>
    <w:p w14:paraId="2EE47741" w14:textId="2602E5E7" w:rsidR="00F143DD" w:rsidRPr="00F143DD" w:rsidRDefault="003973A1" w:rsidP="003973A1">
      <w:pPr>
        <w:kinsoku w:val="0"/>
        <w:overflowPunct w:val="0"/>
        <w:autoSpaceDE w:val="0"/>
        <w:autoSpaceDN w:val="0"/>
        <w:adjustRightInd w:val="0"/>
        <w:spacing w:before="1" w:after="0" w:line="240" w:lineRule="auto"/>
        <w:ind w:left="900"/>
        <w:rPr>
          <w:rFonts w:ascii="Calibri" w:hAnsi="Calibri" w:cs="Calibri"/>
          <w:sz w:val="20"/>
          <w:szCs w:val="20"/>
        </w:rPr>
      </w:pPr>
      <w:r>
        <w:rPr>
          <w:rFonts w:ascii="Calibri" w:hAnsi="Calibri" w:cs="Calibri"/>
          <w:sz w:val="20"/>
          <w:szCs w:val="20"/>
        </w:rPr>
        <w:t xml:space="preserve">A qualified actuarial opinion would not necessarily be a reason for applying PBR to all issues </w:t>
      </w:r>
      <w:r w:rsidR="00F35029">
        <w:rPr>
          <w:rFonts w:ascii="Calibri" w:hAnsi="Calibri" w:cs="Calibri"/>
          <w:sz w:val="20"/>
          <w:szCs w:val="20"/>
        </w:rPr>
        <w:t xml:space="preserve">in that calendar year </w:t>
      </w:r>
      <w:r>
        <w:rPr>
          <w:rFonts w:ascii="Calibri" w:hAnsi="Calibri" w:cs="Calibri"/>
          <w:sz w:val="20"/>
          <w:szCs w:val="20"/>
        </w:rPr>
        <w:t xml:space="preserve">otherwise subject to VM-20.  Therefore, this requirement is removed.  In addition, greater </w:t>
      </w:r>
      <w:r w:rsidR="00F23159">
        <w:rPr>
          <w:rFonts w:ascii="Calibri" w:hAnsi="Calibri" w:cs="Calibri"/>
          <w:sz w:val="20"/>
          <w:szCs w:val="20"/>
        </w:rPr>
        <w:t xml:space="preserve">domiciliary </w:t>
      </w:r>
      <w:r>
        <w:rPr>
          <w:rFonts w:ascii="Calibri" w:hAnsi="Calibri" w:cs="Calibri"/>
          <w:sz w:val="20"/>
          <w:szCs w:val="20"/>
        </w:rPr>
        <w:t xml:space="preserve">commissioner discretion is provided to </w:t>
      </w:r>
      <w:r w:rsidR="00F35029">
        <w:rPr>
          <w:rFonts w:ascii="Calibri" w:hAnsi="Calibri" w:cs="Calibri"/>
          <w:sz w:val="20"/>
          <w:szCs w:val="20"/>
        </w:rPr>
        <w:t>apply PBR as appropriate to lines of business.</w:t>
      </w:r>
    </w:p>
    <w:p w14:paraId="0DBFBEF9" w14:textId="77777777"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100E1F71"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08D8E262"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7B7C4948" wp14:editId="6A144EAF">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EBBD31"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03718327"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34C10F77"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02C3B59B"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6D7B06B8"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23BDAD6B"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3EB29CFD"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653D7BD0"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2EDFA72C"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91AA306" w14:textId="08D587F7" w:rsidR="00F143DD" w:rsidRPr="00F143DD" w:rsidRDefault="000F27E3"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3/21/19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7DECDAFF"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029A53DD"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758FF60F"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DB1626" w:rsidRPr="00F143DD" w14:paraId="55C88047"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551D07FE" w14:textId="77BD0140" w:rsidR="00DB1626" w:rsidRPr="00C94718" w:rsidRDefault="000F27E3" w:rsidP="00DB1626">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Amendment Proposal Form 2019-31</w:t>
            </w:r>
          </w:p>
        </w:tc>
      </w:tr>
    </w:tbl>
    <w:p w14:paraId="07EDF7F1"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4F4D8B5A"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6CE7DB60"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15D7F05B"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182C9DEA"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2B2DF19" w14:textId="77777777" w:rsidR="00C52774" w:rsidRDefault="00AA24E8" w:rsidP="00C52774">
      <w:pPr>
        <w:pStyle w:val="Heading1"/>
        <w:jc w:val="center"/>
      </w:pPr>
      <w:r>
        <w:lastRenderedPageBreak/>
        <w:t>Appendix</w:t>
      </w:r>
      <w:r w:rsidR="00D026B5">
        <w:t xml:space="preserve"> </w:t>
      </w:r>
    </w:p>
    <w:p w14:paraId="5C47FD9D" w14:textId="77777777" w:rsidR="00116757" w:rsidRDefault="00116757" w:rsidP="00116757">
      <w:pPr>
        <w:pStyle w:val="ListParagraph"/>
        <w:tabs>
          <w:tab w:val="left" w:pos="840"/>
        </w:tabs>
        <w:kinsoku w:val="0"/>
        <w:overflowPunct w:val="0"/>
        <w:spacing w:line="229" w:lineRule="exact"/>
        <w:ind w:left="859"/>
        <w:rPr>
          <w:sz w:val="22"/>
          <w:szCs w:val="22"/>
        </w:rPr>
      </w:pPr>
      <w:r>
        <w:rPr>
          <w:sz w:val="22"/>
          <w:szCs w:val="22"/>
        </w:rPr>
        <w:t>D. Life PBR</w:t>
      </w:r>
      <w:r>
        <w:rPr>
          <w:spacing w:val="-1"/>
          <w:sz w:val="22"/>
          <w:szCs w:val="22"/>
        </w:rPr>
        <w:t xml:space="preserve"> </w:t>
      </w:r>
      <w:r>
        <w:rPr>
          <w:sz w:val="22"/>
          <w:szCs w:val="22"/>
        </w:rPr>
        <w:t>Exemption</w:t>
      </w:r>
    </w:p>
    <w:p w14:paraId="3BCE5E38" w14:textId="3C66B53E" w:rsidR="00116757" w:rsidRPr="00116757" w:rsidRDefault="00116757" w:rsidP="00116757">
      <w:pPr>
        <w:pStyle w:val="ListParagraph"/>
        <w:tabs>
          <w:tab w:val="left" w:pos="1560"/>
        </w:tabs>
        <w:kinsoku w:val="0"/>
        <w:overflowPunct w:val="0"/>
        <w:ind w:left="1558" w:right="114"/>
        <w:jc w:val="both"/>
        <w:rPr>
          <w:sz w:val="22"/>
          <w:szCs w:val="22"/>
        </w:rPr>
      </w:pPr>
      <w:r>
        <w:rPr>
          <w:sz w:val="22"/>
          <w:szCs w:val="22"/>
        </w:rPr>
        <w:t>1. A company meeting all of the following conditions may file a statement of exemption for ordinary life insurance policies, issued directly or assumed during the current calendar year, that would otherwise be subject to VM-20. Such statement must be filed with the domiciliary commissioner prior to July 1 of that year certifying that condition</w:t>
      </w:r>
      <w:r w:rsidRPr="00383A1F">
        <w:rPr>
          <w:strike/>
          <w:sz w:val="22"/>
          <w:szCs w:val="22"/>
        </w:rPr>
        <w:t>s</w:t>
      </w:r>
      <w:r>
        <w:rPr>
          <w:sz w:val="22"/>
          <w:szCs w:val="22"/>
        </w:rPr>
        <w:t xml:space="preserve"> 2.a</w:t>
      </w:r>
      <w:r w:rsidRPr="00383A1F">
        <w:rPr>
          <w:strike/>
          <w:sz w:val="22"/>
          <w:szCs w:val="22"/>
        </w:rPr>
        <w:t xml:space="preserve"> and 2.</w:t>
      </w:r>
      <w:proofErr w:type="spellStart"/>
      <w:r w:rsidR="007435A2" w:rsidRPr="00383A1F">
        <w:rPr>
          <w:strike/>
          <w:sz w:val="22"/>
          <w:szCs w:val="22"/>
        </w:rPr>
        <w:t>b</w:t>
      </w:r>
      <w:r w:rsidRPr="00383A1F">
        <w:rPr>
          <w:strike/>
          <w:sz w:val="22"/>
          <w:szCs w:val="22"/>
        </w:rPr>
        <w:t xml:space="preserve"> are</w:t>
      </w:r>
      <w:proofErr w:type="spellEnd"/>
      <w:r w:rsidR="00383A1F">
        <w:rPr>
          <w:sz w:val="22"/>
          <w:szCs w:val="22"/>
        </w:rPr>
        <w:t xml:space="preserve"> </w:t>
      </w:r>
      <w:r w:rsidR="00383A1F" w:rsidRPr="00383A1F">
        <w:rPr>
          <w:sz w:val="22"/>
          <w:szCs w:val="22"/>
          <w:u w:val="single"/>
        </w:rPr>
        <w:t>is</w:t>
      </w:r>
      <w:r w:rsidRPr="00383A1F">
        <w:rPr>
          <w:sz w:val="22"/>
          <w:szCs w:val="22"/>
          <w:u w:val="single"/>
        </w:rPr>
        <w:t xml:space="preserve"> </w:t>
      </w:r>
      <w:r>
        <w:rPr>
          <w:sz w:val="22"/>
          <w:szCs w:val="22"/>
        </w:rPr>
        <w:t>met based on premiums and other values from the prior calendar year annual statement and certifying that condition 2</w:t>
      </w:r>
      <w:r w:rsidR="00C010F6">
        <w:rPr>
          <w:sz w:val="22"/>
          <w:szCs w:val="22"/>
        </w:rPr>
        <w:t>.</w:t>
      </w:r>
      <w:r w:rsidR="00383A1F" w:rsidRPr="00383A1F">
        <w:rPr>
          <w:sz w:val="22"/>
          <w:szCs w:val="22"/>
          <w:u w:val="single"/>
        </w:rPr>
        <w:t>b</w:t>
      </w:r>
      <w:r w:rsidR="007435A2" w:rsidRPr="00383A1F">
        <w:rPr>
          <w:strike/>
          <w:sz w:val="22"/>
          <w:szCs w:val="22"/>
        </w:rPr>
        <w:t>c</w:t>
      </w:r>
      <w:r w:rsidR="007435A2">
        <w:rPr>
          <w:sz w:val="22"/>
          <w:szCs w:val="22"/>
        </w:rPr>
        <w:t xml:space="preserve"> </w:t>
      </w:r>
      <w:r>
        <w:rPr>
          <w:sz w:val="22"/>
          <w:szCs w:val="22"/>
        </w:rPr>
        <w:t>is to be met as of the current calendar year-end valuation date. The statement of exemption must also be included with the NAIC filing for the second quarter of that year. The domiciliary commissioner may reject such statement prior to Sept. 1</w:t>
      </w:r>
      <w:r w:rsidRPr="00116757">
        <w:rPr>
          <w:sz w:val="22"/>
          <w:szCs w:val="22"/>
        </w:rPr>
        <w:t xml:space="preserve"> </w:t>
      </w:r>
      <w:r>
        <w:rPr>
          <w:sz w:val="22"/>
          <w:szCs w:val="22"/>
        </w:rPr>
        <w:t xml:space="preserve">and </w:t>
      </w:r>
      <w:bookmarkStart w:id="1" w:name="Annuity_Products"/>
      <w:bookmarkStart w:id="2" w:name="Deposit-Type_Contracts"/>
      <w:bookmarkEnd w:id="1"/>
      <w:bookmarkEnd w:id="2"/>
      <w:r w:rsidRPr="00116757">
        <w:rPr>
          <w:sz w:val="22"/>
          <w:szCs w:val="22"/>
        </w:rPr>
        <w:t>require the company to follow the requirements of VM-20 for the ordinary life policies</w:t>
      </w:r>
      <w:r w:rsidR="00383A1F">
        <w:rPr>
          <w:sz w:val="22"/>
          <w:szCs w:val="22"/>
        </w:rPr>
        <w:t xml:space="preserve"> </w:t>
      </w:r>
      <w:r w:rsidR="00383A1F" w:rsidRPr="00EE0CD4">
        <w:rPr>
          <w:sz w:val="22"/>
          <w:szCs w:val="22"/>
          <w:u w:val="single"/>
        </w:rPr>
        <w:t xml:space="preserve">or may exercise discretion to exempt those line(s) of business for the ordinary life policies for which the </w:t>
      </w:r>
      <w:r w:rsidR="00F23159">
        <w:rPr>
          <w:sz w:val="22"/>
          <w:szCs w:val="22"/>
          <w:u w:val="single"/>
        </w:rPr>
        <w:t xml:space="preserve">domiciliary </w:t>
      </w:r>
      <w:r w:rsidR="00383A1F" w:rsidRPr="00EE0CD4">
        <w:rPr>
          <w:sz w:val="22"/>
          <w:szCs w:val="22"/>
          <w:u w:val="single"/>
        </w:rPr>
        <w:t xml:space="preserve">commissioner does not believe the requirements of VM-20 </w:t>
      </w:r>
      <w:r w:rsidR="005643BF">
        <w:rPr>
          <w:sz w:val="22"/>
          <w:szCs w:val="22"/>
          <w:u w:val="single"/>
        </w:rPr>
        <w:t xml:space="preserve">are appropriate, </w:t>
      </w:r>
      <w:r w:rsidR="00C73224">
        <w:rPr>
          <w:sz w:val="22"/>
          <w:szCs w:val="22"/>
          <w:u w:val="single"/>
        </w:rPr>
        <w:t>with the exception of business pursuant to condition 2b</w:t>
      </w:r>
      <w:r w:rsidR="005643BF">
        <w:rPr>
          <w:sz w:val="22"/>
          <w:szCs w:val="22"/>
          <w:u w:val="single"/>
        </w:rPr>
        <w:t>,</w:t>
      </w:r>
      <w:r w:rsidR="00C73224">
        <w:rPr>
          <w:sz w:val="22"/>
          <w:szCs w:val="22"/>
          <w:u w:val="single"/>
        </w:rPr>
        <w:t xml:space="preserve"> </w:t>
      </w:r>
      <w:r w:rsidR="00383A1F" w:rsidRPr="00EE0CD4">
        <w:rPr>
          <w:sz w:val="22"/>
          <w:szCs w:val="22"/>
          <w:u w:val="single"/>
        </w:rPr>
        <w:t xml:space="preserve">while subjecting other lines of business for the ordinary life policies </w:t>
      </w:r>
      <w:r w:rsidR="00EE0CD4" w:rsidRPr="00EE0CD4">
        <w:rPr>
          <w:sz w:val="22"/>
          <w:szCs w:val="22"/>
          <w:u w:val="single"/>
        </w:rPr>
        <w:t>to the requirements of VM-20.</w:t>
      </w:r>
    </w:p>
    <w:p w14:paraId="77015D70" w14:textId="77777777" w:rsidR="00116757" w:rsidRPr="00116757" w:rsidRDefault="00116757" w:rsidP="00116757">
      <w:pPr>
        <w:pStyle w:val="BodyText"/>
        <w:kinsoku w:val="0"/>
        <w:overflowPunct w:val="0"/>
        <w:spacing w:before="3"/>
        <w:ind w:left="0"/>
        <w:rPr>
          <w:sz w:val="22"/>
          <w:szCs w:val="22"/>
        </w:rPr>
      </w:pPr>
    </w:p>
    <w:p w14:paraId="0A6A7C64" w14:textId="77777777" w:rsidR="00116757" w:rsidRDefault="00116757" w:rsidP="00116757">
      <w:pPr>
        <w:pStyle w:val="ListParagraph"/>
        <w:tabs>
          <w:tab w:val="left" w:pos="821"/>
        </w:tabs>
        <w:kinsoku w:val="0"/>
        <w:overflowPunct w:val="0"/>
        <w:ind w:left="820"/>
        <w:rPr>
          <w:sz w:val="22"/>
          <w:szCs w:val="22"/>
        </w:rPr>
      </w:pPr>
      <w:r>
        <w:rPr>
          <w:sz w:val="22"/>
          <w:szCs w:val="22"/>
        </w:rPr>
        <w:t xml:space="preserve">          2. Conditions for</w:t>
      </w:r>
      <w:r w:rsidRPr="00116757">
        <w:rPr>
          <w:sz w:val="22"/>
          <w:szCs w:val="22"/>
        </w:rPr>
        <w:t xml:space="preserve"> </w:t>
      </w:r>
      <w:r>
        <w:rPr>
          <w:sz w:val="22"/>
          <w:szCs w:val="22"/>
        </w:rPr>
        <w:t>Exemption:</w:t>
      </w:r>
    </w:p>
    <w:p w14:paraId="3232AE9E" w14:textId="77777777" w:rsidR="00116757" w:rsidRPr="00116757" w:rsidRDefault="00116757" w:rsidP="00116757">
      <w:pPr>
        <w:pStyle w:val="BodyText"/>
        <w:kinsoku w:val="0"/>
        <w:overflowPunct w:val="0"/>
        <w:spacing w:before="4"/>
        <w:ind w:left="0"/>
        <w:rPr>
          <w:sz w:val="22"/>
          <w:szCs w:val="22"/>
        </w:rPr>
      </w:pPr>
    </w:p>
    <w:p w14:paraId="5D61B645" w14:textId="77777777" w:rsidR="00116757" w:rsidRDefault="00116757" w:rsidP="00116757">
      <w:pPr>
        <w:pStyle w:val="ListParagraph"/>
        <w:tabs>
          <w:tab w:val="left" w:pos="1541"/>
        </w:tabs>
        <w:kinsoku w:val="0"/>
        <w:overflowPunct w:val="0"/>
        <w:spacing w:line="252" w:lineRule="exact"/>
        <w:ind w:left="1540" w:right="114"/>
        <w:jc w:val="both"/>
        <w:rPr>
          <w:sz w:val="22"/>
          <w:szCs w:val="22"/>
        </w:rPr>
      </w:pPr>
      <w:r>
        <w:rPr>
          <w:sz w:val="22"/>
          <w:szCs w:val="22"/>
        </w:rPr>
        <w:t>a. The</w:t>
      </w:r>
      <w:r w:rsidRPr="00116757">
        <w:rPr>
          <w:sz w:val="22"/>
          <w:szCs w:val="22"/>
        </w:rPr>
        <w:t xml:space="preserve"> </w:t>
      </w:r>
      <w:r>
        <w:rPr>
          <w:sz w:val="22"/>
          <w:szCs w:val="22"/>
        </w:rPr>
        <w:t>company</w:t>
      </w:r>
      <w:r w:rsidRPr="00116757">
        <w:rPr>
          <w:sz w:val="22"/>
          <w:szCs w:val="22"/>
        </w:rPr>
        <w:t xml:space="preserve"> </w:t>
      </w:r>
      <w:r>
        <w:rPr>
          <w:sz w:val="22"/>
          <w:szCs w:val="22"/>
        </w:rPr>
        <w:t>has</w:t>
      </w:r>
      <w:r w:rsidRPr="00116757">
        <w:rPr>
          <w:sz w:val="22"/>
          <w:szCs w:val="22"/>
        </w:rPr>
        <w:t xml:space="preserve"> </w:t>
      </w:r>
      <w:r>
        <w:rPr>
          <w:sz w:val="22"/>
          <w:szCs w:val="22"/>
        </w:rPr>
        <w:t>less</w:t>
      </w:r>
      <w:r w:rsidRPr="00116757">
        <w:rPr>
          <w:sz w:val="22"/>
          <w:szCs w:val="22"/>
        </w:rPr>
        <w:t xml:space="preserve"> </w:t>
      </w:r>
      <w:r>
        <w:rPr>
          <w:sz w:val="22"/>
          <w:szCs w:val="22"/>
        </w:rPr>
        <w:t>than</w:t>
      </w:r>
      <w:r w:rsidRPr="00116757">
        <w:rPr>
          <w:sz w:val="22"/>
          <w:szCs w:val="22"/>
        </w:rPr>
        <w:t xml:space="preserve"> </w:t>
      </w:r>
      <w:r>
        <w:rPr>
          <w:sz w:val="22"/>
          <w:szCs w:val="22"/>
        </w:rPr>
        <w:t>$300</w:t>
      </w:r>
      <w:r w:rsidRPr="00116757">
        <w:rPr>
          <w:sz w:val="22"/>
          <w:szCs w:val="22"/>
        </w:rPr>
        <w:t xml:space="preserve"> </w:t>
      </w:r>
      <w:r>
        <w:rPr>
          <w:sz w:val="22"/>
          <w:szCs w:val="22"/>
        </w:rPr>
        <w:t>million</w:t>
      </w:r>
      <w:r w:rsidRPr="00116757">
        <w:rPr>
          <w:sz w:val="22"/>
          <w:szCs w:val="22"/>
        </w:rPr>
        <w:t xml:space="preserve"> </w:t>
      </w:r>
      <w:r>
        <w:rPr>
          <w:sz w:val="22"/>
          <w:szCs w:val="22"/>
        </w:rPr>
        <w:t>of</w:t>
      </w:r>
      <w:r w:rsidRPr="00116757">
        <w:rPr>
          <w:sz w:val="22"/>
          <w:szCs w:val="22"/>
        </w:rPr>
        <w:t xml:space="preserve"> </w:t>
      </w:r>
      <w:r>
        <w:rPr>
          <w:sz w:val="22"/>
          <w:szCs w:val="22"/>
        </w:rPr>
        <w:t>ordinary</w:t>
      </w:r>
      <w:r w:rsidRPr="00116757">
        <w:rPr>
          <w:sz w:val="22"/>
          <w:szCs w:val="22"/>
        </w:rPr>
        <w:t xml:space="preserve"> </w:t>
      </w:r>
      <w:r>
        <w:rPr>
          <w:sz w:val="22"/>
          <w:szCs w:val="22"/>
        </w:rPr>
        <w:t>life</w:t>
      </w:r>
      <w:r w:rsidRPr="00116757">
        <w:rPr>
          <w:sz w:val="22"/>
          <w:szCs w:val="22"/>
        </w:rPr>
        <w:t xml:space="preserve"> </w:t>
      </w:r>
      <w:r>
        <w:rPr>
          <w:sz w:val="22"/>
          <w:szCs w:val="22"/>
        </w:rPr>
        <w:t>premiums</w:t>
      </w:r>
      <w:r w:rsidR="007435A2" w:rsidRPr="00D842FB">
        <w:rPr>
          <w:sz w:val="22"/>
          <w:szCs w:val="22"/>
          <w:vertAlign w:val="superscript"/>
        </w:rPr>
        <w:t>1</w:t>
      </w:r>
      <w:r w:rsidRPr="00116757">
        <w:rPr>
          <w:sz w:val="22"/>
          <w:szCs w:val="22"/>
        </w:rPr>
        <w:t xml:space="preserve"> </w:t>
      </w:r>
      <w:r>
        <w:rPr>
          <w:sz w:val="22"/>
          <w:szCs w:val="22"/>
        </w:rPr>
        <w:t>and,</w:t>
      </w:r>
      <w:r w:rsidRPr="00116757">
        <w:rPr>
          <w:sz w:val="22"/>
          <w:szCs w:val="22"/>
        </w:rPr>
        <w:t xml:space="preserve"> </w:t>
      </w:r>
      <w:r>
        <w:rPr>
          <w:sz w:val="22"/>
          <w:szCs w:val="22"/>
        </w:rPr>
        <w:t>if</w:t>
      </w:r>
      <w:r w:rsidRPr="00116757">
        <w:rPr>
          <w:sz w:val="22"/>
          <w:szCs w:val="22"/>
        </w:rPr>
        <w:t xml:space="preserve"> </w:t>
      </w:r>
      <w:r>
        <w:rPr>
          <w:sz w:val="22"/>
          <w:szCs w:val="22"/>
        </w:rPr>
        <w:t>the company is</w:t>
      </w:r>
      <w:r w:rsidRPr="00116757">
        <w:rPr>
          <w:sz w:val="22"/>
          <w:szCs w:val="22"/>
        </w:rPr>
        <w:t xml:space="preserve"> </w:t>
      </w:r>
      <w:r>
        <w:rPr>
          <w:sz w:val="22"/>
          <w:szCs w:val="22"/>
        </w:rPr>
        <w:t>a</w:t>
      </w:r>
      <w:r w:rsidRPr="00116757">
        <w:rPr>
          <w:sz w:val="22"/>
          <w:szCs w:val="22"/>
        </w:rPr>
        <w:t xml:space="preserve"> </w:t>
      </w:r>
      <w:r>
        <w:rPr>
          <w:sz w:val="22"/>
          <w:szCs w:val="22"/>
        </w:rPr>
        <w:t>member</w:t>
      </w:r>
      <w:r w:rsidRPr="00116757">
        <w:rPr>
          <w:sz w:val="22"/>
          <w:szCs w:val="22"/>
        </w:rPr>
        <w:t xml:space="preserve"> </w:t>
      </w:r>
      <w:r>
        <w:rPr>
          <w:sz w:val="22"/>
          <w:szCs w:val="22"/>
        </w:rPr>
        <w:t>of</w:t>
      </w:r>
      <w:r w:rsidRPr="00116757">
        <w:rPr>
          <w:sz w:val="22"/>
          <w:szCs w:val="22"/>
        </w:rPr>
        <w:t xml:space="preserve"> </w:t>
      </w:r>
      <w:r>
        <w:rPr>
          <w:sz w:val="22"/>
          <w:szCs w:val="22"/>
        </w:rPr>
        <w:t>an</w:t>
      </w:r>
      <w:r w:rsidRPr="00116757">
        <w:rPr>
          <w:sz w:val="22"/>
          <w:szCs w:val="22"/>
        </w:rPr>
        <w:t xml:space="preserve"> </w:t>
      </w:r>
      <w:r>
        <w:rPr>
          <w:sz w:val="22"/>
          <w:szCs w:val="22"/>
        </w:rPr>
        <w:t>NAIC</w:t>
      </w:r>
      <w:r w:rsidRPr="00116757">
        <w:rPr>
          <w:sz w:val="22"/>
          <w:szCs w:val="22"/>
        </w:rPr>
        <w:t xml:space="preserve"> </w:t>
      </w:r>
      <w:r>
        <w:rPr>
          <w:sz w:val="22"/>
          <w:szCs w:val="22"/>
        </w:rPr>
        <w:t>group</w:t>
      </w:r>
      <w:r w:rsidRPr="00116757">
        <w:rPr>
          <w:sz w:val="22"/>
          <w:szCs w:val="22"/>
        </w:rPr>
        <w:t xml:space="preserve"> </w:t>
      </w:r>
      <w:r>
        <w:rPr>
          <w:sz w:val="22"/>
          <w:szCs w:val="22"/>
        </w:rPr>
        <w:t>of</w:t>
      </w:r>
      <w:r w:rsidRPr="00116757">
        <w:rPr>
          <w:sz w:val="22"/>
          <w:szCs w:val="22"/>
        </w:rPr>
        <w:t xml:space="preserve"> </w:t>
      </w:r>
      <w:r>
        <w:rPr>
          <w:sz w:val="22"/>
          <w:szCs w:val="22"/>
        </w:rPr>
        <w:t>life insurers,</w:t>
      </w:r>
      <w:r w:rsidRPr="00116757">
        <w:rPr>
          <w:sz w:val="22"/>
          <w:szCs w:val="22"/>
        </w:rPr>
        <w:t xml:space="preserve"> </w:t>
      </w:r>
      <w:r>
        <w:rPr>
          <w:sz w:val="22"/>
          <w:szCs w:val="22"/>
        </w:rPr>
        <w:t>the</w:t>
      </w:r>
      <w:r w:rsidRPr="00116757">
        <w:rPr>
          <w:sz w:val="22"/>
          <w:szCs w:val="22"/>
        </w:rPr>
        <w:t xml:space="preserve"> </w:t>
      </w:r>
      <w:r>
        <w:rPr>
          <w:sz w:val="22"/>
          <w:szCs w:val="22"/>
        </w:rPr>
        <w:t>group</w:t>
      </w:r>
      <w:r w:rsidRPr="00116757">
        <w:rPr>
          <w:sz w:val="22"/>
          <w:szCs w:val="22"/>
        </w:rPr>
        <w:t xml:space="preserve"> </w:t>
      </w:r>
      <w:r>
        <w:rPr>
          <w:sz w:val="22"/>
          <w:szCs w:val="22"/>
        </w:rPr>
        <w:t>has combined ordinary</w:t>
      </w:r>
      <w:r w:rsidRPr="00116757">
        <w:rPr>
          <w:sz w:val="22"/>
          <w:szCs w:val="22"/>
        </w:rPr>
        <w:t xml:space="preserve"> </w:t>
      </w:r>
      <w:r>
        <w:rPr>
          <w:sz w:val="22"/>
          <w:szCs w:val="22"/>
        </w:rPr>
        <w:t>life</w:t>
      </w:r>
      <w:r w:rsidRPr="00116757">
        <w:rPr>
          <w:sz w:val="22"/>
          <w:szCs w:val="22"/>
        </w:rPr>
        <w:t xml:space="preserve"> </w:t>
      </w:r>
      <w:r w:rsidRPr="00D842FB">
        <w:rPr>
          <w:sz w:val="22"/>
          <w:szCs w:val="22"/>
        </w:rPr>
        <w:t>premiums</w:t>
      </w:r>
      <w:r w:rsidR="007435A2" w:rsidRPr="00D842FB">
        <w:rPr>
          <w:sz w:val="22"/>
          <w:szCs w:val="22"/>
          <w:vertAlign w:val="superscript"/>
        </w:rPr>
        <w:t>1</w:t>
      </w:r>
      <w:r w:rsidRPr="00D842FB">
        <w:rPr>
          <w:sz w:val="22"/>
          <w:szCs w:val="22"/>
        </w:rPr>
        <w:t xml:space="preserve"> of</w:t>
      </w:r>
      <w:r w:rsidRPr="00116757">
        <w:rPr>
          <w:sz w:val="22"/>
          <w:szCs w:val="22"/>
        </w:rPr>
        <w:t xml:space="preserve"> </w:t>
      </w:r>
      <w:r>
        <w:rPr>
          <w:sz w:val="22"/>
          <w:szCs w:val="22"/>
        </w:rPr>
        <w:t>less</w:t>
      </w:r>
      <w:r w:rsidRPr="00116757">
        <w:rPr>
          <w:sz w:val="22"/>
          <w:szCs w:val="22"/>
        </w:rPr>
        <w:t xml:space="preserve"> </w:t>
      </w:r>
      <w:r>
        <w:rPr>
          <w:sz w:val="22"/>
          <w:szCs w:val="22"/>
        </w:rPr>
        <w:t>than $600 million;</w:t>
      </w:r>
    </w:p>
    <w:p w14:paraId="2236B2F0" w14:textId="77777777" w:rsidR="00116757" w:rsidRPr="00C428DE" w:rsidRDefault="00116757" w:rsidP="00116757">
      <w:pPr>
        <w:pStyle w:val="BodyText"/>
        <w:kinsoku w:val="0"/>
        <w:overflowPunct w:val="0"/>
        <w:spacing w:before="216"/>
        <w:rPr>
          <w:strike/>
          <w:sz w:val="22"/>
          <w:szCs w:val="22"/>
        </w:rPr>
      </w:pPr>
      <w:r w:rsidRPr="00C428DE">
        <w:rPr>
          <w:strike/>
          <w:sz w:val="22"/>
          <w:szCs w:val="22"/>
        </w:rPr>
        <w:t xml:space="preserve">                   and</w:t>
      </w:r>
    </w:p>
    <w:p w14:paraId="45F51B2F" w14:textId="77777777" w:rsidR="00116757" w:rsidRPr="00C428DE" w:rsidRDefault="00116757" w:rsidP="000B752D">
      <w:pPr>
        <w:pStyle w:val="ListParagraph"/>
        <w:numPr>
          <w:ilvl w:val="0"/>
          <w:numId w:val="13"/>
        </w:numPr>
        <w:tabs>
          <w:tab w:val="left" w:pos="1521"/>
        </w:tabs>
        <w:kinsoku w:val="0"/>
        <w:overflowPunct w:val="0"/>
        <w:ind w:right="118"/>
        <w:jc w:val="both"/>
        <w:rPr>
          <w:strike/>
          <w:sz w:val="22"/>
          <w:szCs w:val="22"/>
        </w:rPr>
      </w:pPr>
      <w:r w:rsidRPr="00C428DE">
        <w:rPr>
          <w:strike/>
          <w:sz w:val="22"/>
          <w:szCs w:val="22"/>
        </w:rPr>
        <w:t>The appointed actuary has provided an unqualified opinion on the reserves for the prior calendar</w:t>
      </w:r>
      <w:r w:rsidRPr="00C428DE">
        <w:rPr>
          <w:strike/>
          <w:spacing w:val="17"/>
          <w:sz w:val="22"/>
          <w:szCs w:val="22"/>
        </w:rPr>
        <w:t xml:space="preserve"> </w:t>
      </w:r>
      <w:r w:rsidRPr="00C428DE">
        <w:rPr>
          <w:strike/>
          <w:sz w:val="22"/>
          <w:szCs w:val="22"/>
        </w:rPr>
        <w:t>year;</w:t>
      </w:r>
    </w:p>
    <w:p w14:paraId="6720A42D" w14:textId="77777777" w:rsidR="00116757" w:rsidRDefault="00116757" w:rsidP="00116757">
      <w:pPr>
        <w:pStyle w:val="BodyText"/>
        <w:kinsoku w:val="0"/>
        <w:overflowPunct w:val="0"/>
        <w:spacing w:before="9"/>
        <w:rPr>
          <w:sz w:val="19"/>
          <w:szCs w:val="19"/>
        </w:rPr>
      </w:pPr>
    </w:p>
    <w:p w14:paraId="6A4744D6" w14:textId="77777777" w:rsidR="00116757" w:rsidRDefault="00116757" w:rsidP="00116757">
      <w:pPr>
        <w:pStyle w:val="BodyText"/>
        <w:kinsoku w:val="0"/>
        <w:overflowPunct w:val="0"/>
        <w:spacing w:before="1"/>
        <w:ind w:left="1520"/>
      </w:pPr>
      <w:r>
        <w:t xml:space="preserve">       and</w:t>
      </w:r>
    </w:p>
    <w:p w14:paraId="4B28B490" w14:textId="77777777" w:rsidR="00116757" w:rsidRDefault="00116757" w:rsidP="00116757">
      <w:pPr>
        <w:pStyle w:val="BodyText"/>
        <w:kinsoku w:val="0"/>
        <w:overflowPunct w:val="0"/>
        <w:spacing w:before="1"/>
        <w:rPr>
          <w:sz w:val="19"/>
          <w:szCs w:val="19"/>
        </w:rPr>
      </w:pPr>
    </w:p>
    <w:p w14:paraId="6CB9AB3F" w14:textId="075C0E75" w:rsidR="00116757" w:rsidRPr="00C428DE" w:rsidRDefault="00C428DE" w:rsidP="00C428DE">
      <w:pPr>
        <w:tabs>
          <w:tab w:val="left" w:pos="1440"/>
        </w:tabs>
        <w:kinsoku w:val="0"/>
        <w:overflowPunct w:val="0"/>
        <w:ind w:left="1440" w:right="116"/>
        <w:jc w:val="both"/>
      </w:pPr>
      <w:r w:rsidRPr="00C428DE">
        <w:rPr>
          <w:strike/>
        </w:rPr>
        <w:t>c.</w:t>
      </w:r>
      <w:r>
        <w:rPr>
          <w:strike/>
        </w:rPr>
        <w:t xml:space="preserve"> </w:t>
      </w:r>
      <w:r w:rsidRPr="00C428DE">
        <w:rPr>
          <w:u w:val="single"/>
        </w:rPr>
        <w:t>b.</w:t>
      </w:r>
      <w:r w:rsidRPr="00C428DE">
        <w:t xml:space="preserve">  </w:t>
      </w:r>
      <w:r w:rsidR="00116757" w:rsidRPr="00C428DE">
        <w:t>Every</w:t>
      </w:r>
      <w:r w:rsidR="00116757" w:rsidRPr="00C428DE">
        <w:rPr>
          <w:spacing w:val="12"/>
        </w:rPr>
        <w:t xml:space="preserve"> </w:t>
      </w:r>
      <w:r w:rsidR="00116757" w:rsidRPr="00C428DE">
        <w:t>ULSG</w:t>
      </w:r>
      <w:r w:rsidR="00116757" w:rsidRPr="00C428DE">
        <w:rPr>
          <w:spacing w:val="11"/>
        </w:rPr>
        <w:t xml:space="preserve"> </w:t>
      </w:r>
      <w:r w:rsidR="00116757" w:rsidRPr="00C428DE">
        <w:t>policy</w:t>
      </w:r>
      <w:r w:rsidR="00116757" w:rsidRPr="00C428DE">
        <w:rPr>
          <w:spacing w:val="9"/>
        </w:rPr>
        <w:t xml:space="preserve"> </w:t>
      </w:r>
      <w:r w:rsidR="00116757" w:rsidRPr="00C428DE">
        <w:t>issued</w:t>
      </w:r>
      <w:r w:rsidR="00116757" w:rsidRPr="00C428DE">
        <w:rPr>
          <w:spacing w:val="9"/>
        </w:rPr>
        <w:t xml:space="preserve"> </w:t>
      </w:r>
      <w:r w:rsidR="00116757" w:rsidRPr="00C428DE">
        <w:t>or</w:t>
      </w:r>
      <w:r w:rsidR="00116757" w:rsidRPr="00C428DE">
        <w:rPr>
          <w:spacing w:val="13"/>
        </w:rPr>
        <w:t xml:space="preserve"> </w:t>
      </w:r>
      <w:r w:rsidR="00116757" w:rsidRPr="00C428DE">
        <w:t>assumed</w:t>
      </w:r>
      <w:r w:rsidR="00116757" w:rsidRPr="00C428DE">
        <w:rPr>
          <w:spacing w:val="12"/>
        </w:rPr>
        <w:t xml:space="preserve"> </w:t>
      </w:r>
      <w:r w:rsidR="00116757" w:rsidRPr="00C428DE">
        <w:t>by</w:t>
      </w:r>
      <w:r w:rsidR="00116757" w:rsidRPr="00C428DE">
        <w:rPr>
          <w:spacing w:val="12"/>
        </w:rPr>
        <w:t xml:space="preserve"> </w:t>
      </w:r>
      <w:r w:rsidR="00116757" w:rsidRPr="00C428DE">
        <w:t>the</w:t>
      </w:r>
      <w:r w:rsidR="00116757" w:rsidRPr="00C428DE">
        <w:rPr>
          <w:spacing w:val="12"/>
        </w:rPr>
        <w:t xml:space="preserve"> </w:t>
      </w:r>
      <w:r w:rsidR="00116757" w:rsidRPr="00C428DE">
        <w:t>company</w:t>
      </w:r>
      <w:r w:rsidR="00116757" w:rsidRPr="00C428DE">
        <w:rPr>
          <w:spacing w:val="9"/>
        </w:rPr>
        <w:t xml:space="preserve"> </w:t>
      </w:r>
      <w:r w:rsidR="00116757" w:rsidRPr="00C428DE">
        <w:t>with</w:t>
      </w:r>
      <w:r w:rsidR="00116757" w:rsidRPr="00C428DE">
        <w:rPr>
          <w:spacing w:val="12"/>
        </w:rPr>
        <w:t xml:space="preserve"> </w:t>
      </w:r>
      <w:r w:rsidR="00116757" w:rsidRPr="00C428DE">
        <w:t>an</w:t>
      </w:r>
      <w:r w:rsidR="00116757" w:rsidRPr="00C428DE">
        <w:rPr>
          <w:spacing w:val="12"/>
        </w:rPr>
        <w:t xml:space="preserve"> </w:t>
      </w:r>
      <w:r w:rsidR="00116757" w:rsidRPr="00C428DE">
        <w:t>issue</w:t>
      </w:r>
      <w:r w:rsidR="00116757" w:rsidRPr="00C428DE">
        <w:rPr>
          <w:spacing w:val="12"/>
        </w:rPr>
        <w:t xml:space="preserve"> </w:t>
      </w:r>
      <w:r w:rsidR="00116757" w:rsidRPr="00C428DE">
        <w:t>date</w:t>
      </w:r>
      <w:r w:rsidR="00116757" w:rsidRPr="00C428DE">
        <w:rPr>
          <w:spacing w:val="12"/>
        </w:rPr>
        <w:t xml:space="preserve"> </w:t>
      </w:r>
      <w:r w:rsidR="00116757" w:rsidRPr="00C428DE">
        <w:t>on</w:t>
      </w:r>
      <w:r w:rsidR="00116757" w:rsidRPr="00C428DE">
        <w:rPr>
          <w:spacing w:val="12"/>
        </w:rPr>
        <w:t xml:space="preserve"> </w:t>
      </w:r>
      <w:r w:rsidR="00116757" w:rsidRPr="00C428DE">
        <w:t>or after</w:t>
      </w:r>
      <w:r w:rsidR="00116757" w:rsidRPr="00C428DE">
        <w:rPr>
          <w:spacing w:val="15"/>
        </w:rPr>
        <w:t xml:space="preserve"> </w:t>
      </w:r>
      <w:r w:rsidR="00116757" w:rsidRPr="00C428DE">
        <w:t>Jan.</w:t>
      </w:r>
      <w:r w:rsidR="00116757" w:rsidRPr="00C428DE">
        <w:rPr>
          <w:spacing w:val="17"/>
        </w:rPr>
        <w:t xml:space="preserve"> </w:t>
      </w:r>
      <w:r w:rsidR="00116757" w:rsidRPr="00C428DE">
        <w:t>1,</w:t>
      </w:r>
      <w:r w:rsidR="00116757" w:rsidRPr="00C428DE">
        <w:rPr>
          <w:spacing w:val="17"/>
        </w:rPr>
        <w:t xml:space="preserve"> </w:t>
      </w:r>
      <w:r w:rsidR="00116757" w:rsidRPr="00C428DE">
        <w:t>2020,</w:t>
      </w:r>
      <w:r w:rsidR="00116757" w:rsidRPr="00C428DE">
        <w:rPr>
          <w:spacing w:val="17"/>
        </w:rPr>
        <w:t xml:space="preserve"> </w:t>
      </w:r>
      <w:r w:rsidR="00116757" w:rsidRPr="00C428DE">
        <w:t>and</w:t>
      </w:r>
      <w:r w:rsidR="00116757" w:rsidRPr="00C428DE">
        <w:rPr>
          <w:spacing w:val="14"/>
        </w:rPr>
        <w:t xml:space="preserve"> </w:t>
      </w:r>
      <w:r w:rsidR="00116757" w:rsidRPr="00C428DE">
        <w:t>in</w:t>
      </w:r>
      <w:r w:rsidR="00116757" w:rsidRPr="00C428DE">
        <w:rPr>
          <w:spacing w:val="17"/>
        </w:rPr>
        <w:t xml:space="preserve"> </w:t>
      </w:r>
      <w:r w:rsidR="00116757" w:rsidRPr="00C428DE">
        <w:t>force</w:t>
      </w:r>
      <w:r w:rsidR="00116757" w:rsidRPr="00C428DE">
        <w:rPr>
          <w:spacing w:val="17"/>
        </w:rPr>
        <w:t xml:space="preserve"> </w:t>
      </w:r>
      <w:r w:rsidR="00116757" w:rsidRPr="00C428DE">
        <w:t>on</w:t>
      </w:r>
      <w:r w:rsidR="00116757" w:rsidRPr="00C428DE">
        <w:rPr>
          <w:spacing w:val="14"/>
        </w:rPr>
        <w:t xml:space="preserve"> </w:t>
      </w:r>
      <w:r w:rsidR="00116757" w:rsidRPr="00C428DE">
        <w:t>the</w:t>
      </w:r>
      <w:r w:rsidR="00116757" w:rsidRPr="00C428DE">
        <w:rPr>
          <w:spacing w:val="15"/>
        </w:rPr>
        <w:t xml:space="preserve"> </w:t>
      </w:r>
      <w:r w:rsidR="00116757" w:rsidRPr="00C428DE">
        <w:t>company’s</w:t>
      </w:r>
      <w:r w:rsidR="00116757" w:rsidRPr="00C428DE">
        <w:rPr>
          <w:spacing w:val="17"/>
        </w:rPr>
        <w:t xml:space="preserve"> </w:t>
      </w:r>
      <w:r w:rsidR="00116757" w:rsidRPr="00C428DE">
        <w:t>annual</w:t>
      </w:r>
      <w:r w:rsidR="00116757" w:rsidRPr="00C428DE">
        <w:rPr>
          <w:spacing w:val="17"/>
        </w:rPr>
        <w:t xml:space="preserve"> </w:t>
      </w:r>
      <w:r w:rsidR="00116757" w:rsidRPr="00C428DE">
        <w:t>financial</w:t>
      </w:r>
      <w:r w:rsidR="00116757" w:rsidRPr="00C428DE">
        <w:rPr>
          <w:spacing w:val="17"/>
        </w:rPr>
        <w:t xml:space="preserve"> </w:t>
      </w:r>
      <w:r w:rsidR="00116757" w:rsidRPr="00C428DE">
        <w:t>statement</w:t>
      </w:r>
      <w:r w:rsidR="00116757" w:rsidRPr="00C428DE">
        <w:rPr>
          <w:spacing w:val="18"/>
        </w:rPr>
        <w:t xml:space="preserve"> </w:t>
      </w:r>
      <w:r w:rsidR="00116757" w:rsidRPr="00C428DE">
        <w:t>for the</w:t>
      </w:r>
      <w:r w:rsidR="00116757" w:rsidRPr="00C428DE">
        <w:rPr>
          <w:spacing w:val="19"/>
        </w:rPr>
        <w:t xml:space="preserve"> </w:t>
      </w:r>
      <w:r w:rsidR="00116757" w:rsidRPr="00C428DE">
        <w:t>current</w:t>
      </w:r>
      <w:r w:rsidR="00116757" w:rsidRPr="00C428DE">
        <w:rPr>
          <w:spacing w:val="22"/>
        </w:rPr>
        <w:t xml:space="preserve"> </w:t>
      </w:r>
      <w:r w:rsidR="00116757" w:rsidRPr="00C428DE">
        <w:t>calendar</w:t>
      </w:r>
      <w:r w:rsidR="00116757" w:rsidRPr="00C428DE">
        <w:rPr>
          <w:spacing w:val="20"/>
        </w:rPr>
        <w:t xml:space="preserve"> </w:t>
      </w:r>
      <w:r w:rsidR="00116757" w:rsidRPr="00C428DE">
        <w:t>year-end</w:t>
      </w:r>
      <w:r w:rsidR="00116757" w:rsidRPr="00C428DE">
        <w:rPr>
          <w:spacing w:val="21"/>
        </w:rPr>
        <w:t xml:space="preserve"> </w:t>
      </w:r>
      <w:r w:rsidR="00116757" w:rsidRPr="00C428DE">
        <w:t>valuation</w:t>
      </w:r>
      <w:r w:rsidR="00116757" w:rsidRPr="00C428DE">
        <w:rPr>
          <w:spacing w:val="19"/>
        </w:rPr>
        <w:t xml:space="preserve"> </w:t>
      </w:r>
      <w:r w:rsidR="00116757" w:rsidRPr="00C428DE">
        <w:t>date</w:t>
      </w:r>
      <w:r w:rsidR="00116757" w:rsidRPr="00C428DE">
        <w:rPr>
          <w:spacing w:val="21"/>
        </w:rPr>
        <w:t xml:space="preserve"> </w:t>
      </w:r>
      <w:r w:rsidR="00116757" w:rsidRPr="00C428DE">
        <w:t>only</w:t>
      </w:r>
      <w:r w:rsidR="00116757" w:rsidRPr="00C428DE">
        <w:rPr>
          <w:spacing w:val="19"/>
        </w:rPr>
        <w:t xml:space="preserve"> </w:t>
      </w:r>
      <w:r w:rsidR="00116757" w:rsidRPr="00C428DE">
        <w:t>has</w:t>
      </w:r>
      <w:r w:rsidR="00116757" w:rsidRPr="00C428DE">
        <w:rPr>
          <w:spacing w:val="19"/>
        </w:rPr>
        <w:t xml:space="preserve"> </w:t>
      </w:r>
      <w:r w:rsidR="00116757" w:rsidRPr="00C428DE">
        <w:t>secondary</w:t>
      </w:r>
      <w:r w:rsidR="00116757" w:rsidRPr="00C428DE">
        <w:rPr>
          <w:spacing w:val="19"/>
        </w:rPr>
        <w:t xml:space="preserve"> </w:t>
      </w:r>
      <w:r w:rsidR="00116757" w:rsidRPr="00C428DE">
        <w:t>guarantees</w:t>
      </w:r>
      <w:r w:rsidR="00116757" w:rsidRPr="00C428DE">
        <w:rPr>
          <w:spacing w:val="19"/>
        </w:rPr>
        <w:t xml:space="preserve"> </w:t>
      </w:r>
      <w:r w:rsidR="00116757" w:rsidRPr="00C428DE">
        <w:t>that meet</w:t>
      </w:r>
      <w:r w:rsidR="00116757" w:rsidRPr="00C428DE">
        <w:rPr>
          <w:spacing w:val="1"/>
        </w:rPr>
        <w:t xml:space="preserve"> </w:t>
      </w:r>
      <w:r w:rsidR="00116757" w:rsidRPr="00C428DE">
        <w:t>the</w:t>
      </w:r>
      <w:r w:rsidR="00116757" w:rsidRPr="00C428DE">
        <w:rPr>
          <w:spacing w:val="-3"/>
        </w:rPr>
        <w:t xml:space="preserve"> </w:t>
      </w:r>
      <w:r w:rsidR="00863D34" w:rsidRPr="00C428DE">
        <w:rPr>
          <w:spacing w:val="-3"/>
        </w:rPr>
        <w:t xml:space="preserve">VM-01 </w:t>
      </w:r>
      <w:r w:rsidR="00116757" w:rsidRPr="00C428DE">
        <w:t>definition</w:t>
      </w:r>
      <w:r w:rsidR="00116757" w:rsidRPr="00C428DE">
        <w:rPr>
          <w:spacing w:val="-3"/>
        </w:rPr>
        <w:t xml:space="preserve"> </w:t>
      </w:r>
      <w:r w:rsidR="00116757" w:rsidRPr="00C428DE">
        <w:t>of</w:t>
      </w:r>
      <w:r w:rsidR="00116757" w:rsidRPr="00C428DE">
        <w:rPr>
          <w:spacing w:val="1"/>
        </w:rPr>
        <w:t xml:space="preserve"> </w:t>
      </w:r>
      <w:r w:rsidR="00116757" w:rsidRPr="00C428DE">
        <w:t>a “non-material</w:t>
      </w:r>
      <w:r w:rsidR="00116757" w:rsidRPr="00C428DE">
        <w:rPr>
          <w:spacing w:val="1"/>
        </w:rPr>
        <w:t xml:space="preserve"> </w:t>
      </w:r>
      <w:r w:rsidR="00116757" w:rsidRPr="00C428DE">
        <w:t>secondary guarantee.”</w:t>
      </w:r>
    </w:p>
    <w:p w14:paraId="29EB7A5D" w14:textId="77777777" w:rsidR="00E806B3" w:rsidRDefault="00E806B3" w:rsidP="00E806B3">
      <w:pPr>
        <w:pStyle w:val="ListParagraph"/>
        <w:tabs>
          <w:tab w:val="left" w:pos="1521"/>
        </w:tabs>
        <w:kinsoku w:val="0"/>
        <w:overflowPunct w:val="0"/>
        <w:ind w:left="1879" w:right="116"/>
        <w:jc w:val="both"/>
        <w:rPr>
          <w:sz w:val="22"/>
          <w:szCs w:val="22"/>
        </w:rPr>
      </w:pPr>
    </w:p>
    <w:p w14:paraId="49C1F99B" w14:textId="77777777" w:rsidR="00E806B3" w:rsidRPr="00116757" w:rsidRDefault="007435A2" w:rsidP="000B752D">
      <w:pPr>
        <w:pStyle w:val="BodyText"/>
        <w:kinsoku w:val="0"/>
        <w:overflowPunct w:val="0"/>
        <w:ind w:left="1440" w:firstLine="0"/>
        <w:jc w:val="both"/>
        <w:rPr>
          <w:sz w:val="22"/>
          <w:szCs w:val="22"/>
        </w:rPr>
      </w:pPr>
      <w:r>
        <w:rPr>
          <w:sz w:val="22"/>
          <w:szCs w:val="22"/>
        </w:rPr>
        <w:t>3</w:t>
      </w:r>
      <w:r w:rsidR="00421DD2">
        <w:rPr>
          <w:sz w:val="22"/>
          <w:szCs w:val="22"/>
        </w:rPr>
        <w:t xml:space="preserve">. </w:t>
      </w:r>
      <w:r w:rsidR="003A53DC" w:rsidRPr="00B415EF">
        <w:rPr>
          <w:sz w:val="22"/>
          <w:szCs w:val="22"/>
        </w:rPr>
        <w:t xml:space="preserve">Each exemption, or lack of an exemption, applies </w:t>
      </w:r>
      <w:r w:rsidR="003A53DC" w:rsidRPr="00BA0844">
        <w:rPr>
          <w:sz w:val="22"/>
          <w:szCs w:val="22"/>
        </w:rPr>
        <w:t xml:space="preserve">only to policies issued </w:t>
      </w:r>
      <w:r w:rsidR="00B942B6" w:rsidRPr="007435A2">
        <w:rPr>
          <w:sz w:val="22"/>
          <w:szCs w:val="22"/>
        </w:rPr>
        <w:t xml:space="preserve">or assumed </w:t>
      </w:r>
      <w:r w:rsidR="003A53DC" w:rsidRPr="00B415EF">
        <w:rPr>
          <w:sz w:val="22"/>
          <w:szCs w:val="22"/>
        </w:rPr>
        <w:t xml:space="preserve">in the </w:t>
      </w:r>
      <w:r w:rsidR="003A53DC" w:rsidRPr="00BA0844">
        <w:rPr>
          <w:sz w:val="22"/>
          <w:szCs w:val="22"/>
        </w:rPr>
        <w:t>current year and applies to all future valuation dates</w:t>
      </w:r>
      <w:r w:rsidR="003A53DC" w:rsidRPr="007435A2">
        <w:rPr>
          <w:sz w:val="22"/>
          <w:szCs w:val="22"/>
        </w:rPr>
        <w:t xml:space="preserve"> for those policies</w:t>
      </w:r>
      <w:r w:rsidR="003A53DC" w:rsidRPr="00B415EF">
        <w:rPr>
          <w:sz w:val="22"/>
          <w:szCs w:val="22"/>
        </w:rPr>
        <w:t>.</w:t>
      </w:r>
      <w:r w:rsidR="003A53DC">
        <w:rPr>
          <w:sz w:val="22"/>
          <w:szCs w:val="22"/>
        </w:rPr>
        <w:t xml:space="preserve">  </w:t>
      </w:r>
      <w:r w:rsidR="00BA0844">
        <w:rPr>
          <w:sz w:val="22"/>
          <w:szCs w:val="22"/>
        </w:rPr>
        <w:t>Th</w:t>
      </w:r>
      <w:r w:rsidR="00E806B3" w:rsidRPr="00116757">
        <w:rPr>
          <w:sz w:val="22"/>
          <w:szCs w:val="22"/>
        </w:rPr>
        <w:t xml:space="preserve">e minimum reserve requirements for the ordinary life policies subject to the exemption </w:t>
      </w:r>
      <w:r w:rsidR="00DB1626">
        <w:rPr>
          <w:sz w:val="22"/>
          <w:szCs w:val="22"/>
        </w:rPr>
        <w:t>are those</w:t>
      </w:r>
      <w:r w:rsidR="00E806B3" w:rsidRPr="00116757">
        <w:rPr>
          <w:sz w:val="22"/>
          <w:szCs w:val="22"/>
        </w:rPr>
        <w:t xml:space="preserve"> pursuant to applicable methods required in VM-A and VM-C using the mortality as defined in VM-20 Section 3.C.1 and VM-M Section 1.H.</w:t>
      </w:r>
    </w:p>
    <w:p w14:paraId="31919583" w14:textId="77777777" w:rsidR="00116757" w:rsidRDefault="00116757" w:rsidP="008155C4">
      <w:pPr>
        <w:ind w:left="720"/>
      </w:pPr>
    </w:p>
    <w:p w14:paraId="39219323" w14:textId="77777777" w:rsidR="0097770E" w:rsidRPr="009B4A73" w:rsidRDefault="0097770E" w:rsidP="0097770E">
      <w:pPr>
        <w:pStyle w:val="BodyText"/>
        <w:kinsoku w:val="0"/>
        <w:overflowPunct w:val="0"/>
        <w:spacing w:line="225" w:lineRule="exact"/>
        <w:rPr>
          <w:sz w:val="18"/>
          <w:szCs w:val="18"/>
        </w:rPr>
      </w:pPr>
      <w:bookmarkStart w:id="3" w:name="bookmark2"/>
      <w:bookmarkStart w:id="4" w:name="II._Reserve_Requirements"/>
      <w:bookmarkStart w:id="5" w:name="Life_Insurance_Products"/>
      <w:bookmarkStart w:id="6" w:name="bookmark0"/>
      <w:bookmarkStart w:id="7" w:name="bookmark1"/>
      <w:bookmarkEnd w:id="3"/>
      <w:bookmarkEnd w:id="4"/>
      <w:bookmarkEnd w:id="5"/>
      <w:bookmarkEnd w:id="6"/>
      <w:bookmarkEnd w:id="7"/>
      <w:r>
        <w:rPr>
          <w:position w:val="9"/>
          <w:sz w:val="18"/>
          <w:szCs w:val="18"/>
        </w:rPr>
        <w:t xml:space="preserve">             1</w:t>
      </w:r>
      <w:r w:rsidRPr="009B4A73">
        <w:rPr>
          <w:position w:val="9"/>
          <w:sz w:val="18"/>
          <w:szCs w:val="18"/>
        </w:rPr>
        <w:t xml:space="preserve"> </w:t>
      </w:r>
      <w:r w:rsidRPr="009B4A73">
        <w:rPr>
          <w:sz w:val="18"/>
          <w:szCs w:val="18"/>
        </w:rPr>
        <w:t>Premiums are measured as direct plus reinsurance assumed from an unaffiliated company from the ordinary life</w:t>
      </w:r>
      <w:r>
        <w:rPr>
          <w:sz w:val="18"/>
          <w:szCs w:val="18"/>
        </w:rPr>
        <w:t xml:space="preserve"> </w:t>
      </w:r>
      <w:r w:rsidRPr="009B4A73">
        <w:rPr>
          <w:sz w:val="18"/>
          <w:szCs w:val="18"/>
        </w:rPr>
        <w:t xml:space="preserve">line of business reported in the prior calendar year life/health annual financial statement, Exhibit 1, Part 1, Column 3, “Ordinary Life Insurance” excluding premiums for </w:t>
      </w:r>
      <w:r>
        <w:rPr>
          <w:sz w:val="18"/>
          <w:szCs w:val="18"/>
        </w:rPr>
        <w:t>Guaranteed Issue policies and</w:t>
      </w:r>
      <w:r w:rsidRPr="009B4A73">
        <w:rPr>
          <w:sz w:val="18"/>
          <w:szCs w:val="18"/>
        </w:rPr>
        <w:t xml:space="preserve"> preneed life contracts and excluding amounts that represent the transfer of reserves in force as of the effective date of a reinsurance assumed transaction and are reported in Exhibit 1 Part 1, Column 3 as ordinary life insurance premium. Preneed is as defined in VM-02.</w:t>
      </w:r>
    </w:p>
    <w:sectPr w:rsidR="0097770E" w:rsidRPr="009B4A73" w:rsidSect="00B84273">
      <w:headerReference w:type="default" r:id="rId7"/>
      <w:footerReference w:type="default" r:id="rId8"/>
      <w:type w:val="continuous"/>
      <w:pgSz w:w="12240" w:h="15840"/>
      <w:pgMar w:top="1080" w:right="1080" w:bottom="1080" w:left="1080" w:header="720" w:footer="720" w:gutter="0"/>
      <w:cols w:space="720" w:equalWidth="0">
        <w:col w:w="10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A86B" w14:textId="77777777" w:rsidR="005D651C" w:rsidRDefault="005D651C" w:rsidP="00B84273">
      <w:pPr>
        <w:spacing w:after="0" w:line="240" w:lineRule="auto"/>
      </w:pPr>
      <w:r>
        <w:separator/>
      </w:r>
    </w:p>
  </w:endnote>
  <w:endnote w:type="continuationSeparator" w:id="0">
    <w:p w14:paraId="35D2FAA4" w14:textId="77777777" w:rsidR="005D651C" w:rsidRDefault="005D651C" w:rsidP="00B8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EAE88" w14:textId="77777777" w:rsidR="00B84273" w:rsidRPr="00B84273" w:rsidRDefault="00B84273" w:rsidP="00B84273">
    <w:pPr>
      <w:pStyle w:val="Footer"/>
      <w:tabs>
        <w:tab w:val="clear" w:pos="4680"/>
        <w:tab w:val="center" w:pos="5040"/>
      </w:tabs>
      <w:rPr>
        <w:rFonts w:ascii="Times New Roman" w:hAnsi="Times New Roman" w:cs="Times New Roman"/>
        <w:sz w:val="20"/>
      </w:rPr>
    </w:pPr>
    <w:r>
      <w:rPr>
        <w:rFonts w:ascii="Times New Roman" w:hAnsi="Times New Roman" w:cs="Times New Roman"/>
        <w:sz w:val="20"/>
      </w:rPr>
      <w:t>© 2018 National Association of Insurance Commissioners</w:t>
    </w:r>
    <w:r>
      <w:rPr>
        <w:rFonts w:ascii="Times New Roman" w:hAnsi="Times New Roman" w:cs="Times New Roman"/>
        <w:sz w:val="20"/>
      </w:rPr>
      <w:tab/>
    </w:r>
    <w:r w:rsidRPr="00B84273">
      <w:rPr>
        <w:rFonts w:ascii="Times New Roman" w:hAnsi="Times New Roman" w:cs="Times New Roman"/>
        <w:sz w:val="20"/>
      </w:rPr>
      <w:fldChar w:fldCharType="begin"/>
    </w:r>
    <w:r w:rsidRPr="00B84273">
      <w:rPr>
        <w:rFonts w:ascii="Times New Roman" w:hAnsi="Times New Roman" w:cs="Times New Roman"/>
        <w:sz w:val="20"/>
      </w:rPr>
      <w:instrText xml:space="preserve"> PAGE   \* MERGEFORMAT </w:instrText>
    </w:r>
    <w:r w:rsidRPr="00B84273">
      <w:rPr>
        <w:rFonts w:ascii="Times New Roman" w:hAnsi="Times New Roman" w:cs="Times New Roman"/>
        <w:sz w:val="20"/>
      </w:rPr>
      <w:fldChar w:fldCharType="separate"/>
    </w:r>
    <w:r w:rsidRPr="00B84273">
      <w:rPr>
        <w:rFonts w:ascii="Times New Roman" w:hAnsi="Times New Roman" w:cs="Times New Roman"/>
        <w:noProof/>
        <w:sz w:val="20"/>
      </w:rPr>
      <w:t>1</w:t>
    </w:r>
    <w:r w:rsidRPr="00B84273">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F01E" w14:textId="77777777" w:rsidR="005D651C" w:rsidRDefault="005D651C" w:rsidP="00B84273">
      <w:pPr>
        <w:spacing w:after="0" w:line="240" w:lineRule="auto"/>
      </w:pPr>
      <w:r>
        <w:separator/>
      </w:r>
    </w:p>
  </w:footnote>
  <w:footnote w:type="continuationSeparator" w:id="0">
    <w:p w14:paraId="4C36E683" w14:textId="77777777" w:rsidR="005D651C" w:rsidRDefault="005D651C" w:rsidP="00B8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F850" w14:textId="77777777" w:rsidR="00B84273" w:rsidRDefault="00B84273" w:rsidP="00B84273">
    <w:pPr>
      <w:pStyle w:val="Header"/>
      <w:jc w:val="right"/>
      <w:rPr>
        <w:rFonts w:ascii="Times New Roman" w:hAnsi="Times New Roman" w:cs="Times New Roman"/>
        <w:sz w:val="20"/>
      </w:rPr>
    </w:pPr>
    <w:r>
      <w:rPr>
        <w:rFonts w:ascii="Times New Roman" w:hAnsi="Times New Roman" w:cs="Times New Roman"/>
        <w:sz w:val="20"/>
      </w:rPr>
      <w:t>Attachment Four-D</w:t>
    </w:r>
  </w:p>
  <w:p w14:paraId="01D9CEE9" w14:textId="77777777" w:rsidR="00B84273" w:rsidRDefault="00B84273" w:rsidP="00B84273">
    <w:pPr>
      <w:pStyle w:val="Header"/>
      <w:jc w:val="right"/>
      <w:rPr>
        <w:rFonts w:ascii="Times New Roman" w:hAnsi="Times New Roman" w:cs="Times New Roman"/>
        <w:sz w:val="20"/>
      </w:rPr>
    </w:pPr>
    <w:r>
      <w:rPr>
        <w:rFonts w:ascii="Times New Roman" w:hAnsi="Times New Roman" w:cs="Times New Roman"/>
        <w:sz w:val="20"/>
      </w:rPr>
      <w:t>Life Actuarial (A) Task Force</w:t>
    </w:r>
  </w:p>
  <w:p w14:paraId="1BE37CD1" w14:textId="77777777" w:rsidR="00B84273" w:rsidRPr="00B84273" w:rsidRDefault="00B84273" w:rsidP="00B84273">
    <w:pPr>
      <w:pStyle w:val="Header"/>
      <w:jc w:val="right"/>
      <w:rPr>
        <w:rFonts w:ascii="Times New Roman" w:hAnsi="Times New Roman" w:cs="Times New Roman"/>
        <w:sz w:val="20"/>
      </w:rPr>
    </w:pPr>
    <w:r>
      <w:rPr>
        <w:rFonts w:ascii="Times New Roman" w:hAnsi="Times New Roman" w:cs="Times New Roman"/>
        <w:sz w:val="20"/>
      </w:rPr>
      <w:t>11/13-14/18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1E7C331A"/>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87103"/>
    <w:multiLevelType w:val="hybridMultilevel"/>
    <w:tmpl w:val="25BAD808"/>
    <w:lvl w:ilvl="0" w:tplc="61902A60">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B721A"/>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6" w15:restartNumberingAfterBreak="0">
    <w:nsid w:val="2DB825F6"/>
    <w:multiLevelType w:val="hybridMultilevel"/>
    <w:tmpl w:val="8708CBE4"/>
    <w:lvl w:ilvl="0" w:tplc="CA1C0A46">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4DC14EF"/>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E3254"/>
    <w:multiLevelType w:val="multilevel"/>
    <w:tmpl w:val="0409001D"/>
    <w:lvl w:ilvl="0">
      <w:start w:val="1"/>
      <w:numFmt w:val="upperLetter"/>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99F1CC9"/>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0" w15:restartNumberingAfterBreak="0">
    <w:nsid w:val="4D1F5DDE"/>
    <w:multiLevelType w:val="hybridMultilevel"/>
    <w:tmpl w:val="67C2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34876"/>
    <w:multiLevelType w:val="hybridMultilevel"/>
    <w:tmpl w:val="3484347A"/>
    <w:lvl w:ilvl="0" w:tplc="24A2D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F4194D"/>
    <w:multiLevelType w:val="hybridMultilevel"/>
    <w:tmpl w:val="D6B2266E"/>
    <w:lvl w:ilvl="0" w:tplc="2514B352">
      <w:start w:val="3"/>
      <w:numFmt w:val="lowerLetter"/>
      <w:lvlText w:val="%1."/>
      <w:lvlJc w:val="left"/>
      <w:pPr>
        <w:ind w:left="1879" w:hanging="360"/>
      </w:pPr>
      <w:rPr>
        <w:rFonts w:hint="default"/>
      </w:rPr>
    </w:lvl>
    <w:lvl w:ilvl="1" w:tplc="04090019" w:tentative="1">
      <w:start w:val="1"/>
      <w:numFmt w:val="lowerLetter"/>
      <w:lvlText w:val="%2."/>
      <w:lvlJc w:val="left"/>
      <w:pPr>
        <w:ind w:left="2599" w:hanging="360"/>
      </w:pPr>
    </w:lvl>
    <w:lvl w:ilvl="2" w:tplc="0409001B" w:tentative="1">
      <w:start w:val="1"/>
      <w:numFmt w:val="lowerRoman"/>
      <w:lvlText w:val="%3."/>
      <w:lvlJc w:val="right"/>
      <w:pPr>
        <w:ind w:left="3319" w:hanging="180"/>
      </w:pPr>
    </w:lvl>
    <w:lvl w:ilvl="3" w:tplc="0409000F" w:tentative="1">
      <w:start w:val="1"/>
      <w:numFmt w:val="decimal"/>
      <w:lvlText w:val="%4."/>
      <w:lvlJc w:val="left"/>
      <w:pPr>
        <w:ind w:left="4039" w:hanging="360"/>
      </w:p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13" w15:restartNumberingAfterBreak="0">
    <w:nsid w:val="51987A4F"/>
    <w:multiLevelType w:val="hybridMultilevel"/>
    <w:tmpl w:val="6FCC5214"/>
    <w:lvl w:ilvl="0" w:tplc="7C880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105B0"/>
    <w:multiLevelType w:val="hybridMultilevel"/>
    <w:tmpl w:val="B62A15F8"/>
    <w:lvl w:ilvl="0" w:tplc="428A3182">
      <w:start w:val="2"/>
      <w:numFmt w:val="lowerLetter"/>
      <w:lvlText w:val="%1."/>
      <w:lvlJc w:val="left"/>
      <w:pPr>
        <w:ind w:left="18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96817"/>
    <w:multiLevelType w:val="hybridMultilevel"/>
    <w:tmpl w:val="76CAC17A"/>
    <w:lvl w:ilvl="0" w:tplc="45CCFF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2004F"/>
    <w:multiLevelType w:val="hybridMultilevel"/>
    <w:tmpl w:val="953C9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510FC"/>
    <w:multiLevelType w:val="hybridMultilevel"/>
    <w:tmpl w:val="D9EE4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F191F"/>
    <w:multiLevelType w:val="hybridMultilevel"/>
    <w:tmpl w:val="16F07124"/>
    <w:lvl w:ilvl="0" w:tplc="B84A8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num>
  <w:num w:numId="8">
    <w:abstractNumId w:val="7"/>
  </w:num>
  <w:num w:numId="9">
    <w:abstractNumId w:val="16"/>
  </w:num>
  <w:num w:numId="10">
    <w:abstractNumId w:val="9"/>
  </w:num>
  <w:num w:numId="11">
    <w:abstractNumId w:val="5"/>
  </w:num>
  <w:num w:numId="12">
    <w:abstractNumId w:val="12"/>
  </w:num>
  <w:num w:numId="13">
    <w:abstractNumId w:val="14"/>
  </w:num>
  <w:num w:numId="14">
    <w:abstractNumId w:val="10"/>
  </w:num>
  <w:num w:numId="15">
    <w:abstractNumId w:val="15"/>
  </w:num>
  <w:num w:numId="16">
    <w:abstractNumId w:val="13"/>
  </w:num>
  <w:num w:numId="17">
    <w:abstractNumId w:val="11"/>
  </w:num>
  <w:num w:numId="18">
    <w:abstractNumId w:val="6"/>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10A71"/>
    <w:rsid w:val="00016B9D"/>
    <w:rsid w:val="00071A44"/>
    <w:rsid w:val="00071ECC"/>
    <w:rsid w:val="000752EB"/>
    <w:rsid w:val="0009095D"/>
    <w:rsid w:val="00095CBA"/>
    <w:rsid w:val="000B084E"/>
    <w:rsid w:val="000B752D"/>
    <w:rsid w:val="000F27E3"/>
    <w:rsid w:val="00102E75"/>
    <w:rsid w:val="001053A1"/>
    <w:rsid w:val="00116757"/>
    <w:rsid w:val="00136700"/>
    <w:rsid w:val="00160363"/>
    <w:rsid w:val="00180749"/>
    <w:rsid w:val="0018686F"/>
    <w:rsid w:val="001C33B6"/>
    <w:rsid w:val="001D1396"/>
    <w:rsid w:val="001D2974"/>
    <w:rsid w:val="00202FA3"/>
    <w:rsid w:val="0021227B"/>
    <w:rsid w:val="00213891"/>
    <w:rsid w:val="00223B47"/>
    <w:rsid w:val="00264A8E"/>
    <w:rsid w:val="00264BAB"/>
    <w:rsid w:val="002740A8"/>
    <w:rsid w:val="002766DF"/>
    <w:rsid w:val="00294351"/>
    <w:rsid w:val="002A5A12"/>
    <w:rsid w:val="002E4AC3"/>
    <w:rsid w:val="0033661A"/>
    <w:rsid w:val="00351CA6"/>
    <w:rsid w:val="00377DB9"/>
    <w:rsid w:val="00383A1F"/>
    <w:rsid w:val="003973A1"/>
    <w:rsid w:val="00397706"/>
    <w:rsid w:val="003A53DC"/>
    <w:rsid w:val="00421DD2"/>
    <w:rsid w:val="00473D18"/>
    <w:rsid w:val="0047593E"/>
    <w:rsid w:val="004805DA"/>
    <w:rsid w:val="00490A8D"/>
    <w:rsid w:val="004A269C"/>
    <w:rsid w:val="004C349C"/>
    <w:rsid w:val="004E2BF1"/>
    <w:rsid w:val="004F33A0"/>
    <w:rsid w:val="004F6DD0"/>
    <w:rsid w:val="00532F02"/>
    <w:rsid w:val="00543EC2"/>
    <w:rsid w:val="00554498"/>
    <w:rsid w:val="005643BF"/>
    <w:rsid w:val="005664B2"/>
    <w:rsid w:val="00574101"/>
    <w:rsid w:val="005A752B"/>
    <w:rsid w:val="005C55BB"/>
    <w:rsid w:val="005D651C"/>
    <w:rsid w:val="005F625B"/>
    <w:rsid w:val="00681EB2"/>
    <w:rsid w:val="006821A4"/>
    <w:rsid w:val="006F1B0B"/>
    <w:rsid w:val="00714160"/>
    <w:rsid w:val="007234CD"/>
    <w:rsid w:val="007435A2"/>
    <w:rsid w:val="00753FF2"/>
    <w:rsid w:val="0075786E"/>
    <w:rsid w:val="00770F6D"/>
    <w:rsid w:val="007927C2"/>
    <w:rsid w:val="007B1DEE"/>
    <w:rsid w:val="007C5316"/>
    <w:rsid w:val="008033E2"/>
    <w:rsid w:val="00813B93"/>
    <w:rsid w:val="008155C4"/>
    <w:rsid w:val="00817647"/>
    <w:rsid w:val="00821743"/>
    <w:rsid w:val="00831ED0"/>
    <w:rsid w:val="00832BAB"/>
    <w:rsid w:val="008453FF"/>
    <w:rsid w:val="008577F8"/>
    <w:rsid w:val="00863D34"/>
    <w:rsid w:val="00874680"/>
    <w:rsid w:val="008A1CFA"/>
    <w:rsid w:val="008C46D2"/>
    <w:rsid w:val="008C4BF2"/>
    <w:rsid w:val="008C6AE9"/>
    <w:rsid w:val="008D3349"/>
    <w:rsid w:val="008E6C3D"/>
    <w:rsid w:val="00975285"/>
    <w:rsid w:val="0097770E"/>
    <w:rsid w:val="00984233"/>
    <w:rsid w:val="00987EAD"/>
    <w:rsid w:val="009B59E3"/>
    <w:rsid w:val="009B6D6E"/>
    <w:rsid w:val="009D6605"/>
    <w:rsid w:val="00A0134B"/>
    <w:rsid w:val="00A04991"/>
    <w:rsid w:val="00A065DF"/>
    <w:rsid w:val="00A06A05"/>
    <w:rsid w:val="00A42951"/>
    <w:rsid w:val="00A50089"/>
    <w:rsid w:val="00A90CEB"/>
    <w:rsid w:val="00A9275D"/>
    <w:rsid w:val="00AA24E8"/>
    <w:rsid w:val="00AB0501"/>
    <w:rsid w:val="00AF503E"/>
    <w:rsid w:val="00B1111C"/>
    <w:rsid w:val="00B415EF"/>
    <w:rsid w:val="00B4794B"/>
    <w:rsid w:val="00B706BD"/>
    <w:rsid w:val="00B84273"/>
    <w:rsid w:val="00B942B6"/>
    <w:rsid w:val="00BA0844"/>
    <w:rsid w:val="00BB7B7B"/>
    <w:rsid w:val="00BE6F9B"/>
    <w:rsid w:val="00C010F6"/>
    <w:rsid w:val="00C17A3D"/>
    <w:rsid w:val="00C17FF1"/>
    <w:rsid w:val="00C253E0"/>
    <w:rsid w:val="00C428DE"/>
    <w:rsid w:val="00C52774"/>
    <w:rsid w:val="00C73224"/>
    <w:rsid w:val="00C762E8"/>
    <w:rsid w:val="00C94718"/>
    <w:rsid w:val="00CA4532"/>
    <w:rsid w:val="00CA57CB"/>
    <w:rsid w:val="00D00646"/>
    <w:rsid w:val="00D026B5"/>
    <w:rsid w:val="00D21A43"/>
    <w:rsid w:val="00D416EC"/>
    <w:rsid w:val="00D43CF1"/>
    <w:rsid w:val="00D842FB"/>
    <w:rsid w:val="00DB1626"/>
    <w:rsid w:val="00DD6DAE"/>
    <w:rsid w:val="00DE216C"/>
    <w:rsid w:val="00DF5EF9"/>
    <w:rsid w:val="00E1696C"/>
    <w:rsid w:val="00E212DA"/>
    <w:rsid w:val="00E2637F"/>
    <w:rsid w:val="00E533B4"/>
    <w:rsid w:val="00E64B7A"/>
    <w:rsid w:val="00E806B3"/>
    <w:rsid w:val="00EA7E85"/>
    <w:rsid w:val="00EC7D67"/>
    <w:rsid w:val="00ED01EB"/>
    <w:rsid w:val="00ED02D3"/>
    <w:rsid w:val="00EE0CD4"/>
    <w:rsid w:val="00F108D1"/>
    <w:rsid w:val="00F143DD"/>
    <w:rsid w:val="00F176AB"/>
    <w:rsid w:val="00F23159"/>
    <w:rsid w:val="00F270FD"/>
    <w:rsid w:val="00F35029"/>
    <w:rsid w:val="00F46F40"/>
    <w:rsid w:val="00F511E3"/>
    <w:rsid w:val="00F5781B"/>
    <w:rsid w:val="00FA737C"/>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8F58"/>
  <w15:docId w15:val="{AE3AA631-72D6-4182-8B51-EA5C693D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A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E8"/>
    <w:rPr>
      <w:rFonts w:ascii="Tahoma" w:hAnsi="Tahoma" w:cs="Tahoma"/>
      <w:sz w:val="16"/>
      <w:szCs w:val="16"/>
    </w:rPr>
  </w:style>
  <w:style w:type="character" w:styleId="CommentReference">
    <w:name w:val="annotation reference"/>
    <w:basedOn w:val="DefaultParagraphFont"/>
    <w:uiPriority w:val="99"/>
    <w:semiHidden/>
    <w:unhideWhenUsed/>
    <w:rsid w:val="00753FF2"/>
    <w:rPr>
      <w:sz w:val="16"/>
      <w:szCs w:val="16"/>
    </w:rPr>
  </w:style>
  <w:style w:type="paragraph" w:styleId="CommentText">
    <w:name w:val="annotation text"/>
    <w:basedOn w:val="Normal"/>
    <w:link w:val="CommentTextChar"/>
    <w:uiPriority w:val="99"/>
    <w:semiHidden/>
    <w:unhideWhenUsed/>
    <w:rsid w:val="00753FF2"/>
    <w:pPr>
      <w:spacing w:line="240" w:lineRule="auto"/>
    </w:pPr>
    <w:rPr>
      <w:sz w:val="20"/>
      <w:szCs w:val="20"/>
    </w:rPr>
  </w:style>
  <w:style w:type="character" w:customStyle="1" w:styleId="CommentTextChar">
    <w:name w:val="Comment Text Char"/>
    <w:basedOn w:val="DefaultParagraphFont"/>
    <w:link w:val="CommentText"/>
    <w:uiPriority w:val="99"/>
    <w:semiHidden/>
    <w:rsid w:val="00753FF2"/>
    <w:rPr>
      <w:sz w:val="20"/>
      <w:szCs w:val="20"/>
    </w:rPr>
  </w:style>
  <w:style w:type="paragraph" w:styleId="CommentSubject">
    <w:name w:val="annotation subject"/>
    <w:basedOn w:val="CommentText"/>
    <w:next w:val="CommentText"/>
    <w:link w:val="CommentSubjectChar"/>
    <w:uiPriority w:val="99"/>
    <w:semiHidden/>
    <w:unhideWhenUsed/>
    <w:rsid w:val="00753FF2"/>
    <w:rPr>
      <w:b/>
      <w:bCs/>
    </w:rPr>
  </w:style>
  <w:style w:type="character" w:customStyle="1" w:styleId="CommentSubjectChar">
    <w:name w:val="Comment Subject Char"/>
    <w:basedOn w:val="CommentTextChar"/>
    <w:link w:val="CommentSubject"/>
    <w:uiPriority w:val="99"/>
    <w:semiHidden/>
    <w:rsid w:val="00753FF2"/>
    <w:rPr>
      <w:b/>
      <w:bCs/>
      <w:sz w:val="20"/>
      <w:szCs w:val="20"/>
    </w:rPr>
  </w:style>
  <w:style w:type="paragraph" w:customStyle="1" w:styleId="Default">
    <w:name w:val="Default"/>
    <w:rsid w:val="002740A8"/>
    <w:pPr>
      <w:autoSpaceDE w:val="0"/>
      <w:autoSpaceDN w:val="0"/>
      <w:adjustRightInd w:val="0"/>
      <w:spacing w:after="0" w:line="240" w:lineRule="auto"/>
    </w:pPr>
    <w:rPr>
      <w:rFonts w:ascii="Cambria" w:eastAsia="Times New Roman" w:hAnsi="Cambria" w:cs="Cambria"/>
      <w:color w:val="000000"/>
      <w:sz w:val="24"/>
      <w:szCs w:val="24"/>
    </w:rPr>
  </w:style>
  <w:style w:type="paragraph" w:styleId="Header">
    <w:name w:val="header"/>
    <w:basedOn w:val="Normal"/>
    <w:link w:val="HeaderChar"/>
    <w:uiPriority w:val="99"/>
    <w:unhideWhenUsed/>
    <w:rsid w:val="00B84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273"/>
  </w:style>
  <w:style w:type="paragraph" w:styleId="Footer">
    <w:name w:val="footer"/>
    <w:basedOn w:val="Normal"/>
    <w:link w:val="FooterChar"/>
    <w:uiPriority w:val="99"/>
    <w:unhideWhenUsed/>
    <w:rsid w:val="00B84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5431">
      <w:bodyDiv w:val="1"/>
      <w:marLeft w:val="0"/>
      <w:marRight w:val="0"/>
      <w:marTop w:val="0"/>
      <w:marBottom w:val="0"/>
      <w:divBdr>
        <w:top w:val="none" w:sz="0" w:space="0" w:color="auto"/>
        <w:left w:val="none" w:sz="0" w:space="0" w:color="auto"/>
        <w:bottom w:val="none" w:sz="0" w:space="0" w:color="auto"/>
        <w:right w:val="none" w:sz="0" w:space="0" w:color="auto"/>
      </w:divBdr>
    </w:div>
    <w:div w:id="13316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5B09E7D2</Template>
  <TotalTime>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Mazyck, Reggie</cp:lastModifiedBy>
  <cp:revision>2</cp:revision>
  <dcterms:created xsi:type="dcterms:W3CDTF">2019-03-25T12:39:00Z</dcterms:created>
  <dcterms:modified xsi:type="dcterms:W3CDTF">2019-03-25T12:39:00Z</dcterms:modified>
</cp:coreProperties>
</file>