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656A8" w14:textId="50E7C4BD" w:rsidR="00F3759A" w:rsidRPr="00F3759A" w:rsidRDefault="00664241" w:rsidP="00664241">
      <w:pPr>
        <w:spacing w:after="0"/>
        <w:jc w:val="center"/>
        <w:rPr>
          <w:rFonts w:ascii="Times New Roman" w:hAnsi="Times New Roman"/>
          <w:b/>
        </w:rPr>
      </w:pPr>
      <w:r>
        <w:rPr>
          <w:rFonts w:ascii="Times New Roman" w:hAnsi="Times New Roman"/>
          <w:b/>
        </w:rPr>
        <w:t>AG 51 GUIDANCE DOCUMENT</w:t>
      </w:r>
      <w:r w:rsidR="00CB1166">
        <w:rPr>
          <w:rFonts w:ascii="Times New Roman" w:hAnsi="Times New Roman"/>
          <w:b/>
        </w:rPr>
        <w:t xml:space="preserve"> – YEAR-END 2018</w:t>
      </w:r>
      <w:r w:rsidR="00B20591">
        <w:rPr>
          <w:rFonts w:ascii="Times New Roman" w:hAnsi="Times New Roman"/>
          <w:b/>
        </w:rPr>
        <w:t xml:space="preserve"> [with 1/9/2019 CLARIFICATION</w:t>
      </w:r>
      <w:r w:rsidR="006F5E61">
        <w:rPr>
          <w:rFonts w:ascii="Times New Roman" w:hAnsi="Times New Roman"/>
          <w:b/>
        </w:rPr>
        <w:t xml:space="preserve"> – see II.i.]</w:t>
      </w:r>
    </w:p>
    <w:p w14:paraId="0B273810" w14:textId="77777777" w:rsidR="00F3759A" w:rsidRDefault="00F3759A" w:rsidP="009657C0">
      <w:pPr>
        <w:spacing w:after="0"/>
        <w:rPr>
          <w:rFonts w:ascii="Times New Roman" w:hAnsi="Times New Roman"/>
        </w:rPr>
      </w:pPr>
    </w:p>
    <w:p w14:paraId="7A9E66CC" w14:textId="3469F1B4" w:rsidR="009657C0" w:rsidRDefault="009657C0" w:rsidP="009657C0">
      <w:pPr>
        <w:spacing w:after="0"/>
        <w:rPr>
          <w:rFonts w:ascii="Times New Roman" w:hAnsi="Times New Roman"/>
        </w:rPr>
      </w:pPr>
      <w:r>
        <w:rPr>
          <w:rFonts w:ascii="Times New Roman" w:hAnsi="Times New Roman"/>
        </w:rPr>
        <w:t>Below is a request for information related to companies’ long-term care insurance (LTC) asset adequacy testing that is being sent to each company filing an Actuarial Guideline 51 (AG 51) Memorandum.  The request is related to a Valuation Analysis Review Group of the National Association of Insurance Commissioners project to review AG 51 reserve analysis.  For each of the items below, please provide an answer or point to the section and page in the AG 51 filing where the item is addressed.  The same confidentiality standards will apply to this information as applied to the AG 51 memorandum.</w:t>
      </w:r>
      <w:r w:rsidR="00517C29">
        <w:rPr>
          <w:rStyle w:val="EndnoteReference"/>
          <w:rFonts w:ascii="Times New Roman" w:hAnsi="Times New Roman"/>
        </w:rPr>
        <w:endnoteReference w:id="1"/>
      </w:r>
      <w:r>
        <w:rPr>
          <w:rFonts w:ascii="Times New Roman" w:hAnsi="Times New Roman"/>
        </w:rPr>
        <w:t xml:space="preserve">  The response should be sent as </w:t>
      </w:r>
      <w:r w:rsidR="00FD090B">
        <w:rPr>
          <w:rFonts w:ascii="Times New Roman" w:hAnsi="Times New Roman"/>
        </w:rPr>
        <w:t xml:space="preserve">separate section </w:t>
      </w:r>
      <w:r>
        <w:rPr>
          <w:rFonts w:ascii="Times New Roman" w:hAnsi="Times New Roman"/>
        </w:rPr>
        <w:t>of the AG 51 filing on the AG 51 filing due date.</w:t>
      </w:r>
    </w:p>
    <w:p w14:paraId="29DA87A9" w14:textId="77777777" w:rsidR="009657C0" w:rsidRDefault="009657C0" w:rsidP="009657C0">
      <w:pPr>
        <w:spacing w:after="0"/>
        <w:rPr>
          <w:rFonts w:ascii="Times New Roman" w:hAnsi="Times New Roman"/>
          <w:b/>
          <w:bCs/>
        </w:rPr>
      </w:pPr>
    </w:p>
    <w:p w14:paraId="3F93396F" w14:textId="77777777" w:rsidR="009657C0" w:rsidRDefault="009657C0" w:rsidP="009657C0">
      <w:pPr>
        <w:spacing w:after="0"/>
        <w:rPr>
          <w:rFonts w:ascii="Times New Roman" w:hAnsi="Times New Roman"/>
          <w:bCs/>
        </w:rPr>
      </w:pPr>
      <w:r>
        <w:rPr>
          <w:rFonts w:ascii="Times New Roman" w:hAnsi="Times New Roman"/>
          <w:b/>
          <w:bCs/>
        </w:rPr>
        <w:t>I.  Inforce</w:t>
      </w:r>
    </w:p>
    <w:p w14:paraId="0E0F2567" w14:textId="77777777" w:rsidR="009657C0" w:rsidRDefault="009657C0" w:rsidP="009657C0">
      <w:pPr>
        <w:spacing w:after="0"/>
        <w:rPr>
          <w:rFonts w:ascii="Times New Roman" w:hAnsi="Times New Roman"/>
          <w:bCs/>
        </w:rPr>
      </w:pPr>
    </w:p>
    <w:p w14:paraId="761A9E3B" w14:textId="24CC81B1" w:rsidR="009657C0" w:rsidRDefault="009657C0" w:rsidP="009657C0">
      <w:pPr>
        <w:spacing w:after="0"/>
        <w:rPr>
          <w:rFonts w:ascii="Times New Roman" w:hAnsi="Times New Roman"/>
          <w:bCs/>
        </w:rPr>
      </w:pPr>
      <w:proofErr w:type="gramStart"/>
      <w:r>
        <w:rPr>
          <w:rFonts w:ascii="Times New Roman" w:hAnsi="Times New Roman"/>
          <w:bCs/>
        </w:rPr>
        <w:t>a.  Provide</w:t>
      </w:r>
      <w:proofErr w:type="gramEnd"/>
      <w:r>
        <w:rPr>
          <w:rFonts w:ascii="Times New Roman" w:hAnsi="Times New Roman"/>
          <w:bCs/>
        </w:rPr>
        <w:t xml:space="preserve"> charts containing the distribution of business (number of lives) by issue age band, </w:t>
      </w:r>
      <w:r w:rsidR="00FD090B">
        <w:rPr>
          <w:rFonts w:ascii="Times New Roman" w:hAnsi="Times New Roman"/>
          <w:bCs/>
        </w:rPr>
        <w:t xml:space="preserve">issue year, </w:t>
      </w:r>
      <w:r>
        <w:rPr>
          <w:rFonts w:ascii="Times New Roman" w:hAnsi="Times New Roman"/>
          <w:bCs/>
        </w:rPr>
        <w:t>coverage type, inflation protection, benefit period, and premium payment period.</w:t>
      </w:r>
      <w:r w:rsidR="00187371">
        <w:rPr>
          <w:rFonts w:ascii="Times New Roman" w:hAnsi="Times New Roman"/>
          <w:bCs/>
        </w:rPr>
        <w:t xml:space="preserve">  For premium payment period,</w:t>
      </w:r>
      <w:r w:rsidR="002958E1">
        <w:rPr>
          <w:rFonts w:ascii="Times New Roman" w:hAnsi="Times New Roman"/>
          <w:bCs/>
        </w:rPr>
        <w:t xml:space="preserve"> distinguish between inforce</w:t>
      </w:r>
      <w:r w:rsidR="00187371">
        <w:rPr>
          <w:rFonts w:ascii="Times New Roman" w:hAnsi="Times New Roman"/>
          <w:bCs/>
        </w:rPr>
        <w:t xml:space="preserve"> policyholders with lifetime premium periods, </w:t>
      </w:r>
      <w:r w:rsidR="002958E1">
        <w:rPr>
          <w:rFonts w:ascii="Times New Roman" w:hAnsi="Times New Roman"/>
          <w:bCs/>
        </w:rPr>
        <w:t>inforce</w:t>
      </w:r>
      <w:r w:rsidR="00187371">
        <w:rPr>
          <w:rFonts w:ascii="Times New Roman" w:hAnsi="Times New Roman"/>
          <w:bCs/>
        </w:rPr>
        <w:t xml:space="preserve"> policyholders with limited-pay premium periods but still paying premiums, and </w:t>
      </w:r>
      <w:r w:rsidR="002958E1">
        <w:rPr>
          <w:rFonts w:ascii="Times New Roman" w:hAnsi="Times New Roman"/>
          <w:bCs/>
        </w:rPr>
        <w:t>inforce</w:t>
      </w:r>
      <w:r w:rsidR="00187371">
        <w:rPr>
          <w:rFonts w:ascii="Times New Roman" w:hAnsi="Times New Roman"/>
          <w:bCs/>
        </w:rPr>
        <w:t xml:space="preserve"> policyholders no longer paying premiums.</w:t>
      </w:r>
      <w:r w:rsidR="002958E1">
        <w:rPr>
          <w:rFonts w:ascii="Times New Roman" w:hAnsi="Times New Roman"/>
          <w:bCs/>
        </w:rPr>
        <w:t xml:space="preserve">  In these charts, please exclude policyholders on claim.</w:t>
      </w:r>
    </w:p>
    <w:p w14:paraId="1556B912" w14:textId="77777777" w:rsidR="0030325D" w:rsidRDefault="0030325D" w:rsidP="009657C0">
      <w:pPr>
        <w:spacing w:after="0"/>
        <w:rPr>
          <w:rFonts w:ascii="Times New Roman" w:hAnsi="Times New Roman"/>
          <w:b/>
          <w:bCs/>
        </w:rPr>
      </w:pPr>
    </w:p>
    <w:p w14:paraId="72B2D195" w14:textId="77777777" w:rsidR="009657C0" w:rsidRDefault="009657C0" w:rsidP="009657C0">
      <w:pPr>
        <w:spacing w:after="0"/>
        <w:rPr>
          <w:rFonts w:ascii="Times New Roman" w:hAnsi="Times New Roman" w:cs="Times New Roman"/>
        </w:rPr>
      </w:pPr>
      <w:r>
        <w:rPr>
          <w:rFonts w:ascii="Times New Roman" w:hAnsi="Times New Roman"/>
          <w:b/>
          <w:bCs/>
        </w:rPr>
        <w:t>II</w:t>
      </w:r>
      <w:proofErr w:type="gramStart"/>
      <w:r>
        <w:rPr>
          <w:rFonts w:ascii="Times New Roman" w:hAnsi="Times New Roman"/>
          <w:b/>
          <w:bCs/>
        </w:rPr>
        <w:t>.  Morbidity</w:t>
      </w:r>
      <w:proofErr w:type="gramEnd"/>
    </w:p>
    <w:p w14:paraId="511F4321" w14:textId="77777777" w:rsidR="009657C0" w:rsidRDefault="009657C0" w:rsidP="009657C0">
      <w:pPr>
        <w:spacing w:after="0"/>
        <w:rPr>
          <w:rFonts w:ascii="Times New Roman" w:hAnsi="Times New Roman"/>
          <w:b/>
          <w:bCs/>
        </w:rPr>
      </w:pPr>
    </w:p>
    <w:p w14:paraId="375F2886" w14:textId="77777777" w:rsidR="009657C0" w:rsidRDefault="009657C0" w:rsidP="009657C0">
      <w:pPr>
        <w:spacing w:after="0"/>
        <w:rPr>
          <w:rFonts w:ascii="Times New Roman" w:hAnsi="Times New Roman"/>
        </w:rPr>
      </w:pPr>
      <w:r>
        <w:rPr>
          <w:rFonts w:ascii="Times New Roman" w:hAnsi="Times New Roman"/>
        </w:rPr>
        <w:t>In this context, morbidity refers to claim incidence rates, length of claim, and claim utilization.</w:t>
      </w:r>
    </w:p>
    <w:p w14:paraId="58A266DC" w14:textId="77777777" w:rsidR="009657C0" w:rsidRDefault="009657C0" w:rsidP="009657C0">
      <w:pPr>
        <w:spacing w:after="0"/>
        <w:rPr>
          <w:rFonts w:ascii="Times New Roman" w:hAnsi="Times New Roman"/>
        </w:rPr>
      </w:pPr>
    </w:p>
    <w:p w14:paraId="6950D904" w14:textId="77777777" w:rsidR="009657C0" w:rsidRDefault="009657C0" w:rsidP="009657C0">
      <w:pPr>
        <w:spacing w:after="0"/>
        <w:rPr>
          <w:rFonts w:ascii="Times New Roman" w:hAnsi="Times New Roman"/>
        </w:rPr>
      </w:pPr>
      <w:r>
        <w:rPr>
          <w:rFonts w:ascii="Times New Roman" w:hAnsi="Times New Roman"/>
        </w:rPr>
        <w:t>a.</w:t>
      </w:r>
      <w:proofErr w:type="gramStart"/>
      <w:r>
        <w:rPr>
          <w:rFonts w:ascii="Times New Roman" w:hAnsi="Times New Roman"/>
        </w:rPr>
        <w:t>  Provide</w:t>
      </w:r>
      <w:proofErr w:type="gramEnd"/>
      <w:r>
        <w:rPr>
          <w:rFonts w:ascii="Times New Roman" w:hAnsi="Times New Roman"/>
        </w:rPr>
        <w:t xml:space="preserve"> the year of the most recent morbidity study applied to support the company’s morbidity assumptions</w:t>
      </w:r>
      <w:r w:rsidR="00F3759A">
        <w:rPr>
          <w:rFonts w:ascii="Times New Roman" w:hAnsi="Times New Roman"/>
        </w:rPr>
        <w:t xml:space="preserve"> and provide the data </w:t>
      </w:r>
      <w:r w:rsidR="00270F4D">
        <w:rPr>
          <w:rFonts w:ascii="Times New Roman" w:hAnsi="Times New Roman"/>
        </w:rPr>
        <w:t>period covered in the study</w:t>
      </w:r>
      <w:r>
        <w:rPr>
          <w:rFonts w:ascii="Times New Roman" w:hAnsi="Times New Roman"/>
        </w:rPr>
        <w:t>.</w:t>
      </w:r>
    </w:p>
    <w:p w14:paraId="5DA25926" w14:textId="77777777" w:rsidR="009657C0" w:rsidRDefault="009657C0" w:rsidP="009657C0">
      <w:pPr>
        <w:spacing w:after="0"/>
        <w:rPr>
          <w:rFonts w:ascii="Times New Roman" w:hAnsi="Times New Roman"/>
        </w:rPr>
      </w:pPr>
    </w:p>
    <w:p w14:paraId="3842F9D2" w14:textId="77777777" w:rsidR="009657C0" w:rsidRDefault="009657C0" w:rsidP="009657C0">
      <w:pPr>
        <w:spacing w:after="0"/>
        <w:rPr>
          <w:rFonts w:ascii="Times New Roman" w:hAnsi="Times New Roman"/>
        </w:rPr>
      </w:pPr>
      <w:proofErr w:type="gramStart"/>
      <w:r>
        <w:rPr>
          <w:rFonts w:ascii="Times New Roman" w:hAnsi="Times New Roman"/>
        </w:rPr>
        <w:t>b.  Discuss</w:t>
      </w:r>
      <w:proofErr w:type="gramEnd"/>
      <w:r>
        <w:rPr>
          <w:rFonts w:ascii="Times New Roman" w:hAnsi="Times New Roman"/>
        </w:rPr>
        <w:t xml:space="preserve"> the general trend in morbidity experience and expectations over the past </w:t>
      </w:r>
      <w:r w:rsidR="00270F4D">
        <w:rPr>
          <w:rFonts w:ascii="Times New Roman" w:hAnsi="Times New Roman"/>
        </w:rPr>
        <w:t xml:space="preserve">year and past </w:t>
      </w:r>
      <w:r>
        <w:rPr>
          <w:rFonts w:ascii="Times New Roman" w:hAnsi="Times New Roman"/>
        </w:rPr>
        <w:t>several years at the company.</w:t>
      </w:r>
    </w:p>
    <w:p w14:paraId="7C76C028" w14:textId="77777777" w:rsidR="009657C0" w:rsidRDefault="009657C0" w:rsidP="009657C0">
      <w:pPr>
        <w:spacing w:after="0"/>
        <w:rPr>
          <w:rFonts w:ascii="Times New Roman" w:hAnsi="Times New Roman"/>
        </w:rPr>
      </w:pPr>
    </w:p>
    <w:p w14:paraId="72B6BAAF" w14:textId="77777777" w:rsidR="009657C0" w:rsidRDefault="009657C0" w:rsidP="009657C0">
      <w:pPr>
        <w:spacing w:after="0"/>
        <w:rPr>
          <w:rFonts w:ascii="Times New Roman" w:hAnsi="Times New Roman"/>
        </w:rPr>
      </w:pPr>
      <w:r>
        <w:rPr>
          <w:rFonts w:ascii="Times New Roman" w:hAnsi="Times New Roman"/>
        </w:rPr>
        <w:t>c.</w:t>
      </w:r>
      <w:proofErr w:type="gramStart"/>
      <w:r>
        <w:rPr>
          <w:rFonts w:ascii="Times New Roman" w:hAnsi="Times New Roman"/>
        </w:rPr>
        <w:t>  Discuss</w:t>
      </w:r>
      <w:proofErr w:type="gramEnd"/>
      <w:r>
        <w:rPr>
          <w:rFonts w:ascii="Times New Roman" w:hAnsi="Times New Roman"/>
        </w:rPr>
        <w:t xml:space="preserve"> the relevance of outside morbidity data applied to support the company’s morbidity assumptions, along with how that data was adjusted to fit the company’s circumstance and how the fit was determined to be appropriate.  Explain how validation to historical company experience was performed.</w:t>
      </w:r>
    </w:p>
    <w:p w14:paraId="6724CB06" w14:textId="77777777" w:rsidR="009657C0" w:rsidRDefault="009657C0" w:rsidP="009657C0">
      <w:pPr>
        <w:spacing w:after="0"/>
        <w:rPr>
          <w:rFonts w:ascii="Times New Roman" w:hAnsi="Times New Roman"/>
        </w:rPr>
      </w:pPr>
    </w:p>
    <w:p w14:paraId="098DA456" w14:textId="37F4550C" w:rsidR="009657C0" w:rsidRDefault="009657C0" w:rsidP="009657C0">
      <w:pPr>
        <w:spacing w:after="0"/>
        <w:rPr>
          <w:rFonts w:ascii="Times New Roman" w:hAnsi="Times New Roman"/>
        </w:rPr>
      </w:pPr>
      <w:r>
        <w:rPr>
          <w:rFonts w:ascii="Times New Roman" w:hAnsi="Times New Roman"/>
        </w:rPr>
        <w:t xml:space="preserve">d. Discuss whether and how the morbidity assumptions were compared with industry-average morbidity rates, such as a Society of Actuaries’ study.  Is there a reason for company assumptions to be higher or lower than industry average experience, such as benefits provided, policy provisions, </w:t>
      </w:r>
      <w:r w:rsidR="002958E1">
        <w:rPr>
          <w:rFonts w:ascii="Times New Roman" w:hAnsi="Times New Roman"/>
        </w:rPr>
        <w:t xml:space="preserve">underwriting standards, </w:t>
      </w:r>
      <w:r>
        <w:rPr>
          <w:rFonts w:ascii="Times New Roman" w:hAnsi="Times New Roman"/>
        </w:rPr>
        <w:t>or claims practices?</w:t>
      </w:r>
    </w:p>
    <w:p w14:paraId="19E63416" w14:textId="77777777" w:rsidR="009657C0" w:rsidRDefault="009657C0" w:rsidP="009657C0">
      <w:pPr>
        <w:spacing w:after="0"/>
        <w:rPr>
          <w:rFonts w:ascii="Times New Roman" w:hAnsi="Times New Roman"/>
        </w:rPr>
      </w:pPr>
    </w:p>
    <w:p w14:paraId="2F68F65A" w14:textId="77777777" w:rsidR="009657C0" w:rsidRPr="00E12970" w:rsidRDefault="00C9137F" w:rsidP="009657C0">
      <w:pPr>
        <w:spacing w:after="0"/>
        <w:rPr>
          <w:rFonts w:ascii="Times New Roman" w:hAnsi="Times New Roman"/>
        </w:rPr>
      </w:pPr>
      <w:r>
        <w:rPr>
          <w:rFonts w:ascii="Times New Roman" w:hAnsi="Times New Roman"/>
        </w:rPr>
        <w:t>e</w:t>
      </w:r>
      <w:r w:rsidR="009657C0">
        <w:rPr>
          <w:rFonts w:ascii="Times New Roman" w:hAnsi="Times New Roman"/>
        </w:rPr>
        <w:t>.</w:t>
      </w:r>
      <w:proofErr w:type="gramStart"/>
      <w:r w:rsidR="009657C0">
        <w:rPr>
          <w:rFonts w:ascii="Times New Roman" w:hAnsi="Times New Roman"/>
        </w:rPr>
        <w:t>  Discuss</w:t>
      </w:r>
      <w:proofErr w:type="gramEnd"/>
      <w:r w:rsidR="009657C0">
        <w:rPr>
          <w:rFonts w:ascii="Times New Roman" w:hAnsi="Times New Roman"/>
        </w:rPr>
        <w:t xml:space="preserve"> how morbidity assumptions for attained ages 85 and over were set in light of potential gaps in </w:t>
      </w:r>
      <w:r w:rsidR="009657C0" w:rsidRPr="00E12970">
        <w:rPr>
          <w:rFonts w:ascii="Times New Roman" w:hAnsi="Times New Roman"/>
        </w:rPr>
        <w:t>availability, credibility, and relevance of supporting data.</w:t>
      </w:r>
    </w:p>
    <w:p w14:paraId="68BFA3AC" w14:textId="77777777" w:rsidR="009657C0" w:rsidRPr="00C92F41" w:rsidRDefault="009657C0" w:rsidP="009657C0">
      <w:pPr>
        <w:spacing w:after="0"/>
        <w:rPr>
          <w:rFonts w:ascii="Times New Roman" w:hAnsi="Times New Roman"/>
        </w:rPr>
      </w:pPr>
    </w:p>
    <w:p w14:paraId="1AF6FA8B" w14:textId="77777777" w:rsidR="009657C0" w:rsidRPr="00C92F41" w:rsidRDefault="00C9137F" w:rsidP="009657C0">
      <w:pPr>
        <w:spacing w:after="0"/>
        <w:rPr>
          <w:rFonts w:ascii="Times New Roman" w:hAnsi="Times New Roman"/>
        </w:rPr>
      </w:pPr>
      <w:r w:rsidRPr="00C92F41">
        <w:rPr>
          <w:rFonts w:ascii="Times New Roman" w:hAnsi="Times New Roman"/>
        </w:rPr>
        <w:t>f</w:t>
      </w:r>
      <w:r w:rsidR="009657C0" w:rsidRPr="00C92F41">
        <w:rPr>
          <w:rFonts w:ascii="Times New Roman" w:hAnsi="Times New Roman"/>
        </w:rPr>
        <w:t>.</w:t>
      </w:r>
      <w:proofErr w:type="gramStart"/>
      <w:r w:rsidR="009657C0" w:rsidRPr="00C92F41">
        <w:rPr>
          <w:rFonts w:ascii="Times New Roman" w:hAnsi="Times New Roman"/>
        </w:rPr>
        <w:t>  Discuss</w:t>
      </w:r>
      <w:proofErr w:type="gramEnd"/>
      <w:r w:rsidR="009657C0" w:rsidRPr="00C92F41">
        <w:rPr>
          <w:rFonts w:ascii="Times New Roman" w:hAnsi="Times New Roman"/>
        </w:rPr>
        <w:t xml:space="preserve"> whether the company expects changes in morbidity assumptions in upcoming years as older-age experience develops.  Describe how the company added margin to the morbidity assumption to address a potential increase in morbidity expectations.  Does any sensitivity testing of the impact of adverse developments in morbidity appropriately address the level of potential increase?</w:t>
      </w:r>
    </w:p>
    <w:p w14:paraId="0FF6600B" w14:textId="77777777" w:rsidR="009657C0" w:rsidRPr="00C92F41" w:rsidRDefault="009657C0" w:rsidP="009657C0">
      <w:pPr>
        <w:spacing w:after="0"/>
        <w:rPr>
          <w:rFonts w:ascii="Times New Roman" w:hAnsi="Times New Roman"/>
        </w:rPr>
      </w:pPr>
    </w:p>
    <w:p w14:paraId="79CF4CA6" w14:textId="04B542F5" w:rsidR="009657C0" w:rsidRPr="002D4070" w:rsidRDefault="00C9137F" w:rsidP="009657C0">
      <w:pPr>
        <w:spacing w:after="0"/>
        <w:rPr>
          <w:rFonts w:ascii="Times New Roman" w:hAnsi="Times New Roman"/>
        </w:rPr>
      </w:pPr>
      <w:r w:rsidRPr="00625C95">
        <w:rPr>
          <w:rFonts w:ascii="Times New Roman" w:hAnsi="Times New Roman"/>
        </w:rPr>
        <w:t>g</w:t>
      </w:r>
      <w:r w:rsidR="009657C0" w:rsidRPr="00625C95">
        <w:rPr>
          <w:rFonts w:ascii="Times New Roman" w:hAnsi="Times New Roman"/>
        </w:rPr>
        <w:t>.</w:t>
      </w:r>
      <w:proofErr w:type="gramStart"/>
      <w:r w:rsidR="009657C0" w:rsidRPr="00625C95">
        <w:rPr>
          <w:rFonts w:ascii="Times New Roman" w:hAnsi="Times New Roman"/>
        </w:rPr>
        <w:t>  Discuss</w:t>
      </w:r>
      <w:proofErr w:type="gramEnd"/>
      <w:r w:rsidR="009657C0" w:rsidRPr="00625C95">
        <w:rPr>
          <w:rFonts w:ascii="Times New Roman" w:hAnsi="Times New Roman"/>
        </w:rPr>
        <w:t xml:space="preserve"> assumed morbidity improvement (if applicable) and the basis for that assumption.  Is the assumption s</w:t>
      </w:r>
      <w:r w:rsidR="002958E1">
        <w:rPr>
          <w:rFonts w:ascii="Times New Roman" w:hAnsi="Times New Roman"/>
        </w:rPr>
        <w:t>upported by company experience?</w:t>
      </w:r>
    </w:p>
    <w:p w14:paraId="03D4D040" w14:textId="1645D303" w:rsidR="00187371" w:rsidRPr="002D4070" w:rsidRDefault="00187371" w:rsidP="009657C0">
      <w:pPr>
        <w:spacing w:after="0"/>
        <w:rPr>
          <w:rFonts w:ascii="Times New Roman" w:hAnsi="Times New Roman"/>
        </w:rPr>
      </w:pPr>
    </w:p>
    <w:p w14:paraId="0FBCD091" w14:textId="504D9BE4" w:rsidR="00187371" w:rsidRPr="002D4070" w:rsidRDefault="00187371" w:rsidP="009657C0">
      <w:pPr>
        <w:spacing w:after="0"/>
        <w:rPr>
          <w:rFonts w:ascii="Times New Roman" w:hAnsi="Times New Roman"/>
        </w:rPr>
      </w:pPr>
      <w:proofErr w:type="gramStart"/>
      <w:r w:rsidRPr="002D4070">
        <w:rPr>
          <w:rFonts w:ascii="Times New Roman" w:hAnsi="Times New Roman"/>
        </w:rPr>
        <w:lastRenderedPageBreak/>
        <w:t xml:space="preserve">h.  </w:t>
      </w:r>
      <w:r w:rsidR="00210A18" w:rsidRPr="002D4070">
        <w:rPr>
          <w:rFonts w:ascii="Times New Roman" w:hAnsi="Times New Roman"/>
        </w:rPr>
        <w:t>Where</w:t>
      </w:r>
      <w:proofErr w:type="gramEnd"/>
      <w:r w:rsidR="00210A18" w:rsidRPr="002D4070">
        <w:rPr>
          <w:rFonts w:ascii="Times New Roman" w:hAnsi="Times New Roman"/>
        </w:rPr>
        <w:t xml:space="preserve"> applicable, provide an overview of</w:t>
      </w:r>
      <w:r w:rsidRPr="002D4070">
        <w:rPr>
          <w:rFonts w:ascii="Times New Roman" w:hAnsi="Times New Roman"/>
        </w:rPr>
        <w:t xml:space="preserve"> changes in morbidity assump</w:t>
      </w:r>
      <w:r w:rsidR="00210A18" w:rsidRPr="002D4070">
        <w:rPr>
          <w:rFonts w:ascii="Times New Roman" w:hAnsi="Times New Roman"/>
        </w:rPr>
        <w:t>tions from those used in the previous AG 51 filing</w:t>
      </w:r>
      <w:r w:rsidRPr="002D4070">
        <w:rPr>
          <w:rFonts w:ascii="Times New Roman" w:hAnsi="Times New Roman"/>
        </w:rPr>
        <w:t xml:space="preserve">, including the basis for </w:t>
      </w:r>
      <w:r w:rsidR="00210A18" w:rsidRPr="002D4070">
        <w:rPr>
          <w:rFonts w:ascii="Times New Roman" w:hAnsi="Times New Roman"/>
        </w:rPr>
        <w:t>any</w:t>
      </w:r>
      <w:r w:rsidRPr="002D4070">
        <w:rPr>
          <w:rFonts w:ascii="Times New Roman" w:hAnsi="Times New Roman"/>
        </w:rPr>
        <w:t xml:space="preserve"> changes.</w:t>
      </w:r>
    </w:p>
    <w:p w14:paraId="20BC8786" w14:textId="77777777" w:rsidR="00F3759A" w:rsidRPr="002D4070" w:rsidRDefault="00F3759A" w:rsidP="009657C0">
      <w:pPr>
        <w:spacing w:after="0"/>
        <w:rPr>
          <w:rFonts w:ascii="Times New Roman" w:hAnsi="Times New Roman"/>
        </w:rPr>
      </w:pPr>
    </w:p>
    <w:p w14:paraId="7BA7E609" w14:textId="50F3D80A" w:rsidR="004D0926" w:rsidRPr="00C92F41" w:rsidRDefault="00187371" w:rsidP="004D0926">
      <w:pPr>
        <w:spacing w:after="0"/>
        <w:rPr>
          <w:rFonts w:ascii="Times New Roman" w:hAnsi="Times New Roman"/>
        </w:rPr>
      </w:pPr>
      <w:proofErr w:type="gramStart"/>
      <w:r w:rsidRPr="00C92F41">
        <w:rPr>
          <w:rFonts w:ascii="Times New Roman" w:hAnsi="Times New Roman"/>
        </w:rPr>
        <w:t>i</w:t>
      </w:r>
      <w:r w:rsidR="009657C0" w:rsidRPr="00C92F41">
        <w:rPr>
          <w:rFonts w:ascii="Times New Roman" w:hAnsi="Times New Roman"/>
        </w:rPr>
        <w:t xml:space="preserve">.  </w:t>
      </w:r>
      <w:r w:rsidR="004D0926" w:rsidRPr="00C92F41">
        <w:rPr>
          <w:rFonts w:ascii="Times New Roman" w:hAnsi="Times New Roman"/>
        </w:rPr>
        <w:t>To</w:t>
      </w:r>
      <w:proofErr w:type="gramEnd"/>
      <w:r w:rsidR="004D0926" w:rsidRPr="00C92F41">
        <w:rPr>
          <w:rFonts w:ascii="Times New Roman" w:hAnsi="Times New Roman"/>
        </w:rPr>
        <w:t xml:space="preserve"> help in understanding the morbidity assumption, calculate the pr</w:t>
      </w:r>
      <w:r w:rsidR="006604B3" w:rsidRPr="00C92F41">
        <w:rPr>
          <w:rFonts w:ascii="Times New Roman" w:hAnsi="Times New Roman"/>
        </w:rPr>
        <w:t>esent value of future benefits</w:t>
      </w:r>
      <w:r w:rsidR="004D0926" w:rsidRPr="00C92F41">
        <w:rPr>
          <w:rFonts w:ascii="Times New Roman" w:hAnsi="Times New Roman"/>
        </w:rPr>
        <w:t xml:space="preserve"> </w:t>
      </w:r>
      <w:r w:rsidR="00210A18" w:rsidRPr="00C92F41">
        <w:rPr>
          <w:rFonts w:ascii="Times New Roman" w:hAnsi="Times New Roman"/>
          <w:u w:val="single"/>
        </w:rPr>
        <w:t xml:space="preserve">as of policy duration 10 </w:t>
      </w:r>
      <w:r w:rsidR="004D0926" w:rsidRPr="00C92F41">
        <w:rPr>
          <w:rFonts w:ascii="Times New Roman" w:hAnsi="Times New Roman"/>
        </w:rPr>
        <w:t xml:space="preserve">of the following </w:t>
      </w:r>
      <w:r w:rsidR="006604B3" w:rsidRPr="00C92F41">
        <w:rPr>
          <w:rFonts w:ascii="Times New Roman" w:hAnsi="Times New Roman"/>
        </w:rPr>
        <w:t>set of policies, each with $150 initial daily benefits</w:t>
      </w:r>
      <w:r w:rsidR="00210A18" w:rsidRPr="00C92F41">
        <w:rPr>
          <w:rFonts w:ascii="Times New Roman" w:hAnsi="Times New Roman"/>
        </w:rPr>
        <w:t>, 2 ADL or severe cognitive impairment trigger, and 85- to 105-day elimination period</w:t>
      </w:r>
      <w:r w:rsidR="004D0926" w:rsidRPr="00C92F41">
        <w:rPr>
          <w:rFonts w:ascii="Times New Roman" w:hAnsi="Times New Roman"/>
        </w:rPr>
        <w:t>:</w:t>
      </w:r>
    </w:p>
    <w:p w14:paraId="7330D69C" w14:textId="77777777" w:rsidR="004D0926" w:rsidRPr="00C92F41" w:rsidRDefault="006604B3" w:rsidP="004D0926">
      <w:pPr>
        <w:spacing w:after="0"/>
        <w:ind w:left="720"/>
        <w:rPr>
          <w:rFonts w:ascii="Times New Roman" w:hAnsi="Times New Roman"/>
        </w:rPr>
      </w:pPr>
      <w:r w:rsidRPr="00C92F41">
        <w:rPr>
          <w:rFonts w:ascii="Times New Roman" w:hAnsi="Times New Roman"/>
        </w:rPr>
        <w:t>i.</w:t>
      </w:r>
      <w:r w:rsidR="004D0926" w:rsidRPr="00C92F41">
        <w:rPr>
          <w:rFonts w:ascii="Times New Roman" w:hAnsi="Times New Roman"/>
        </w:rPr>
        <w:t xml:space="preserve"> </w:t>
      </w:r>
      <w:r w:rsidRPr="00C92F41">
        <w:rPr>
          <w:rFonts w:ascii="Times New Roman" w:hAnsi="Times New Roman"/>
        </w:rPr>
        <w:tab/>
      </w:r>
      <w:r w:rsidR="004D0926" w:rsidRPr="00C92F41">
        <w:rPr>
          <w:rFonts w:ascii="Times New Roman" w:hAnsi="Times New Roman"/>
        </w:rPr>
        <w:t>Female, issue age 55</w:t>
      </w:r>
      <w:r w:rsidRPr="00C92F41">
        <w:rPr>
          <w:rFonts w:ascii="Times New Roman" w:hAnsi="Times New Roman"/>
        </w:rPr>
        <w:t>, lifetime benefits, 5% compound inflation</w:t>
      </w:r>
    </w:p>
    <w:p w14:paraId="33A61BE1" w14:textId="77777777" w:rsidR="006604B3" w:rsidRPr="00C92F41" w:rsidRDefault="006604B3" w:rsidP="006604B3">
      <w:pPr>
        <w:spacing w:after="0"/>
        <w:ind w:left="720"/>
        <w:rPr>
          <w:rFonts w:ascii="Times New Roman" w:hAnsi="Times New Roman"/>
        </w:rPr>
      </w:pPr>
      <w:r w:rsidRPr="00C92F41">
        <w:rPr>
          <w:rFonts w:ascii="Times New Roman" w:hAnsi="Times New Roman"/>
        </w:rPr>
        <w:t>ii.</w:t>
      </w:r>
      <w:r w:rsidRPr="00C92F41">
        <w:rPr>
          <w:rFonts w:ascii="Times New Roman" w:hAnsi="Times New Roman"/>
        </w:rPr>
        <w:tab/>
        <w:t>Female, issue age 70, lifetime benefits, 5% compound inflation</w:t>
      </w:r>
    </w:p>
    <w:p w14:paraId="06884E4C" w14:textId="77777777" w:rsidR="006604B3" w:rsidRPr="00C92F41" w:rsidRDefault="006604B3" w:rsidP="006604B3">
      <w:pPr>
        <w:spacing w:after="0"/>
        <w:ind w:left="720"/>
        <w:rPr>
          <w:rFonts w:ascii="Times New Roman" w:hAnsi="Times New Roman"/>
        </w:rPr>
      </w:pPr>
      <w:r w:rsidRPr="00C92F41">
        <w:rPr>
          <w:rFonts w:ascii="Times New Roman" w:hAnsi="Times New Roman"/>
        </w:rPr>
        <w:t>iii.</w:t>
      </w:r>
      <w:r w:rsidRPr="00C92F41">
        <w:rPr>
          <w:rFonts w:ascii="Times New Roman" w:hAnsi="Times New Roman"/>
        </w:rPr>
        <w:tab/>
        <w:t>Female, issue age 55, lifetime benefits, no inflation</w:t>
      </w:r>
    </w:p>
    <w:p w14:paraId="36307EFE" w14:textId="77777777" w:rsidR="006604B3" w:rsidRPr="00C92F41" w:rsidRDefault="006604B3" w:rsidP="006604B3">
      <w:pPr>
        <w:spacing w:after="0"/>
        <w:ind w:left="720"/>
        <w:rPr>
          <w:rFonts w:ascii="Times New Roman" w:hAnsi="Times New Roman"/>
        </w:rPr>
      </w:pPr>
      <w:r w:rsidRPr="00C92F41">
        <w:rPr>
          <w:rFonts w:ascii="Times New Roman" w:hAnsi="Times New Roman"/>
        </w:rPr>
        <w:t>iv.</w:t>
      </w:r>
      <w:r w:rsidRPr="00C92F41">
        <w:rPr>
          <w:rFonts w:ascii="Times New Roman" w:hAnsi="Times New Roman"/>
        </w:rPr>
        <w:tab/>
        <w:t>Female, issue age 70, lifetime benefits, no inflation</w:t>
      </w:r>
    </w:p>
    <w:p w14:paraId="7D84B7C0" w14:textId="77777777" w:rsidR="006604B3" w:rsidRPr="00C92F41" w:rsidRDefault="006604B3" w:rsidP="006604B3">
      <w:pPr>
        <w:spacing w:after="0"/>
        <w:ind w:left="720"/>
        <w:rPr>
          <w:rFonts w:ascii="Times New Roman" w:hAnsi="Times New Roman"/>
        </w:rPr>
      </w:pPr>
      <w:r w:rsidRPr="00C92F41">
        <w:rPr>
          <w:rFonts w:ascii="Times New Roman" w:hAnsi="Times New Roman"/>
        </w:rPr>
        <w:t>v.</w:t>
      </w:r>
      <w:r w:rsidRPr="00C92F41">
        <w:rPr>
          <w:rFonts w:ascii="Times New Roman" w:hAnsi="Times New Roman"/>
        </w:rPr>
        <w:tab/>
        <w:t>Female, issue age 55, 3-year benefits, 5% compound inflation</w:t>
      </w:r>
    </w:p>
    <w:p w14:paraId="678A4D03" w14:textId="77777777" w:rsidR="006604B3" w:rsidRPr="00C92F41" w:rsidRDefault="006604B3" w:rsidP="006604B3">
      <w:pPr>
        <w:spacing w:after="0"/>
        <w:ind w:left="720"/>
        <w:rPr>
          <w:rFonts w:ascii="Times New Roman" w:hAnsi="Times New Roman"/>
        </w:rPr>
      </w:pPr>
      <w:r w:rsidRPr="00C92F41">
        <w:rPr>
          <w:rFonts w:ascii="Times New Roman" w:hAnsi="Times New Roman"/>
        </w:rPr>
        <w:t>vi.</w:t>
      </w:r>
      <w:r w:rsidRPr="00C92F41">
        <w:rPr>
          <w:rFonts w:ascii="Times New Roman" w:hAnsi="Times New Roman"/>
        </w:rPr>
        <w:tab/>
        <w:t>Female, issue age 70, 3-year benefits, 5% compound inflation</w:t>
      </w:r>
    </w:p>
    <w:p w14:paraId="3FB96D7E" w14:textId="77777777" w:rsidR="006604B3" w:rsidRPr="00C92F41" w:rsidRDefault="006604B3" w:rsidP="006604B3">
      <w:pPr>
        <w:spacing w:after="0"/>
        <w:ind w:left="720"/>
        <w:rPr>
          <w:rFonts w:ascii="Times New Roman" w:hAnsi="Times New Roman"/>
        </w:rPr>
      </w:pPr>
      <w:r w:rsidRPr="00C92F41">
        <w:rPr>
          <w:rFonts w:ascii="Times New Roman" w:hAnsi="Times New Roman"/>
        </w:rPr>
        <w:t>vii.</w:t>
      </w:r>
      <w:r w:rsidRPr="00C92F41">
        <w:rPr>
          <w:rFonts w:ascii="Times New Roman" w:hAnsi="Times New Roman"/>
        </w:rPr>
        <w:tab/>
        <w:t>Female, issue age 55, 3-year benefits, no inflation</w:t>
      </w:r>
    </w:p>
    <w:p w14:paraId="47AA48D9" w14:textId="77777777" w:rsidR="006604B3" w:rsidRPr="00C92F41" w:rsidRDefault="006604B3" w:rsidP="006604B3">
      <w:pPr>
        <w:spacing w:after="0"/>
        <w:ind w:left="720"/>
        <w:rPr>
          <w:rFonts w:ascii="Times New Roman" w:hAnsi="Times New Roman"/>
        </w:rPr>
      </w:pPr>
      <w:r w:rsidRPr="00C92F41">
        <w:rPr>
          <w:rFonts w:ascii="Times New Roman" w:hAnsi="Times New Roman"/>
        </w:rPr>
        <w:t>viii.</w:t>
      </w:r>
      <w:r w:rsidRPr="00C92F41">
        <w:rPr>
          <w:rFonts w:ascii="Times New Roman" w:hAnsi="Times New Roman"/>
        </w:rPr>
        <w:tab/>
        <w:t>Female, issue age 70, 3-year benefits, no inflation</w:t>
      </w:r>
    </w:p>
    <w:p w14:paraId="6AB99102" w14:textId="74442AB6" w:rsidR="006604B3" w:rsidRPr="00E12970" w:rsidRDefault="006604B3" w:rsidP="006604B3">
      <w:pPr>
        <w:spacing w:after="0"/>
        <w:ind w:left="720"/>
        <w:rPr>
          <w:rFonts w:ascii="Times New Roman" w:hAnsi="Times New Roman"/>
        </w:rPr>
      </w:pPr>
    </w:p>
    <w:p w14:paraId="6BFCF44F" w14:textId="77777777" w:rsidR="004D0926" w:rsidRPr="00E12970" w:rsidRDefault="006604B3" w:rsidP="009C68FF">
      <w:pPr>
        <w:spacing w:after="0"/>
        <w:ind w:left="270"/>
        <w:rPr>
          <w:rFonts w:ascii="Times New Roman" w:hAnsi="Times New Roman"/>
        </w:rPr>
      </w:pPr>
      <w:r w:rsidRPr="00E12970">
        <w:rPr>
          <w:rFonts w:ascii="Times New Roman" w:hAnsi="Times New Roman"/>
        </w:rPr>
        <w:t>For each calculation, use</w:t>
      </w:r>
      <w:r w:rsidR="004D0926" w:rsidRPr="00E12970">
        <w:rPr>
          <w:rFonts w:ascii="Times New Roman" w:hAnsi="Times New Roman"/>
        </w:rPr>
        <w:t xml:space="preserve"> </w:t>
      </w:r>
      <w:r w:rsidR="008B34C4" w:rsidRPr="00E12970">
        <w:rPr>
          <w:rFonts w:ascii="Times New Roman" w:hAnsi="Times New Roman"/>
        </w:rPr>
        <w:t xml:space="preserve">the following </w:t>
      </w:r>
      <w:r w:rsidR="004D0926" w:rsidRPr="00E12970">
        <w:rPr>
          <w:rFonts w:ascii="Times New Roman" w:hAnsi="Times New Roman"/>
        </w:rPr>
        <w:t>pricing assumptions</w:t>
      </w:r>
      <w:r w:rsidR="008B34C4" w:rsidRPr="00E12970">
        <w:rPr>
          <w:rFonts w:ascii="Times New Roman" w:hAnsi="Times New Roman"/>
        </w:rPr>
        <w:t xml:space="preserve"> for the following factors</w:t>
      </w:r>
      <w:r w:rsidR="004D0926" w:rsidRPr="00E12970">
        <w:rPr>
          <w:rFonts w:ascii="Times New Roman" w:hAnsi="Times New Roman"/>
        </w:rPr>
        <w:t>:</w:t>
      </w:r>
    </w:p>
    <w:p w14:paraId="1562DC94" w14:textId="35B3DC90" w:rsidR="00E12970" w:rsidRPr="00E12970" w:rsidRDefault="004D0926" w:rsidP="00C92F41">
      <w:pPr>
        <w:spacing w:after="0"/>
        <w:ind w:left="990"/>
        <w:rPr>
          <w:rFonts w:ascii="Times New Roman" w:hAnsi="Times New Roman"/>
        </w:rPr>
      </w:pPr>
      <w:r w:rsidRPr="00E12970">
        <w:rPr>
          <w:rFonts w:ascii="Times New Roman" w:hAnsi="Times New Roman"/>
        </w:rPr>
        <w:t xml:space="preserve">- </w:t>
      </w:r>
      <w:r w:rsidR="00210A18" w:rsidRPr="00E12970">
        <w:rPr>
          <w:rFonts w:ascii="Times New Roman" w:hAnsi="Times New Roman"/>
        </w:rPr>
        <w:t xml:space="preserve">Ultimate, annual voluntary </w:t>
      </w:r>
      <w:r w:rsidR="008B34C4" w:rsidRPr="00E12970">
        <w:rPr>
          <w:rFonts w:ascii="Times New Roman" w:hAnsi="Times New Roman"/>
        </w:rPr>
        <w:t>l</w:t>
      </w:r>
      <w:r w:rsidRPr="00E12970">
        <w:rPr>
          <w:rFonts w:ascii="Times New Roman" w:hAnsi="Times New Roman"/>
        </w:rPr>
        <w:t xml:space="preserve">apse </w:t>
      </w:r>
      <w:r w:rsidR="00210A18" w:rsidRPr="00E12970">
        <w:rPr>
          <w:rFonts w:ascii="Times New Roman" w:hAnsi="Times New Roman"/>
        </w:rPr>
        <w:t xml:space="preserve">of </w:t>
      </w:r>
      <w:r w:rsidRPr="00E12970">
        <w:rPr>
          <w:rFonts w:ascii="Times New Roman" w:hAnsi="Times New Roman"/>
        </w:rPr>
        <w:t xml:space="preserve">0.5% </w:t>
      </w:r>
    </w:p>
    <w:p w14:paraId="12CA6BD0" w14:textId="5621C916" w:rsidR="00E12970" w:rsidRDefault="004D0926" w:rsidP="00C92F41">
      <w:pPr>
        <w:spacing w:after="0"/>
        <w:ind w:left="990"/>
        <w:rPr>
          <w:rFonts w:ascii="Times New Roman" w:hAnsi="Times New Roman"/>
        </w:rPr>
      </w:pPr>
      <w:r w:rsidRPr="00E12970">
        <w:rPr>
          <w:rFonts w:ascii="Times New Roman" w:hAnsi="Times New Roman"/>
        </w:rPr>
        <w:t>- 2012 IAR mortality</w:t>
      </w:r>
      <w:r w:rsidR="00210A18" w:rsidRPr="00E12970">
        <w:rPr>
          <w:rFonts w:ascii="Times New Roman" w:hAnsi="Times New Roman"/>
        </w:rPr>
        <w:t xml:space="preserve"> applied to active lives</w:t>
      </w:r>
      <w:r w:rsidR="00B20591">
        <w:rPr>
          <w:rFonts w:ascii="Times New Roman" w:hAnsi="Times New Roman"/>
        </w:rPr>
        <w:t xml:space="preserve"> </w:t>
      </w:r>
      <w:r w:rsidR="00B20591" w:rsidRPr="00E307DE">
        <w:rPr>
          <w:rFonts w:ascii="Times New Roman" w:hAnsi="Times New Roman"/>
          <w:b/>
        </w:rPr>
        <w:t>[CLARIFICATION</w:t>
      </w:r>
      <w:r w:rsidR="00EA565E" w:rsidRPr="00E307DE">
        <w:rPr>
          <w:rFonts w:ascii="Times New Roman" w:hAnsi="Times New Roman"/>
          <w:b/>
        </w:rPr>
        <w:t xml:space="preserve"> 1/9/2019 – SEE APPENDIX 1]</w:t>
      </w:r>
    </w:p>
    <w:p w14:paraId="0E95FED7" w14:textId="28A691B3" w:rsidR="00E12970" w:rsidRDefault="004D0926" w:rsidP="00C92F41">
      <w:pPr>
        <w:spacing w:after="0"/>
        <w:ind w:left="990"/>
        <w:rPr>
          <w:rFonts w:ascii="Times New Roman" w:hAnsi="Times New Roman"/>
        </w:rPr>
      </w:pPr>
      <w:r w:rsidRPr="00E12970">
        <w:rPr>
          <w:rFonts w:ascii="Times New Roman" w:hAnsi="Times New Roman"/>
        </w:rPr>
        <w:t>- 4% discount rate</w:t>
      </w:r>
    </w:p>
    <w:p w14:paraId="3B8428E2" w14:textId="6A068418" w:rsidR="00E12970" w:rsidRPr="00E12970" w:rsidRDefault="0030325D" w:rsidP="00C92F41">
      <w:pPr>
        <w:spacing w:after="0"/>
        <w:ind w:left="990"/>
        <w:rPr>
          <w:rFonts w:ascii="Times New Roman" w:hAnsi="Times New Roman"/>
        </w:rPr>
      </w:pPr>
      <w:r w:rsidRPr="00E12970">
        <w:rPr>
          <w:rFonts w:ascii="Times New Roman" w:hAnsi="Times New Roman"/>
        </w:rPr>
        <w:t xml:space="preserve">- Assume the </w:t>
      </w:r>
      <w:r w:rsidR="00210A18" w:rsidRPr="00E12970">
        <w:rPr>
          <w:rFonts w:ascii="Times New Roman" w:hAnsi="Times New Roman"/>
        </w:rPr>
        <w:t xml:space="preserve">most preferred </w:t>
      </w:r>
      <w:r w:rsidRPr="00E12970">
        <w:rPr>
          <w:rFonts w:ascii="Times New Roman" w:hAnsi="Times New Roman"/>
        </w:rPr>
        <w:t xml:space="preserve">underwriting classification </w:t>
      </w:r>
      <w:r w:rsidR="00210A18" w:rsidRPr="00E12970">
        <w:rPr>
          <w:rFonts w:ascii="Times New Roman" w:hAnsi="Times New Roman"/>
        </w:rPr>
        <w:t xml:space="preserve">that contains </w:t>
      </w:r>
      <w:r w:rsidRPr="00E12970">
        <w:rPr>
          <w:rFonts w:ascii="Times New Roman" w:hAnsi="Times New Roman"/>
        </w:rPr>
        <w:t>at least 30% of the lives</w:t>
      </w:r>
    </w:p>
    <w:p w14:paraId="3AB50CE9" w14:textId="6C70E3EB" w:rsidR="0030325D" w:rsidRPr="00E12970" w:rsidRDefault="0030325D" w:rsidP="00C92F41">
      <w:pPr>
        <w:spacing w:after="0"/>
        <w:ind w:left="990"/>
        <w:rPr>
          <w:rFonts w:ascii="Times New Roman" w:hAnsi="Times New Roman"/>
        </w:rPr>
      </w:pPr>
      <w:r w:rsidRPr="00E12970">
        <w:rPr>
          <w:rFonts w:ascii="Times New Roman" w:hAnsi="Times New Roman"/>
        </w:rPr>
        <w:t>- Assume</w:t>
      </w:r>
      <w:r w:rsidR="00E12970" w:rsidRPr="00E12970">
        <w:rPr>
          <w:rFonts w:ascii="Times New Roman" w:hAnsi="Times New Roman"/>
        </w:rPr>
        <w:t xml:space="preserve"> a </w:t>
      </w:r>
      <w:r w:rsidR="00790E9E" w:rsidRPr="00E12970">
        <w:rPr>
          <w:rFonts w:ascii="Times New Roman" w:hAnsi="Times New Roman"/>
        </w:rPr>
        <w:t>single female with no partner</w:t>
      </w:r>
      <w:r w:rsidR="00E12970">
        <w:rPr>
          <w:rFonts w:ascii="Times New Roman" w:hAnsi="Times New Roman"/>
        </w:rPr>
        <w:t xml:space="preserve"> </w:t>
      </w:r>
      <w:r w:rsidR="00790E9E" w:rsidRPr="00E12970">
        <w:rPr>
          <w:rFonts w:ascii="Times New Roman" w:hAnsi="Times New Roman"/>
        </w:rPr>
        <w:t>discount</w:t>
      </w:r>
      <w:r w:rsidR="00E12970" w:rsidRPr="00E12970">
        <w:rPr>
          <w:rFonts w:ascii="Times New Roman" w:hAnsi="Times New Roman"/>
        </w:rPr>
        <w:t>.</w:t>
      </w:r>
    </w:p>
    <w:p w14:paraId="60ED4BE9" w14:textId="41FF0A9B" w:rsidR="00187371" w:rsidRPr="00E12970" w:rsidRDefault="008B34C4" w:rsidP="00C92F41">
      <w:pPr>
        <w:spacing w:after="0"/>
        <w:ind w:left="270"/>
        <w:rPr>
          <w:rFonts w:ascii="Times New Roman" w:hAnsi="Times New Roman" w:cs="Times New Roman"/>
        </w:rPr>
      </w:pPr>
      <w:r w:rsidRPr="00E12970">
        <w:rPr>
          <w:rFonts w:ascii="Times New Roman" w:hAnsi="Times New Roman"/>
        </w:rPr>
        <w:t>Us</w:t>
      </w:r>
      <w:r w:rsidR="006604B3" w:rsidRPr="00E12970">
        <w:rPr>
          <w:rFonts w:ascii="Times New Roman" w:hAnsi="Times New Roman"/>
        </w:rPr>
        <w:t>e</w:t>
      </w:r>
      <w:r w:rsidRPr="00E12970">
        <w:rPr>
          <w:rFonts w:ascii="Times New Roman" w:hAnsi="Times New Roman"/>
        </w:rPr>
        <w:t xml:space="preserve"> the company’s</w:t>
      </w:r>
      <w:r w:rsidR="00257914" w:rsidRPr="00E12970">
        <w:rPr>
          <w:rFonts w:ascii="Times New Roman" w:hAnsi="Times New Roman"/>
        </w:rPr>
        <w:t xml:space="preserve"> assumptions on claims’ incidence, length of claim, benefit utilization, and any other morbidity-related aspect</w:t>
      </w:r>
      <w:r w:rsidR="00E12970" w:rsidRPr="00E12970">
        <w:rPr>
          <w:rFonts w:ascii="Times New Roman" w:hAnsi="Times New Roman"/>
        </w:rPr>
        <w:t>.</w:t>
      </w:r>
    </w:p>
    <w:p w14:paraId="17B561E0" w14:textId="61E4BD71" w:rsidR="00790E9E" w:rsidRDefault="00790E9E" w:rsidP="009657C0">
      <w:pPr>
        <w:spacing w:after="0"/>
        <w:rPr>
          <w:rFonts w:ascii="Times New Roman" w:hAnsi="Times New Roman" w:cs="Times New Roman"/>
          <w:b/>
        </w:rPr>
      </w:pPr>
    </w:p>
    <w:p w14:paraId="6C4489CA" w14:textId="2F66D991" w:rsidR="009657C0" w:rsidRDefault="009657C0" w:rsidP="009657C0">
      <w:pPr>
        <w:spacing w:after="0"/>
        <w:rPr>
          <w:rFonts w:ascii="Times New Roman" w:hAnsi="Times New Roman" w:cs="Times New Roman"/>
        </w:rPr>
      </w:pPr>
      <w:r>
        <w:rPr>
          <w:rFonts w:ascii="Times New Roman" w:hAnsi="Times New Roman" w:cs="Times New Roman"/>
          <w:b/>
        </w:rPr>
        <w:t>III</w:t>
      </w:r>
      <w:proofErr w:type="gramStart"/>
      <w:r>
        <w:rPr>
          <w:rFonts w:ascii="Times New Roman" w:hAnsi="Times New Roman" w:cs="Times New Roman"/>
          <w:b/>
        </w:rPr>
        <w:t>.  Reinsurance</w:t>
      </w:r>
      <w:proofErr w:type="gramEnd"/>
      <w:r>
        <w:rPr>
          <w:rFonts w:ascii="Times New Roman" w:hAnsi="Times New Roman" w:cs="Times New Roman"/>
          <w:b/>
        </w:rPr>
        <w:t xml:space="preserve"> treaty information</w:t>
      </w:r>
    </w:p>
    <w:p w14:paraId="1C66F66F" w14:textId="77777777" w:rsidR="009657C0" w:rsidRDefault="009657C0" w:rsidP="009657C0">
      <w:pPr>
        <w:spacing w:after="0"/>
        <w:rPr>
          <w:rFonts w:ascii="Times New Roman" w:hAnsi="Times New Roman"/>
        </w:rPr>
      </w:pPr>
    </w:p>
    <w:p w14:paraId="3508B11B" w14:textId="77777777" w:rsidR="00770052" w:rsidRDefault="00F3759A" w:rsidP="00770052">
      <w:pPr>
        <w:spacing w:after="0"/>
        <w:rPr>
          <w:rFonts w:ascii="Times New Roman" w:hAnsi="Times New Roman"/>
        </w:rPr>
      </w:pPr>
      <w:proofErr w:type="gramStart"/>
      <w:r>
        <w:rPr>
          <w:rFonts w:ascii="Times New Roman" w:hAnsi="Times New Roman"/>
        </w:rPr>
        <w:t>a.  Provide</w:t>
      </w:r>
      <w:proofErr w:type="gramEnd"/>
      <w:r>
        <w:rPr>
          <w:rFonts w:ascii="Times New Roman" w:hAnsi="Times New Roman"/>
        </w:rPr>
        <w:t xml:space="preserve"> information on any new LTC-related reinsurance transactions or significant changes to existing LTC-related treati</w:t>
      </w:r>
      <w:r w:rsidR="00F02609">
        <w:rPr>
          <w:rFonts w:ascii="Times New Roman" w:hAnsi="Times New Roman"/>
        </w:rPr>
        <w:t>e</w:t>
      </w:r>
      <w:r>
        <w:rPr>
          <w:rFonts w:ascii="Times New Roman" w:hAnsi="Times New Roman"/>
        </w:rPr>
        <w:t>s that occurred in 2018.</w:t>
      </w:r>
    </w:p>
    <w:p w14:paraId="297F15CD" w14:textId="77777777" w:rsidR="00AA0E69" w:rsidRDefault="00AA0E69" w:rsidP="00F3759A">
      <w:pPr>
        <w:spacing w:after="0"/>
        <w:rPr>
          <w:rFonts w:ascii="Times New Roman" w:hAnsi="Times New Roman"/>
          <w:b/>
        </w:rPr>
      </w:pPr>
    </w:p>
    <w:p w14:paraId="0B742DC5" w14:textId="77777777" w:rsidR="00F3759A" w:rsidRPr="00C9137F" w:rsidRDefault="00F3759A" w:rsidP="00F3759A">
      <w:pPr>
        <w:spacing w:after="0"/>
        <w:rPr>
          <w:rFonts w:ascii="Times New Roman" w:hAnsi="Times New Roman"/>
          <w:b/>
        </w:rPr>
      </w:pPr>
      <w:r w:rsidRPr="00C9137F">
        <w:rPr>
          <w:rFonts w:ascii="Times New Roman" w:hAnsi="Times New Roman"/>
          <w:b/>
        </w:rPr>
        <w:t>IV</w:t>
      </w:r>
      <w:proofErr w:type="gramStart"/>
      <w:r w:rsidRPr="00C9137F">
        <w:rPr>
          <w:rFonts w:ascii="Times New Roman" w:hAnsi="Times New Roman"/>
          <w:b/>
        </w:rPr>
        <w:t>.  Sensitivity</w:t>
      </w:r>
      <w:proofErr w:type="gramEnd"/>
      <w:r w:rsidRPr="00C9137F">
        <w:rPr>
          <w:rFonts w:ascii="Times New Roman" w:hAnsi="Times New Roman"/>
          <w:b/>
        </w:rPr>
        <w:t xml:space="preserve"> Tests</w:t>
      </w:r>
    </w:p>
    <w:p w14:paraId="030C9F4F" w14:textId="77777777" w:rsidR="00C9137F" w:rsidRDefault="00C9137F" w:rsidP="00F3759A">
      <w:pPr>
        <w:spacing w:after="0"/>
        <w:rPr>
          <w:rFonts w:ascii="Times New Roman" w:hAnsi="Times New Roman"/>
        </w:rPr>
      </w:pPr>
    </w:p>
    <w:p w14:paraId="16484AC8" w14:textId="77777777" w:rsidR="003F0765" w:rsidRDefault="009712BD" w:rsidP="00F3759A">
      <w:pPr>
        <w:spacing w:after="0"/>
        <w:rPr>
          <w:rFonts w:ascii="Times New Roman" w:hAnsi="Times New Roman"/>
        </w:rPr>
      </w:pPr>
      <w:r w:rsidRPr="00E119EB">
        <w:rPr>
          <w:rFonts w:ascii="Times New Roman" w:hAnsi="Times New Roman"/>
        </w:rPr>
        <w:t>If the company performed cash-flow testing, provide the present value of ending surplus in a level interest-rate scenario using baseline assumptions.</w:t>
      </w:r>
      <w:r w:rsidR="00A37880" w:rsidRPr="00E119EB">
        <w:rPr>
          <w:rFonts w:ascii="Times New Roman" w:hAnsi="Times New Roman"/>
        </w:rPr>
        <w:t xml:space="preserve">  If the company performed a gross premium valuation, provide the resulting value using baseline assumptions.  </w:t>
      </w:r>
      <w:r w:rsidRPr="00E119EB">
        <w:rPr>
          <w:rFonts w:ascii="Times New Roman" w:hAnsi="Times New Roman"/>
        </w:rPr>
        <w:t>Also, provide the same value</w:t>
      </w:r>
      <w:r w:rsidR="00A37880" w:rsidRPr="00E119EB">
        <w:rPr>
          <w:rFonts w:ascii="Times New Roman" w:hAnsi="Times New Roman"/>
        </w:rPr>
        <w:t>s</w:t>
      </w:r>
      <w:r w:rsidRPr="00E119EB">
        <w:rPr>
          <w:rFonts w:ascii="Times New Roman" w:hAnsi="Times New Roman"/>
        </w:rPr>
        <w:t xml:space="preserve"> using all baseline assumptions except:</w:t>
      </w:r>
    </w:p>
    <w:p w14:paraId="6E698D28" w14:textId="77777777" w:rsidR="003F0765" w:rsidRDefault="003F0765" w:rsidP="00F3759A">
      <w:pPr>
        <w:spacing w:after="0"/>
        <w:rPr>
          <w:rFonts w:ascii="Times New Roman" w:hAnsi="Times New Roman"/>
        </w:rPr>
      </w:pPr>
    </w:p>
    <w:p w14:paraId="625938B5" w14:textId="77777777" w:rsidR="00C9137F" w:rsidRDefault="00C9137F" w:rsidP="00C9137F">
      <w:pPr>
        <w:spacing w:after="0"/>
        <w:rPr>
          <w:rFonts w:ascii="Times New Roman" w:hAnsi="Times New Roman"/>
        </w:rPr>
      </w:pPr>
      <w:proofErr w:type="gramStart"/>
      <w:r>
        <w:rPr>
          <w:rFonts w:ascii="Times New Roman" w:hAnsi="Times New Roman"/>
        </w:rPr>
        <w:t xml:space="preserve">a.  </w:t>
      </w:r>
      <w:r w:rsidR="009712BD">
        <w:rPr>
          <w:rFonts w:ascii="Times New Roman" w:hAnsi="Times New Roman"/>
        </w:rPr>
        <w:t>No</w:t>
      </w:r>
      <w:proofErr w:type="gramEnd"/>
      <w:r w:rsidR="009712BD">
        <w:rPr>
          <w:rFonts w:ascii="Times New Roman" w:hAnsi="Times New Roman"/>
        </w:rPr>
        <w:t xml:space="preserve"> morbidity improvement and no mortality improvement.</w:t>
      </w:r>
    </w:p>
    <w:p w14:paraId="13E1574A" w14:textId="77777777" w:rsidR="009712BD" w:rsidRDefault="009712BD" w:rsidP="00C9137F">
      <w:pPr>
        <w:spacing w:after="0"/>
        <w:rPr>
          <w:rFonts w:ascii="Times New Roman" w:hAnsi="Times New Roman"/>
        </w:rPr>
      </w:pPr>
    </w:p>
    <w:p w14:paraId="46DE7C10" w14:textId="77777777" w:rsidR="009712BD" w:rsidRDefault="009712BD" w:rsidP="009712BD">
      <w:pPr>
        <w:spacing w:after="0"/>
        <w:rPr>
          <w:rFonts w:ascii="Times New Roman" w:hAnsi="Times New Roman"/>
        </w:rPr>
      </w:pPr>
      <w:proofErr w:type="gramStart"/>
      <w:r>
        <w:rPr>
          <w:rFonts w:ascii="Times New Roman" w:hAnsi="Times New Roman"/>
        </w:rPr>
        <w:t>b.  No</w:t>
      </w:r>
      <w:proofErr w:type="gramEnd"/>
      <w:r>
        <w:rPr>
          <w:rFonts w:ascii="Times New Roman" w:hAnsi="Times New Roman"/>
        </w:rPr>
        <w:t xml:space="preserve"> morbidity improvement but with mortality improvement.</w:t>
      </w:r>
    </w:p>
    <w:p w14:paraId="604A44E8" w14:textId="77777777" w:rsidR="009712BD" w:rsidRDefault="009712BD" w:rsidP="00C9137F">
      <w:pPr>
        <w:spacing w:after="0"/>
        <w:rPr>
          <w:rFonts w:ascii="Times New Roman" w:hAnsi="Times New Roman"/>
        </w:rPr>
      </w:pPr>
    </w:p>
    <w:p w14:paraId="1C4262FB" w14:textId="77777777" w:rsidR="009712BD" w:rsidRDefault="009712BD" w:rsidP="00C9137F">
      <w:pPr>
        <w:spacing w:after="0"/>
        <w:rPr>
          <w:rFonts w:ascii="Times New Roman" w:hAnsi="Times New Roman"/>
        </w:rPr>
      </w:pPr>
      <w:proofErr w:type="gramStart"/>
      <w:r>
        <w:rPr>
          <w:rFonts w:ascii="Times New Roman" w:hAnsi="Times New Roman"/>
        </w:rPr>
        <w:t>c.  No</w:t>
      </w:r>
      <w:proofErr w:type="gramEnd"/>
      <w:r>
        <w:rPr>
          <w:rFonts w:ascii="Times New Roman" w:hAnsi="Times New Roman"/>
        </w:rPr>
        <w:t xml:space="preserve"> future, non-approved premium rate increases.</w:t>
      </w:r>
    </w:p>
    <w:p w14:paraId="39DC03D6" w14:textId="77777777" w:rsidR="00322DB6" w:rsidRDefault="00322DB6" w:rsidP="00C9137F">
      <w:pPr>
        <w:spacing w:after="0"/>
        <w:rPr>
          <w:rFonts w:ascii="Times New Roman" w:hAnsi="Times New Roman"/>
        </w:rPr>
      </w:pPr>
    </w:p>
    <w:p w14:paraId="488BFB9D" w14:textId="7C5336F0" w:rsidR="0064377B" w:rsidRDefault="004907AC" w:rsidP="00C9137F">
      <w:pPr>
        <w:spacing w:after="0"/>
        <w:rPr>
          <w:rFonts w:ascii="Times New Roman" w:hAnsi="Times New Roman"/>
        </w:rPr>
      </w:pPr>
      <w:proofErr w:type="gramStart"/>
      <w:r>
        <w:rPr>
          <w:rFonts w:ascii="Times New Roman" w:hAnsi="Times New Roman"/>
        </w:rPr>
        <w:t>d.  Net</w:t>
      </w:r>
      <w:proofErr w:type="gramEnd"/>
      <w:r>
        <w:rPr>
          <w:rFonts w:ascii="Times New Roman" w:hAnsi="Times New Roman"/>
        </w:rPr>
        <w:t xml:space="preserve"> yield pickup on exis</w:t>
      </w:r>
      <w:r w:rsidR="00322DB6">
        <w:rPr>
          <w:rFonts w:ascii="Times New Roman" w:hAnsi="Times New Roman"/>
        </w:rPr>
        <w:t>ting and reinvestment assets capped at 150 basis points</w:t>
      </w:r>
      <w:r w:rsidR="00770052">
        <w:rPr>
          <w:rFonts w:ascii="Times New Roman" w:hAnsi="Times New Roman"/>
        </w:rPr>
        <w:t xml:space="preserve"> above Treasury </w:t>
      </w:r>
      <w:r w:rsidR="009C68FF">
        <w:rPr>
          <w:rFonts w:ascii="Times New Roman" w:hAnsi="Times New Roman"/>
        </w:rPr>
        <w:t>yields at the time the asset was purchased or will be purchased</w:t>
      </w:r>
      <w:r w:rsidR="00322DB6">
        <w:rPr>
          <w:rFonts w:ascii="Times New Roman" w:hAnsi="Times New Roman"/>
        </w:rPr>
        <w:t>.</w:t>
      </w:r>
      <w:r>
        <w:rPr>
          <w:rFonts w:ascii="Times New Roman" w:hAnsi="Times New Roman"/>
        </w:rPr>
        <w:t xml:space="preserve">  This cap applies as an average over the entire portfolio supporting the LTC block.</w:t>
      </w:r>
    </w:p>
    <w:p w14:paraId="1F6F8415" w14:textId="142AECE1" w:rsidR="00EA565E" w:rsidRDefault="00EA565E" w:rsidP="00C9137F">
      <w:pPr>
        <w:spacing w:after="0"/>
        <w:rPr>
          <w:rFonts w:ascii="Times New Roman" w:hAnsi="Times New Roman"/>
        </w:rPr>
      </w:pPr>
    </w:p>
    <w:p w14:paraId="4DCE1FA5" w14:textId="77A0E7B6" w:rsidR="00EA565E" w:rsidRDefault="00EA565E" w:rsidP="00C9137F">
      <w:pPr>
        <w:spacing w:after="0"/>
        <w:rPr>
          <w:rFonts w:ascii="Times New Roman" w:hAnsi="Times New Roman"/>
        </w:rPr>
      </w:pPr>
    </w:p>
    <w:p w14:paraId="72E62B19" w14:textId="03105333" w:rsidR="00EA565E" w:rsidRDefault="00EA565E" w:rsidP="00C9137F">
      <w:pPr>
        <w:spacing w:after="0"/>
        <w:rPr>
          <w:rFonts w:ascii="Times New Roman" w:hAnsi="Times New Roman"/>
        </w:rPr>
      </w:pPr>
    </w:p>
    <w:p w14:paraId="24547B69" w14:textId="580F213E" w:rsidR="00EA565E" w:rsidRDefault="00EA565E" w:rsidP="00C9137F">
      <w:pPr>
        <w:spacing w:after="0"/>
        <w:rPr>
          <w:rFonts w:ascii="Times New Roman" w:hAnsi="Times New Roman"/>
        </w:rPr>
      </w:pPr>
    </w:p>
    <w:p w14:paraId="2DC0A770" w14:textId="267943B6" w:rsidR="00EA565E" w:rsidRDefault="00B20591" w:rsidP="00C9137F">
      <w:pPr>
        <w:spacing w:after="0"/>
        <w:rPr>
          <w:rFonts w:ascii="Times New Roman" w:hAnsi="Times New Roman"/>
        </w:rPr>
      </w:pPr>
      <w:r>
        <w:rPr>
          <w:rFonts w:ascii="Times New Roman" w:hAnsi="Times New Roman"/>
        </w:rPr>
        <w:t>[CLARIFICATION</w:t>
      </w:r>
      <w:r w:rsidR="00EA565E">
        <w:rPr>
          <w:rFonts w:ascii="Times New Roman" w:hAnsi="Times New Roman"/>
        </w:rPr>
        <w:t xml:space="preserve"> – 1/9/2019]</w:t>
      </w:r>
    </w:p>
    <w:p w14:paraId="4152003C" w14:textId="7A19BB04" w:rsidR="00EA565E" w:rsidRDefault="00EA565E" w:rsidP="00C9137F">
      <w:pPr>
        <w:spacing w:after="0"/>
        <w:rPr>
          <w:rFonts w:ascii="Times New Roman" w:hAnsi="Times New Roman"/>
          <w:b/>
        </w:rPr>
      </w:pPr>
      <w:r w:rsidRPr="00EA565E">
        <w:rPr>
          <w:rFonts w:ascii="Times New Roman" w:hAnsi="Times New Roman"/>
          <w:b/>
        </w:rPr>
        <w:t>APPE</w:t>
      </w:r>
      <w:bookmarkStart w:id="0" w:name="_GoBack"/>
      <w:bookmarkEnd w:id="0"/>
      <w:r w:rsidRPr="00EA565E">
        <w:rPr>
          <w:rFonts w:ascii="Times New Roman" w:hAnsi="Times New Roman"/>
          <w:b/>
        </w:rPr>
        <w:t>NDIX 1 – 2012 IAR APPLICATION</w:t>
      </w:r>
    </w:p>
    <w:p w14:paraId="48288728" w14:textId="55D5E95D" w:rsidR="00745DF8" w:rsidRDefault="00745DF8" w:rsidP="00C9137F">
      <w:pPr>
        <w:spacing w:after="0"/>
        <w:rPr>
          <w:rFonts w:ascii="Times New Roman" w:hAnsi="Times New Roman"/>
          <w:b/>
        </w:rPr>
      </w:pPr>
    </w:p>
    <w:p w14:paraId="0A667AD7" w14:textId="3A461124" w:rsidR="00745DF8" w:rsidRPr="00745DF8" w:rsidRDefault="00745DF8" w:rsidP="00C9137F">
      <w:pPr>
        <w:spacing w:after="0"/>
        <w:rPr>
          <w:rFonts w:ascii="Times New Roman" w:hAnsi="Times New Roman"/>
        </w:rPr>
      </w:pPr>
      <w:r w:rsidRPr="00745DF8">
        <w:rPr>
          <w:rFonts w:ascii="Times New Roman" w:hAnsi="Times New Roman"/>
        </w:rPr>
        <w:t xml:space="preserve">Please use the following mortality rates in the Section II.i. </w:t>
      </w:r>
      <w:proofErr w:type="gramStart"/>
      <w:r w:rsidRPr="00745DF8">
        <w:rPr>
          <w:rFonts w:ascii="Times New Roman" w:hAnsi="Times New Roman"/>
        </w:rPr>
        <w:t>present</w:t>
      </w:r>
      <w:proofErr w:type="gramEnd"/>
      <w:r w:rsidRPr="00745DF8">
        <w:rPr>
          <w:rFonts w:ascii="Times New Roman" w:hAnsi="Times New Roman"/>
        </w:rPr>
        <w:t xml:space="preserve"> value of future benefits calculations.  If a company has already performed the calculation using different mortality </w:t>
      </w:r>
      <w:proofErr w:type="gramStart"/>
      <w:r w:rsidRPr="00745DF8">
        <w:rPr>
          <w:rFonts w:ascii="Times New Roman" w:hAnsi="Times New Roman"/>
        </w:rPr>
        <w:t>rates, that</w:t>
      </w:r>
      <w:proofErr w:type="gramEnd"/>
      <w:r w:rsidRPr="00745DF8">
        <w:rPr>
          <w:rFonts w:ascii="Times New Roman" w:hAnsi="Times New Roman"/>
        </w:rPr>
        <w:t xml:space="preserve"> is fine as long as the approach used is clearly identified.</w:t>
      </w:r>
    </w:p>
    <w:tbl>
      <w:tblPr>
        <w:tblW w:w="9360" w:type="dxa"/>
        <w:tblLook w:val="04A0" w:firstRow="1" w:lastRow="0" w:firstColumn="1" w:lastColumn="0" w:noHBand="0" w:noVBand="1"/>
      </w:tblPr>
      <w:tblGrid>
        <w:gridCol w:w="6672"/>
        <w:gridCol w:w="1344"/>
        <w:gridCol w:w="1344"/>
      </w:tblGrid>
      <w:tr w:rsidR="00EA565E" w:rsidRPr="00EA565E" w14:paraId="6647B14E" w14:textId="77777777" w:rsidTr="00745DF8">
        <w:trPr>
          <w:trHeight w:val="288"/>
        </w:trPr>
        <w:tc>
          <w:tcPr>
            <w:tcW w:w="6672" w:type="dxa"/>
            <w:tcBorders>
              <w:top w:val="nil"/>
              <w:left w:val="nil"/>
              <w:bottom w:val="nil"/>
              <w:right w:val="nil"/>
            </w:tcBorders>
            <w:shd w:val="clear" w:color="auto" w:fill="auto"/>
            <w:noWrap/>
            <w:vAlign w:val="bottom"/>
          </w:tcPr>
          <w:p w14:paraId="48E505E7" w14:textId="77777777" w:rsidR="00745DF8" w:rsidRDefault="00745DF8" w:rsidP="00745DF8">
            <w:pPr>
              <w:rPr>
                <w:rFonts w:ascii="Times New Roman" w:hAnsi="Times New Roman"/>
              </w:rPr>
            </w:pPr>
          </w:p>
          <w:tbl>
            <w:tblPr>
              <w:tblW w:w="4482" w:type="dxa"/>
              <w:tblLook w:val="04A0" w:firstRow="1" w:lastRow="0" w:firstColumn="1" w:lastColumn="0" w:noHBand="0" w:noVBand="1"/>
            </w:tblPr>
            <w:tblGrid>
              <w:gridCol w:w="1242"/>
              <w:gridCol w:w="1620"/>
              <w:gridCol w:w="1620"/>
            </w:tblGrid>
            <w:tr w:rsidR="00745DF8" w:rsidRPr="00745DF8" w14:paraId="2A322118" w14:textId="77777777" w:rsidTr="00745DF8">
              <w:trPr>
                <w:trHeight w:val="288"/>
              </w:trPr>
              <w:tc>
                <w:tcPr>
                  <w:tcW w:w="1242" w:type="dxa"/>
                  <w:tcBorders>
                    <w:top w:val="nil"/>
                    <w:left w:val="nil"/>
                    <w:bottom w:val="nil"/>
                    <w:right w:val="nil"/>
                  </w:tcBorders>
                  <w:shd w:val="clear" w:color="auto" w:fill="auto"/>
                  <w:noWrap/>
                  <w:vAlign w:val="bottom"/>
                  <w:hideMark/>
                </w:tcPr>
                <w:p w14:paraId="4B30A158" w14:textId="77777777" w:rsidR="00745DF8" w:rsidRPr="00745DF8" w:rsidRDefault="00745DF8" w:rsidP="00745DF8">
                  <w:pPr>
                    <w:spacing w:after="0" w:line="240" w:lineRule="auto"/>
                    <w:rPr>
                      <w:rFonts w:ascii="Times New Roman" w:eastAsia="Times New Roman" w:hAnsi="Times New Roman" w:cs="Times New Roman"/>
                      <w:color w:val="000000"/>
                    </w:rPr>
                  </w:pPr>
                  <w:r w:rsidRPr="00745DF8">
                    <w:rPr>
                      <w:rFonts w:ascii="Times New Roman" w:eastAsia="Times New Roman" w:hAnsi="Times New Roman" w:cs="Times New Roman"/>
                      <w:color w:val="000000"/>
                    </w:rPr>
                    <w:t>2012 IAR</w:t>
                  </w:r>
                </w:p>
              </w:tc>
              <w:tc>
                <w:tcPr>
                  <w:tcW w:w="1620" w:type="dxa"/>
                  <w:tcBorders>
                    <w:top w:val="nil"/>
                    <w:left w:val="nil"/>
                    <w:bottom w:val="nil"/>
                    <w:right w:val="nil"/>
                  </w:tcBorders>
                  <w:shd w:val="clear" w:color="auto" w:fill="auto"/>
                  <w:noWrap/>
                  <w:vAlign w:val="bottom"/>
                  <w:hideMark/>
                </w:tcPr>
                <w:p w14:paraId="23AA914D" w14:textId="77777777" w:rsidR="00745DF8" w:rsidRPr="00745DF8" w:rsidRDefault="00745DF8" w:rsidP="00745DF8">
                  <w:pPr>
                    <w:spacing w:after="0" w:line="240" w:lineRule="auto"/>
                    <w:rPr>
                      <w:rFonts w:ascii="Times New Roman" w:eastAsia="Times New Roman" w:hAnsi="Times New Roman" w:cs="Times New Roman"/>
                      <w:color w:val="000000"/>
                    </w:rPr>
                  </w:pPr>
                  <w:r w:rsidRPr="00745DF8">
                    <w:rPr>
                      <w:rFonts w:ascii="Times New Roman" w:eastAsia="Times New Roman" w:hAnsi="Times New Roman" w:cs="Times New Roman"/>
                      <w:color w:val="000000"/>
                    </w:rPr>
                    <w:t>Policy issued</w:t>
                  </w:r>
                </w:p>
              </w:tc>
              <w:tc>
                <w:tcPr>
                  <w:tcW w:w="1620" w:type="dxa"/>
                  <w:tcBorders>
                    <w:top w:val="nil"/>
                    <w:left w:val="nil"/>
                    <w:bottom w:val="nil"/>
                    <w:right w:val="nil"/>
                  </w:tcBorders>
                  <w:shd w:val="clear" w:color="auto" w:fill="auto"/>
                  <w:noWrap/>
                  <w:vAlign w:val="bottom"/>
                  <w:hideMark/>
                </w:tcPr>
                <w:p w14:paraId="6194F2C4"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1/1/2009</w:t>
                  </w:r>
                </w:p>
              </w:tc>
            </w:tr>
            <w:tr w:rsidR="00745DF8" w:rsidRPr="00745DF8" w14:paraId="01E67817" w14:textId="77777777" w:rsidTr="00745DF8">
              <w:trPr>
                <w:trHeight w:val="288"/>
              </w:trPr>
              <w:tc>
                <w:tcPr>
                  <w:tcW w:w="1242" w:type="dxa"/>
                  <w:tcBorders>
                    <w:top w:val="nil"/>
                    <w:left w:val="nil"/>
                    <w:bottom w:val="nil"/>
                    <w:right w:val="nil"/>
                  </w:tcBorders>
                  <w:shd w:val="clear" w:color="auto" w:fill="auto"/>
                  <w:noWrap/>
                  <w:vAlign w:val="bottom"/>
                  <w:hideMark/>
                </w:tcPr>
                <w:p w14:paraId="602C7207" w14:textId="77777777" w:rsidR="00745DF8" w:rsidRPr="00745DF8" w:rsidRDefault="00745DF8" w:rsidP="00745DF8">
                  <w:pPr>
                    <w:spacing w:after="0" w:line="240" w:lineRule="auto"/>
                    <w:rPr>
                      <w:rFonts w:ascii="Times New Roman" w:eastAsia="Times New Roman" w:hAnsi="Times New Roman" w:cs="Times New Roman"/>
                      <w:color w:val="000000"/>
                      <w:u w:val="single"/>
                    </w:rPr>
                  </w:pPr>
                  <w:r w:rsidRPr="00745DF8">
                    <w:rPr>
                      <w:rFonts w:ascii="Times New Roman" w:eastAsia="Times New Roman" w:hAnsi="Times New Roman" w:cs="Times New Roman"/>
                      <w:color w:val="000000"/>
                      <w:u w:val="single"/>
                    </w:rPr>
                    <w:t>Duration</w:t>
                  </w:r>
                </w:p>
              </w:tc>
              <w:tc>
                <w:tcPr>
                  <w:tcW w:w="1620" w:type="dxa"/>
                  <w:tcBorders>
                    <w:top w:val="nil"/>
                    <w:left w:val="nil"/>
                    <w:bottom w:val="nil"/>
                    <w:right w:val="nil"/>
                  </w:tcBorders>
                  <w:shd w:val="clear" w:color="auto" w:fill="auto"/>
                  <w:noWrap/>
                  <w:vAlign w:val="bottom"/>
                  <w:hideMark/>
                </w:tcPr>
                <w:p w14:paraId="241F6E5B" w14:textId="77777777" w:rsidR="00745DF8" w:rsidRPr="00745DF8" w:rsidRDefault="00745DF8" w:rsidP="00745DF8">
                  <w:pPr>
                    <w:spacing w:after="0" w:line="240" w:lineRule="auto"/>
                    <w:rPr>
                      <w:rFonts w:ascii="Times New Roman" w:eastAsia="Times New Roman" w:hAnsi="Times New Roman" w:cs="Times New Roman"/>
                      <w:color w:val="000000"/>
                      <w:u w:val="single"/>
                    </w:rPr>
                  </w:pPr>
                  <w:r w:rsidRPr="00745DF8">
                    <w:rPr>
                      <w:rFonts w:ascii="Times New Roman" w:eastAsia="Times New Roman" w:hAnsi="Times New Roman" w:cs="Times New Roman"/>
                      <w:color w:val="000000"/>
                      <w:u w:val="single"/>
                    </w:rPr>
                    <w:t>Age 55 Female</w:t>
                  </w:r>
                </w:p>
              </w:tc>
              <w:tc>
                <w:tcPr>
                  <w:tcW w:w="1620" w:type="dxa"/>
                  <w:tcBorders>
                    <w:top w:val="nil"/>
                    <w:left w:val="nil"/>
                    <w:bottom w:val="nil"/>
                    <w:right w:val="nil"/>
                  </w:tcBorders>
                  <w:shd w:val="clear" w:color="auto" w:fill="auto"/>
                  <w:noWrap/>
                  <w:vAlign w:val="bottom"/>
                  <w:hideMark/>
                </w:tcPr>
                <w:p w14:paraId="64D95D8B" w14:textId="77777777" w:rsidR="00745DF8" w:rsidRPr="00745DF8" w:rsidRDefault="00745DF8" w:rsidP="00745DF8">
                  <w:pPr>
                    <w:spacing w:after="0" w:line="240" w:lineRule="auto"/>
                    <w:rPr>
                      <w:rFonts w:ascii="Times New Roman" w:eastAsia="Times New Roman" w:hAnsi="Times New Roman" w:cs="Times New Roman"/>
                      <w:color w:val="000000"/>
                      <w:u w:val="single"/>
                    </w:rPr>
                  </w:pPr>
                  <w:r w:rsidRPr="00745DF8">
                    <w:rPr>
                      <w:rFonts w:ascii="Times New Roman" w:eastAsia="Times New Roman" w:hAnsi="Times New Roman" w:cs="Times New Roman"/>
                      <w:color w:val="000000"/>
                      <w:u w:val="single"/>
                    </w:rPr>
                    <w:t>Age 70 Female</w:t>
                  </w:r>
                </w:p>
              </w:tc>
            </w:tr>
            <w:tr w:rsidR="00745DF8" w:rsidRPr="00745DF8" w14:paraId="52F9FE6D" w14:textId="77777777" w:rsidTr="00745DF8">
              <w:trPr>
                <w:trHeight w:val="288"/>
              </w:trPr>
              <w:tc>
                <w:tcPr>
                  <w:tcW w:w="1242" w:type="dxa"/>
                  <w:tcBorders>
                    <w:top w:val="nil"/>
                    <w:left w:val="nil"/>
                    <w:bottom w:val="nil"/>
                    <w:right w:val="nil"/>
                  </w:tcBorders>
                  <w:shd w:val="clear" w:color="auto" w:fill="auto"/>
                  <w:noWrap/>
                  <w:vAlign w:val="bottom"/>
                  <w:hideMark/>
                </w:tcPr>
                <w:p w14:paraId="0199AEA0"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1</w:t>
                  </w:r>
                </w:p>
              </w:tc>
              <w:tc>
                <w:tcPr>
                  <w:tcW w:w="1620" w:type="dxa"/>
                  <w:tcBorders>
                    <w:top w:val="nil"/>
                    <w:left w:val="nil"/>
                    <w:bottom w:val="nil"/>
                    <w:right w:val="nil"/>
                  </w:tcBorders>
                  <w:shd w:val="clear" w:color="auto" w:fill="auto"/>
                  <w:noWrap/>
                  <w:vAlign w:val="bottom"/>
                  <w:hideMark/>
                </w:tcPr>
                <w:p w14:paraId="7FCCE04D"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0.001950</w:t>
                  </w:r>
                </w:p>
              </w:tc>
              <w:tc>
                <w:tcPr>
                  <w:tcW w:w="1620" w:type="dxa"/>
                  <w:tcBorders>
                    <w:top w:val="nil"/>
                    <w:left w:val="nil"/>
                    <w:bottom w:val="nil"/>
                    <w:right w:val="nil"/>
                  </w:tcBorders>
                  <w:shd w:val="clear" w:color="auto" w:fill="auto"/>
                  <w:noWrap/>
                  <w:vAlign w:val="bottom"/>
                  <w:hideMark/>
                </w:tcPr>
                <w:p w14:paraId="71C5F94D"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0.009074</w:t>
                  </w:r>
                </w:p>
              </w:tc>
            </w:tr>
            <w:tr w:rsidR="00745DF8" w:rsidRPr="00745DF8" w14:paraId="693CA3F3" w14:textId="77777777" w:rsidTr="00745DF8">
              <w:trPr>
                <w:trHeight w:val="288"/>
              </w:trPr>
              <w:tc>
                <w:tcPr>
                  <w:tcW w:w="1242" w:type="dxa"/>
                  <w:tcBorders>
                    <w:top w:val="nil"/>
                    <w:left w:val="nil"/>
                    <w:bottom w:val="nil"/>
                    <w:right w:val="nil"/>
                  </w:tcBorders>
                  <w:shd w:val="clear" w:color="auto" w:fill="auto"/>
                  <w:noWrap/>
                  <w:vAlign w:val="bottom"/>
                  <w:hideMark/>
                </w:tcPr>
                <w:p w14:paraId="5BA27463"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2</w:t>
                  </w:r>
                </w:p>
              </w:tc>
              <w:tc>
                <w:tcPr>
                  <w:tcW w:w="1620" w:type="dxa"/>
                  <w:tcBorders>
                    <w:top w:val="nil"/>
                    <w:left w:val="nil"/>
                    <w:bottom w:val="nil"/>
                    <w:right w:val="nil"/>
                  </w:tcBorders>
                  <w:shd w:val="clear" w:color="auto" w:fill="auto"/>
                  <w:noWrap/>
                  <w:vAlign w:val="bottom"/>
                  <w:hideMark/>
                </w:tcPr>
                <w:p w14:paraId="0257DD2D"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0.002154</w:t>
                  </w:r>
                </w:p>
              </w:tc>
              <w:tc>
                <w:tcPr>
                  <w:tcW w:w="1620" w:type="dxa"/>
                  <w:tcBorders>
                    <w:top w:val="nil"/>
                    <w:left w:val="nil"/>
                    <w:bottom w:val="nil"/>
                    <w:right w:val="nil"/>
                  </w:tcBorders>
                  <w:shd w:val="clear" w:color="auto" w:fill="auto"/>
                  <w:noWrap/>
                  <w:vAlign w:val="bottom"/>
                  <w:hideMark/>
                </w:tcPr>
                <w:p w14:paraId="7FCCA757"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0.009910</w:t>
                  </w:r>
                </w:p>
              </w:tc>
            </w:tr>
            <w:tr w:rsidR="00745DF8" w:rsidRPr="00745DF8" w14:paraId="05766920" w14:textId="77777777" w:rsidTr="00745DF8">
              <w:trPr>
                <w:trHeight w:val="288"/>
              </w:trPr>
              <w:tc>
                <w:tcPr>
                  <w:tcW w:w="1242" w:type="dxa"/>
                  <w:tcBorders>
                    <w:top w:val="nil"/>
                    <w:left w:val="nil"/>
                    <w:bottom w:val="nil"/>
                    <w:right w:val="nil"/>
                  </w:tcBorders>
                  <w:shd w:val="clear" w:color="auto" w:fill="auto"/>
                  <w:noWrap/>
                  <w:vAlign w:val="bottom"/>
                  <w:hideMark/>
                </w:tcPr>
                <w:p w14:paraId="566A8F0C"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3</w:t>
                  </w:r>
                </w:p>
              </w:tc>
              <w:tc>
                <w:tcPr>
                  <w:tcW w:w="1620" w:type="dxa"/>
                  <w:tcBorders>
                    <w:top w:val="nil"/>
                    <w:left w:val="nil"/>
                    <w:bottom w:val="nil"/>
                    <w:right w:val="nil"/>
                  </w:tcBorders>
                  <w:shd w:val="clear" w:color="auto" w:fill="auto"/>
                  <w:noWrap/>
                  <w:vAlign w:val="bottom"/>
                  <w:hideMark/>
                </w:tcPr>
                <w:p w14:paraId="50FE9D2B"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0.002399</w:t>
                  </w:r>
                </w:p>
              </w:tc>
              <w:tc>
                <w:tcPr>
                  <w:tcW w:w="1620" w:type="dxa"/>
                  <w:tcBorders>
                    <w:top w:val="nil"/>
                    <w:left w:val="nil"/>
                    <w:bottom w:val="nil"/>
                    <w:right w:val="nil"/>
                  </w:tcBorders>
                  <w:shd w:val="clear" w:color="auto" w:fill="auto"/>
                  <w:noWrap/>
                  <w:vAlign w:val="bottom"/>
                  <w:hideMark/>
                </w:tcPr>
                <w:p w14:paraId="52E06458"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0.010827</w:t>
                  </w:r>
                </w:p>
              </w:tc>
            </w:tr>
            <w:tr w:rsidR="00745DF8" w:rsidRPr="00745DF8" w14:paraId="27F4366A" w14:textId="77777777" w:rsidTr="00745DF8">
              <w:trPr>
                <w:trHeight w:val="288"/>
              </w:trPr>
              <w:tc>
                <w:tcPr>
                  <w:tcW w:w="1242" w:type="dxa"/>
                  <w:tcBorders>
                    <w:top w:val="nil"/>
                    <w:left w:val="nil"/>
                    <w:bottom w:val="nil"/>
                    <w:right w:val="nil"/>
                  </w:tcBorders>
                  <w:shd w:val="clear" w:color="auto" w:fill="auto"/>
                  <w:noWrap/>
                  <w:vAlign w:val="bottom"/>
                  <w:hideMark/>
                </w:tcPr>
                <w:p w14:paraId="2AABAC58"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4</w:t>
                  </w:r>
                </w:p>
              </w:tc>
              <w:tc>
                <w:tcPr>
                  <w:tcW w:w="1620" w:type="dxa"/>
                  <w:tcBorders>
                    <w:top w:val="nil"/>
                    <w:left w:val="nil"/>
                    <w:bottom w:val="nil"/>
                    <w:right w:val="nil"/>
                  </w:tcBorders>
                  <w:shd w:val="clear" w:color="auto" w:fill="auto"/>
                  <w:noWrap/>
                  <w:vAlign w:val="bottom"/>
                  <w:hideMark/>
                </w:tcPr>
                <w:p w14:paraId="16FF7CE5"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0.002700</w:t>
                  </w:r>
                </w:p>
              </w:tc>
              <w:tc>
                <w:tcPr>
                  <w:tcW w:w="1620" w:type="dxa"/>
                  <w:tcBorders>
                    <w:top w:val="nil"/>
                    <w:left w:val="nil"/>
                    <w:bottom w:val="nil"/>
                    <w:right w:val="nil"/>
                  </w:tcBorders>
                  <w:shd w:val="clear" w:color="auto" w:fill="auto"/>
                  <w:noWrap/>
                  <w:vAlign w:val="bottom"/>
                  <w:hideMark/>
                </w:tcPr>
                <w:p w14:paraId="62671742"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0.011839</w:t>
                  </w:r>
                </w:p>
              </w:tc>
            </w:tr>
            <w:tr w:rsidR="00745DF8" w:rsidRPr="00745DF8" w14:paraId="4964F714" w14:textId="77777777" w:rsidTr="00745DF8">
              <w:trPr>
                <w:trHeight w:val="288"/>
              </w:trPr>
              <w:tc>
                <w:tcPr>
                  <w:tcW w:w="1242" w:type="dxa"/>
                  <w:tcBorders>
                    <w:top w:val="nil"/>
                    <w:left w:val="nil"/>
                    <w:bottom w:val="nil"/>
                    <w:right w:val="nil"/>
                  </w:tcBorders>
                  <w:shd w:val="clear" w:color="auto" w:fill="auto"/>
                  <w:noWrap/>
                  <w:vAlign w:val="bottom"/>
                  <w:hideMark/>
                </w:tcPr>
                <w:p w14:paraId="5ED84883"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5</w:t>
                  </w:r>
                </w:p>
              </w:tc>
              <w:tc>
                <w:tcPr>
                  <w:tcW w:w="1620" w:type="dxa"/>
                  <w:tcBorders>
                    <w:top w:val="nil"/>
                    <w:left w:val="nil"/>
                    <w:bottom w:val="nil"/>
                    <w:right w:val="nil"/>
                  </w:tcBorders>
                  <w:shd w:val="clear" w:color="auto" w:fill="auto"/>
                  <w:noWrap/>
                  <w:vAlign w:val="bottom"/>
                  <w:hideMark/>
                </w:tcPr>
                <w:p w14:paraId="2A62B8C9"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0.003014</w:t>
                  </w:r>
                </w:p>
              </w:tc>
              <w:tc>
                <w:tcPr>
                  <w:tcW w:w="1620" w:type="dxa"/>
                  <w:tcBorders>
                    <w:top w:val="nil"/>
                    <w:left w:val="nil"/>
                    <w:bottom w:val="nil"/>
                    <w:right w:val="nil"/>
                  </w:tcBorders>
                  <w:shd w:val="clear" w:color="auto" w:fill="auto"/>
                  <w:noWrap/>
                  <w:vAlign w:val="bottom"/>
                  <w:hideMark/>
                </w:tcPr>
                <w:p w14:paraId="2857BFC7"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0.012805</w:t>
                  </w:r>
                </w:p>
              </w:tc>
            </w:tr>
            <w:tr w:rsidR="00745DF8" w:rsidRPr="00745DF8" w14:paraId="0A7E4A03" w14:textId="77777777" w:rsidTr="00745DF8">
              <w:trPr>
                <w:trHeight w:val="288"/>
              </w:trPr>
              <w:tc>
                <w:tcPr>
                  <w:tcW w:w="1242" w:type="dxa"/>
                  <w:tcBorders>
                    <w:top w:val="nil"/>
                    <w:left w:val="nil"/>
                    <w:bottom w:val="nil"/>
                    <w:right w:val="nil"/>
                  </w:tcBorders>
                  <w:shd w:val="clear" w:color="auto" w:fill="auto"/>
                  <w:noWrap/>
                  <w:vAlign w:val="bottom"/>
                  <w:hideMark/>
                </w:tcPr>
                <w:p w14:paraId="4167A68A"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6</w:t>
                  </w:r>
                </w:p>
              </w:tc>
              <w:tc>
                <w:tcPr>
                  <w:tcW w:w="1620" w:type="dxa"/>
                  <w:tcBorders>
                    <w:top w:val="nil"/>
                    <w:left w:val="nil"/>
                    <w:bottom w:val="nil"/>
                    <w:right w:val="nil"/>
                  </w:tcBorders>
                  <w:shd w:val="clear" w:color="auto" w:fill="auto"/>
                  <w:noWrap/>
                  <w:vAlign w:val="bottom"/>
                  <w:hideMark/>
                </w:tcPr>
                <w:p w14:paraId="406CC1AB"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0.003371</w:t>
                  </w:r>
                </w:p>
              </w:tc>
              <w:tc>
                <w:tcPr>
                  <w:tcW w:w="1620" w:type="dxa"/>
                  <w:tcBorders>
                    <w:top w:val="nil"/>
                    <w:left w:val="nil"/>
                    <w:bottom w:val="nil"/>
                    <w:right w:val="nil"/>
                  </w:tcBorders>
                  <w:shd w:val="clear" w:color="auto" w:fill="auto"/>
                  <w:noWrap/>
                  <w:vAlign w:val="bottom"/>
                  <w:hideMark/>
                </w:tcPr>
                <w:p w14:paraId="274E862E"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0.013913</w:t>
                  </w:r>
                </w:p>
              </w:tc>
            </w:tr>
            <w:tr w:rsidR="00745DF8" w:rsidRPr="00745DF8" w14:paraId="2FB3D3B5" w14:textId="77777777" w:rsidTr="00745DF8">
              <w:trPr>
                <w:trHeight w:val="288"/>
              </w:trPr>
              <w:tc>
                <w:tcPr>
                  <w:tcW w:w="1242" w:type="dxa"/>
                  <w:tcBorders>
                    <w:top w:val="nil"/>
                    <w:left w:val="nil"/>
                    <w:bottom w:val="nil"/>
                    <w:right w:val="nil"/>
                  </w:tcBorders>
                  <w:shd w:val="clear" w:color="auto" w:fill="auto"/>
                  <w:noWrap/>
                  <w:vAlign w:val="bottom"/>
                  <w:hideMark/>
                </w:tcPr>
                <w:p w14:paraId="29EA0A84"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7</w:t>
                  </w:r>
                </w:p>
              </w:tc>
              <w:tc>
                <w:tcPr>
                  <w:tcW w:w="1620" w:type="dxa"/>
                  <w:tcBorders>
                    <w:top w:val="nil"/>
                    <w:left w:val="nil"/>
                    <w:bottom w:val="nil"/>
                    <w:right w:val="nil"/>
                  </w:tcBorders>
                  <w:shd w:val="clear" w:color="auto" w:fill="auto"/>
                  <w:noWrap/>
                  <w:vAlign w:val="bottom"/>
                  <w:hideMark/>
                </w:tcPr>
                <w:p w14:paraId="12A230FD"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0.003765</w:t>
                  </w:r>
                </w:p>
              </w:tc>
              <w:tc>
                <w:tcPr>
                  <w:tcW w:w="1620" w:type="dxa"/>
                  <w:tcBorders>
                    <w:top w:val="nil"/>
                    <w:left w:val="nil"/>
                    <w:bottom w:val="nil"/>
                    <w:right w:val="nil"/>
                  </w:tcBorders>
                  <w:shd w:val="clear" w:color="auto" w:fill="auto"/>
                  <w:noWrap/>
                  <w:vAlign w:val="bottom"/>
                  <w:hideMark/>
                </w:tcPr>
                <w:p w14:paraId="733E14E0"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0.015191</w:t>
                  </w:r>
                </w:p>
              </w:tc>
            </w:tr>
            <w:tr w:rsidR="00745DF8" w:rsidRPr="00745DF8" w14:paraId="2A77D0B5" w14:textId="77777777" w:rsidTr="00745DF8">
              <w:trPr>
                <w:trHeight w:val="288"/>
              </w:trPr>
              <w:tc>
                <w:tcPr>
                  <w:tcW w:w="1242" w:type="dxa"/>
                  <w:tcBorders>
                    <w:top w:val="nil"/>
                    <w:left w:val="nil"/>
                    <w:bottom w:val="nil"/>
                    <w:right w:val="nil"/>
                  </w:tcBorders>
                  <w:shd w:val="clear" w:color="auto" w:fill="auto"/>
                  <w:noWrap/>
                  <w:vAlign w:val="bottom"/>
                  <w:hideMark/>
                </w:tcPr>
                <w:p w14:paraId="20CD83D3"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8</w:t>
                  </w:r>
                </w:p>
              </w:tc>
              <w:tc>
                <w:tcPr>
                  <w:tcW w:w="1620" w:type="dxa"/>
                  <w:tcBorders>
                    <w:top w:val="nil"/>
                    <w:left w:val="nil"/>
                    <w:bottom w:val="nil"/>
                    <w:right w:val="nil"/>
                  </w:tcBorders>
                  <w:shd w:val="clear" w:color="auto" w:fill="auto"/>
                  <w:noWrap/>
                  <w:vAlign w:val="bottom"/>
                  <w:hideMark/>
                </w:tcPr>
                <w:p w14:paraId="0746EA8E"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0.004184</w:t>
                  </w:r>
                </w:p>
              </w:tc>
              <w:tc>
                <w:tcPr>
                  <w:tcW w:w="1620" w:type="dxa"/>
                  <w:tcBorders>
                    <w:top w:val="nil"/>
                    <w:left w:val="nil"/>
                    <w:bottom w:val="nil"/>
                    <w:right w:val="nil"/>
                  </w:tcBorders>
                  <w:shd w:val="clear" w:color="auto" w:fill="auto"/>
                  <w:noWrap/>
                  <w:vAlign w:val="bottom"/>
                  <w:hideMark/>
                </w:tcPr>
                <w:p w14:paraId="46A10634"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0.016655</w:t>
                  </w:r>
                </w:p>
              </w:tc>
            </w:tr>
            <w:tr w:rsidR="00745DF8" w:rsidRPr="00745DF8" w14:paraId="0BD9DF68" w14:textId="77777777" w:rsidTr="00745DF8">
              <w:trPr>
                <w:trHeight w:val="288"/>
              </w:trPr>
              <w:tc>
                <w:tcPr>
                  <w:tcW w:w="1242" w:type="dxa"/>
                  <w:tcBorders>
                    <w:top w:val="nil"/>
                    <w:left w:val="nil"/>
                    <w:bottom w:val="nil"/>
                    <w:right w:val="nil"/>
                  </w:tcBorders>
                  <w:shd w:val="clear" w:color="auto" w:fill="auto"/>
                  <w:noWrap/>
                  <w:vAlign w:val="bottom"/>
                  <w:hideMark/>
                </w:tcPr>
                <w:p w14:paraId="518E8519"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9</w:t>
                  </w:r>
                </w:p>
              </w:tc>
              <w:tc>
                <w:tcPr>
                  <w:tcW w:w="1620" w:type="dxa"/>
                  <w:tcBorders>
                    <w:top w:val="nil"/>
                    <w:left w:val="nil"/>
                    <w:bottom w:val="nil"/>
                    <w:right w:val="nil"/>
                  </w:tcBorders>
                  <w:shd w:val="clear" w:color="auto" w:fill="auto"/>
                  <w:noWrap/>
                  <w:vAlign w:val="bottom"/>
                  <w:hideMark/>
                </w:tcPr>
                <w:p w14:paraId="6394E5A6"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0.004621</w:t>
                  </w:r>
                </w:p>
              </w:tc>
              <w:tc>
                <w:tcPr>
                  <w:tcW w:w="1620" w:type="dxa"/>
                  <w:tcBorders>
                    <w:top w:val="nil"/>
                    <w:left w:val="nil"/>
                    <w:bottom w:val="nil"/>
                    <w:right w:val="nil"/>
                  </w:tcBorders>
                  <w:shd w:val="clear" w:color="auto" w:fill="auto"/>
                  <w:noWrap/>
                  <w:vAlign w:val="bottom"/>
                  <w:hideMark/>
                </w:tcPr>
                <w:p w14:paraId="623AFBC7"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0.018342</w:t>
                  </w:r>
                </w:p>
              </w:tc>
            </w:tr>
            <w:tr w:rsidR="00745DF8" w:rsidRPr="00745DF8" w14:paraId="136AD77E" w14:textId="77777777" w:rsidTr="00745DF8">
              <w:trPr>
                <w:trHeight w:val="288"/>
              </w:trPr>
              <w:tc>
                <w:tcPr>
                  <w:tcW w:w="1242" w:type="dxa"/>
                  <w:tcBorders>
                    <w:top w:val="nil"/>
                    <w:left w:val="nil"/>
                    <w:bottom w:val="nil"/>
                    <w:right w:val="nil"/>
                  </w:tcBorders>
                  <w:shd w:val="clear" w:color="auto" w:fill="auto"/>
                  <w:noWrap/>
                  <w:vAlign w:val="bottom"/>
                  <w:hideMark/>
                </w:tcPr>
                <w:p w14:paraId="405C51A7"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10</w:t>
                  </w:r>
                </w:p>
              </w:tc>
              <w:tc>
                <w:tcPr>
                  <w:tcW w:w="1620" w:type="dxa"/>
                  <w:tcBorders>
                    <w:top w:val="nil"/>
                    <w:left w:val="nil"/>
                    <w:bottom w:val="nil"/>
                    <w:right w:val="nil"/>
                  </w:tcBorders>
                  <w:shd w:val="clear" w:color="auto" w:fill="auto"/>
                  <w:noWrap/>
                  <w:vAlign w:val="bottom"/>
                  <w:hideMark/>
                </w:tcPr>
                <w:p w14:paraId="30B54857"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0.005091</w:t>
                  </w:r>
                </w:p>
              </w:tc>
              <w:tc>
                <w:tcPr>
                  <w:tcW w:w="1620" w:type="dxa"/>
                  <w:tcBorders>
                    <w:top w:val="nil"/>
                    <w:left w:val="nil"/>
                    <w:bottom w:val="nil"/>
                    <w:right w:val="nil"/>
                  </w:tcBorders>
                  <w:shd w:val="clear" w:color="auto" w:fill="auto"/>
                  <w:noWrap/>
                  <w:vAlign w:val="bottom"/>
                  <w:hideMark/>
                </w:tcPr>
                <w:p w14:paraId="35A4EED3"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0.020311</w:t>
                  </w:r>
                </w:p>
              </w:tc>
            </w:tr>
            <w:tr w:rsidR="00745DF8" w:rsidRPr="00745DF8" w14:paraId="6C736F48" w14:textId="77777777" w:rsidTr="00745DF8">
              <w:trPr>
                <w:trHeight w:val="288"/>
              </w:trPr>
              <w:tc>
                <w:tcPr>
                  <w:tcW w:w="1242" w:type="dxa"/>
                  <w:tcBorders>
                    <w:top w:val="nil"/>
                    <w:left w:val="nil"/>
                    <w:bottom w:val="nil"/>
                    <w:right w:val="nil"/>
                  </w:tcBorders>
                  <w:shd w:val="clear" w:color="auto" w:fill="auto"/>
                  <w:noWrap/>
                  <w:vAlign w:val="bottom"/>
                  <w:hideMark/>
                </w:tcPr>
                <w:p w14:paraId="04D9B127"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11</w:t>
                  </w:r>
                </w:p>
              </w:tc>
              <w:tc>
                <w:tcPr>
                  <w:tcW w:w="1620" w:type="dxa"/>
                  <w:tcBorders>
                    <w:top w:val="nil"/>
                    <w:left w:val="nil"/>
                    <w:bottom w:val="nil"/>
                    <w:right w:val="nil"/>
                  </w:tcBorders>
                  <w:shd w:val="clear" w:color="auto" w:fill="auto"/>
                  <w:noWrap/>
                  <w:vAlign w:val="bottom"/>
                  <w:hideMark/>
                </w:tcPr>
                <w:p w14:paraId="2E6DD75F"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0.005608</w:t>
                  </w:r>
                </w:p>
              </w:tc>
              <w:tc>
                <w:tcPr>
                  <w:tcW w:w="1620" w:type="dxa"/>
                  <w:tcBorders>
                    <w:top w:val="nil"/>
                    <w:left w:val="nil"/>
                    <w:bottom w:val="nil"/>
                    <w:right w:val="nil"/>
                  </w:tcBorders>
                  <w:shd w:val="clear" w:color="auto" w:fill="auto"/>
                  <w:noWrap/>
                  <w:vAlign w:val="bottom"/>
                  <w:hideMark/>
                </w:tcPr>
                <w:p w14:paraId="46EC25D0"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0.022648</w:t>
                  </w:r>
                </w:p>
              </w:tc>
            </w:tr>
            <w:tr w:rsidR="00745DF8" w:rsidRPr="00745DF8" w14:paraId="4031E7A0" w14:textId="77777777" w:rsidTr="00745DF8">
              <w:trPr>
                <w:trHeight w:val="288"/>
              </w:trPr>
              <w:tc>
                <w:tcPr>
                  <w:tcW w:w="1242" w:type="dxa"/>
                  <w:tcBorders>
                    <w:top w:val="nil"/>
                    <w:left w:val="nil"/>
                    <w:bottom w:val="nil"/>
                    <w:right w:val="nil"/>
                  </w:tcBorders>
                  <w:shd w:val="clear" w:color="auto" w:fill="auto"/>
                  <w:noWrap/>
                  <w:vAlign w:val="bottom"/>
                  <w:hideMark/>
                </w:tcPr>
                <w:p w14:paraId="23810B61"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12</w:t>
                  </w:r>
                </w:p>
              </w:tc>
              <w:tc>
                <w:tcPr>
                  <w:tcW w:w="1620" w:type="dxa"/>
                  <w:tcBorders>
                    <w:top w:val="nil"/>
                    <w:left w:val="nil"/>
                    <w:bottom w:val="nil"/>
                    <w:right w:val="nil"/>
                  </w:tcBorders>
                  <w:shd w:val="clear" w:color="auto" w:fill="auto"/>
                  <w:noWrap/>
                  <w:vAlign w:val="bottom"/>
                  <w:hideMark/>
                </w:tcPr>
                <w:p w14:paraId="289E4335"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0.005900</w:t>
                  </w:r>
                </w:p>
              </w:tc>
              <w:tc>
                <w:tcPr>
                  <w:tcW w:w="1620" w:type="dxa"/>
                  <w:tcBorders>
                    <w:top w:val="nil"/>
                    <w:left w:val="nil"/>
                    <w:bottom w:val="nil"/>
                    <w:right w:val="nil"/>
                  </w:tcBorders>
                  <w:shd w:val="clear" w:color="auto" w:fill="auto"/>
                  <w:noWrap/>
                  <w:vAlign w:val="bottom"/>
                  <w:hideMark/>
                </w:tcPr>
                <w:p w14:paraId="5A852038"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0.025741</w:t>
                  </w:r>
                </w:p>
              </w:tc>
            </w:tr>
            <w:tr w:rsidR="00745DF8" w:rsidRPr="00745DF8" w14:paraId="21F99C91" w14:textId="77777777" w:rsidTr="00745DF8">
              <w:trPr>
                <w:trHeight w:val="288"/>
              </w:trPr>
              <w:tc>
                <w:tcPr>
                  <w:tcW w:w="1242" w:type="dxa"/>
                  <w:tcBorders>
                    <w:top w:val="nil"/>
                    <w:left w:val="nil"/>
                    <w:bottom w:val="nil"/>
                    <w:right w:val="nil"/>
                  </w:tcBorders>
                  <w:shd w:val="clear" w:color="auto" w:fill="auto"/>
                  <w:noWrap/>
                  <w:vAlign w:val="bottom"/>
                  <w:hideMark/>
                </w:tcPr>
                <w:p w14:paraId="558FB273"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13</w:t>
                  </w:r>
                </w:p>
              </w:tc>
              <w:tc>
                <w:tcPr>
                  <w:tcW w:w="1620" w:type="dxa"/>
                  <w:tcBorders>
                    <w:top w:val="nil"/>
                    <w:left w:val="nil"/>
                    <w:bottom w:val="nil"/>
                    <w:right w:val="nil"/>
                  </w:tcBorders>
                  <w:shd w:val="clear" w:color="auto" w:fill="auto"/>
                  <w:noWrap/>
                  <w:vAlign w:val="bottom"/>
                  <w:hideMark/>
                </w:tcPr>
                <w:p w14:paraId="04BDD101"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0.006257</w:t>
                  </w:r>
                </w:p>
              </w:tc>
              <w:tc>
                <w:tcPr>
                  <w:tcW w:w="1620" w:type="dxa"/>
                  <w:tcBorders>
                    <w:top w:val="nil"/>
                    <w:left w:val="nil"/>
                    <w:bottom w:val="nil"/>
                    <w:right w:val="nil"/>
                  </w:tcBorders>
                  <w:shd w:val="clear" w:color="auto" w:fill="auto"/>
                  <w:noWrap/>
                  <w:vAlign w:val="bottom"/>
                  <w:hideMark/>
                </w:tcPr>
                <w:p w14:paraId="0107C412"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0.029162</w:t>
                  </w:r>
                </w:p>
              </w:tc>
            </w:tr>
            <w:tr w:rsidR="00745DF8" w:rsidRPr="00745DF8" w14:paraId="6D2C109B" w14:textId="77777777" w:rsidTr="00745DF8">
              <w:trPr>
                <w:trHeight w:val="288"/>
              </w:trPr>
              <w:tc>
                <w:tcPr>
                  <w:tcW w:w="1242" w:type="dxa"/>
                  <w:tcBorders>
                    <w:top w:val="nil"/>
                    <w:left w:val="nil"/>
                    <w:bottom w:val="nil"/>
                    <w:right w:val="nil"/>
                  </w:tcBorders>
                  <w:shd w:val="clear" w:color="auto" w:fill="auto"/>
                  <w:noWrap/>
                  <w:vAlign w:val="bottom"/>
                  <w:hideMark/>
                </w:tcPr>
                <w:p w14:paraId="7FF818BA"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14</w:t>
                  </w:r>
                </w:p>
              </w:tc>
              <w:tc>
                <w:tcPr>
                  <w:tcW w:w="1620" w:type="dxa"/>
                  <w:tcBorders>
                    <w:top w:val="nil"/>
                    <w:left w:val="nil"/>
                    <w:bottom w:val="nil"/>
                    <w:right w:val="nil"/>
                  </w:tcBorders>
                  <w:shd w:val="clear" w:color="auto" w:fill="auto"/>
                  <w:noWrap/>
                  <w:vAlign w:val="bottom"/>
                  <w:hideMark/>
                </w:tcPr>
                <w:p w14:paraId="6BD989CC"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0.006692</w:t>
                  </w:r>
                </w:p>
              </w:tc>
              <w:tc>
                <w:tcPr>
                  <w:tcW w:w="1620" w:type="dxa"/>
                  <w:tcBorders>
                    <w:top w:val="nil"/>
                    <w:left w:val="nil"/>
                    <w:bottom w:val="nil"/>
                    <w:right w:val="nil"/>
                  </w:tcBorders>
                  <w:shd w:val="clear" w:color="auto" w:fill="auto"/>
                  <w:noWrap/>
                  <w:vAlign w:val="bottom"/>
                  <w:hideMark/>
                </w:tcPr>
                <w:p w14:paraId="138840D6"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0.033420</w:t>
                  </w:r>
                </w:p>
              </w:tc>
            </w:tr>
            <w:tr w:rsidR="00745DF8" w:rsidRPr="00745DF8" w14:paraId="466ACD49" w14:textId="77777777" w:rsidTr="00745DF8">
              <w:trPr>
                <w:trHeight w:val="288"/>
              </w:trPr>
              <w:tc>
                <w:tcPr>
                  <w:tcW w:w="1242" w:type="dxa"/>
                  <w:tcBorders>
                    <w:top w:val="nil"/>
                    <w:left w:val="nil"/>
                    <w:bottom w:val="nil"/>
                    <w:right w:val="nil"/>
                  </w:tcBorders>
                  <w:shd w:val="clear" w:color="auto" w:fill="auto"/>
                  <w:noWrap/>
                  <w:vAlign w:val="bottom"/>
                  <w:hideMark/>
                </w:tcPr>
                <w:p w14:paraId="4E85F35C"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15</w:t>
                  </w:r>
                </w:p>
              </w:tc>
              <w:tc>
                <w:tcPr>
                  <w:tcW w:w="1620" w:type="dxa"/>
                  <w:tcBorders>
                    <w:top w:val="nil"/>
                    <w:left w:val="nil"/>
                    <w:bottom w:val="nil"/>
                    <w:right w:val="nil"/>
                  </w:tcBorders>
                  <w:shd w:val="clear" w:color="auto" w:fill="auto"/>
                  <w:noWrap/>
                  <w:vAlign w:val="bottom"/>
                  <w:hideMark/>
                </w:tcPr>
                <w:p w14:paraId="03D5DD61"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0.007197</w:t>
                  </w:r>
                </w:p>
              </w:tc>
              <w:tc>
                <w:tcPr>
                  <w:tcW w:w="1620" w:type="dxa"/>
                  <w:tcBorders>
                    <w:top w:val="nil"/>
                    <w:left w:val="nil"/>
                    <w:bottom w:val="nil"/>
                    <w:right w:val="nil"/>
                  </w:tcBorders>
                  <w:shd w:val="clear" w:color="auto" w:fill="auto"/>
                  <w:noWrap/>
                  <w:vAlign w:val="bottom"/>
                  <w:hideMark/>
                </w:tcPr>
                <w:p w14:paraId="3E9A7442"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0.038347</w:t>
                  </w:r>
                </w:p>
              </w:tc>
            </w:tr>
            <w:tr w:rsidR="00745DF8" w:rsidRPr="00745DF8" w14:paraId="40EB3E39" w14:textId="77777777" w:rsidTr="00745DF8">
              <w:trPr>
                <w:trHeight w:val="288"/>
              </w:trPr>
              <w:tc>
                <w:tcPr>
                  <w:tcW w:w="1242" w:type="dxa"/>
                  <w:tcBorders>
                    <w:top w:val="nil"/>
                    <w:left w:val="nil"/>
                    <w:bottom w:val="nil"/>
                    <w:right w:val="nil"/>
                  </w:tcBorders>
                  <w:shd w:val="clear" w:color="auto" w:fill="auto"/>
                  <w:noWrap/>
                  <w:vAlign w:val="bottom"/>
                  <w:hideMark/>
                </w:tcPr>
                <w:p w14:paraId="0A524409"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16</w:t>
                  </w:r>
                </w:p>
              </w:tc>
              <w:tc>
                <w:tcPr>
                  <w:tcW w:w="1620" w:type="dxa"/>
                  <w:tcBorders>
                    <w:top w:val="nil"/>
                    <w:left w:val="nil"/>
                    <w:bottom w:val="nil"/>
                    <w:right w:val="nil"/>
                  </w:tcBorders>
                  <w:shd w:val="clear" w:color="auto" w:fill="auto"/>
                  <w:noWrap/>
                  <w:vAlign w:val="bottom"/>
                  <w:hideMark/>
                </w:tcPr>
                <w:p w14:paraId="1108D0EF"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0.007755</w:t>
                  </w:r>
                </w:p>
              </w:tc>
              <w:tc>
                <w:tcPr>
                  <w:tcW w:w="1620" w:type="dxa"/>
                  <w:tcBorders>
                    <w:top w:val="nil"/>
                    <w:left w:val="nil"/>
                    <w:bottom w:val="nil"/>
                    <w:right w:val="nil"/>
                  </w:tcBorders>
                  <w:shd w:val="clear" w:color="auto" w:fill="auto"/>
                  <w:noWrap/>
                  <w:vAlign w:val="bottom"/>
                  <w:hideMark/>
                </w:tcPr>
                <w:p w14:paraId="1A441520"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0.043430</w:t>
                  </w:r>
                </w:p>
              </w:tc>
            </w:tr>
            <w:tr w:rsidR="00745DF8" w:rsidRPr="00745DF8" w14:paraId="23062C43" w14:textId="77777777" w:rsidTr="00745DF8">
              <w:trPr>
                <w:trHeight w:val="288"/>
              </w:trPr>
              <w:tc>
                <w:tcPr>
                  <w:tcW w:w="1242" w:type="dxa"/>
                  <w:tcBorders>
                    <w:top w:val="nil"/>
                    <w:left w:val="nil"/>
                    <w:bottom w:val="nil"/>
                    <w:right w:val="nil"/>
                  </w:tcBorders>
                  <w:shd w:val="clear" w:color="auto" w:fill="auto"/>
                  <w:noWrap/>
                  <w:vAlign w:val="bottom"/>
                  <w:hideMark/>
                </w:tcPr>
                <w:p w14:paraId="1BBEE321"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17</w:t>
                  </w:r>
                </w:p>
              </w:tc>
              <w:tc>
                <w:tcPr>
                  <w:tcW w:w="1620" w:type="dxa"/>
                  <w:tcBorders>
                    <w:top w:val="nil"/>
                    <w:left w:val="nil"/>
                    <w:bottom w:val="nil"/>
                    <w:right w:val="nil"/>
                  </w:tcBorders>
                  <w:shd w:val="clear" w:color="auto" w:fill="auto"/>
                  <w:noWrap/>
                  <w:vAlign w:val="bottom"/>
                  <w:hideMark/>
                </w:tcPr>
                <w:p w14:paraId="051C3B57"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0.008360</w:t>
                  </w:r>
                </w:p>
              </w:tc>
              <w:tc>
                <w:tcPr>
                  <w:tcW w:w="1620" w:type="dxa"/>
                  <w:tcBorders>
                    <w:top w:val="nil"/>
                    <w:left w:val="nil"/>
                    <w:bottom w:val="nil"/>
                    <w:right w:val="nil"/>
                  </w:tcBorders>
                  <w:shd w:val="clear" w:color="auto" w:fill="auto"/>
                  <w:noWrap/>
                  <w:vAlign w:val="bottom"/>
                  <w:hideMark/>
                </w:tcPr>
                <w:p w14:paraId="271D1D9F"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0.049589</w:t>
                  </w:r>
                </w:p>
              </w:tc>
            </w:tr>
            <w:tr w:rsidR="00745DF8" w:rsidRPr="00745DF8" w14:paraId="35EABF81" w14:textId="77777777" w:rsidTr="00745DF8">
              <w:trPr>
                <w:trHeight w:val="288"/>
              </w:trPr>
              <w:tc>
                <w:tcPr>
                  <w:tcW w:w="1242" w:type="dxa"/>
                  <w:tcBorders>
                    <w:top w:val="nil"/>
                    <w:left w:val="nil"/>
                    <w:bottom w:val="nil"/>
                    <w:right w:val="nil"/>
                  </w:tcBorders>
                  <w:shd w:val="clear" w:color="auto" w:fill="auto"/>
                  <w:noWrap/>
                  <w:vAlign w:val="bottom"/>
                  <w:hideMark/>
                </w:tcPr>
                <w:p w14:paraId="3EDCD577"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18</w:t>
                  </w:r>
                </w:p>
              </w:tc>
              <w:tc>
                <w:tcPr>
                  <w:tcW w:w="1620" w:type="dxa"/>
                  <w:tcBorders>
                    <w:top w:val="nil"/>
                    <w:left w:val="nil"/>
                    <w:bottom w:val="nil"/>
                    <w:right w:val="nil"/>
                  </w:tcBorders>
                  <w:shd w:val="clear" w:color="auto" w:fill="auto"/>
                  <w:noWrap/>
                  <w:vAlign w:val="bottom"/>
                  <w:hideMark/>
                </w:tcPr>
                <w:p w14:paraId="38F608E1"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0.009015</w:t>
                  </w:r>
                </w:p>
              </w:tc>
              <w:tc>
                <w:tcPr>
                  <w:tcW w:w="1620" w:type="dxa"/>
                  <w:tcBorders>
                    <w:top w:val="nil"/>
                    <w:left w:val="nil"/>
                    <w:bottom w:val="nil"/>
                    <w:right w:val="nil"/>
                  </w:tcBorders>
                  <w:shd w:val="clear" w:color="auto" w:fill="auto"/>
                  <w:noWrap/>
                  <w:vAlign w:val="bottom"/>
                  <w:hideMark/>
                </w:tcPr>
                <w:p w14:paraId="51BF60A0"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0.056425</w:t>
                  </w:r>
                </w:p>
              </w:tc>
            </w:tr>
            <w:tr w:rsidR="00745DF8" w:rsidRPr="00745DF8" w14:paraId="327B2B2D" w14:textId="77777777" w:rsidTr="00745DF8">
              <w:trPr>
                <w:trHeight w:val="288"/>
              </w:trPr>
              <w:tc>
                <w:tcPr>
                  <w:tcW w:w="1242" w:type="dxa"/>
                  <w:tcBorders>
                    <w:top w:val="nil"/>
                    <w:left w:val="nil"/>
                    <w:bottom w:val="nil"/>
                    <w:right w:val="nil"/>
                  </w:tcBorders>
                  <w:shd w:val="clear" w:color="auto" w:fill="auto"/>
                  <w:noWrap/>
                  <w:vAlign w:val="bottom"/>
                  <w:hideMark/>
                </w:tcPr>
                <w:p w14:paraId="09C1887D"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19</w:t>
                  </w:r>
                </w:p>
              </w:tc>
              <w:tc>
                <w:tcPr>
                  <w:tcW w:w="1620" w:type="dxa"/>
                  <w:tcBorders>
                    <w:top w:val="nil"/>
                    <w:left w:val="nil"/>
                    <w:bottom w:val="nil"/>
                    <w:right w:val="nil"/>
                  </w:tcBorders>
                  <w:shd w:val="clear" w:color="auto" w:fill="auto"/>
                  <w:noWrap/>
                  <w:vAlign w:val="bottom"/>
                  <w:hideMark/>
                </w:tcPr>
                <w:p w14:paraId="609DE7F8"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0.009729</w:t>
                  </w:r>
                </w:p>
              </w:tc>
              <w:tc>
                <w:tcPr>
                  <w:tcW w:w="1620" w:type="dxa"/>
                  <w:tcBorders>
                    <w:top w:val="nil"/>
                    <w:left w:val="nil"/>
                    <w:bottom w:val="nil"/>
                    <w:right w:val="nil"/>
                  </w:tcBorders>
                  <w:shd w:val="clear" w:color="auto" w:fill="auto"/>
                  <w:noWrap/>
                  <w:vAlign w:val="bottom"/>
                  <w:hideMark/>
                </w:tcPr>
                <w:p w14:paraId="24D8F6A7"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0.063959</w:t>
                  </w:r>
                </w:p>
              </w:tc>
            </w:tr>
            <w:tr w:rsidR="00745DF8" w:rsidRPr="00745DF8" w14:paraId="003F97C9" w14:textId="77777777" w:rsidTr="00745DF8">
              <w:trPr>
                <w:trHeight w:val="288"/>
              </w:trPr>
              <w:tc>
                <w:tcPr>
                  <w:tcW w:w="1242" w:type="dxa"/>
                  <w:tcBorders>
                    <w:top w:val="nil"/>
                    <w:left w:val="nil"/>
                    <w:bottom w:val="nil"/>
                    <w:right w:val="nil"/>
                  </w:tcBorders>
                  <w:shd w:val="clear" w:color="auto" w:fill="auto"/>
                  <w:noWrap/>
                  <w:vAlign w:val="bottom"/>
                  <w:hideMark/>
                </w:tcPr>
                <w:p w14:paraId="3A343444"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20</w:t>
                  </w:r>
                </w:p>
              </w:tc>
              <w:tc>
                <w:tcPr>
                  <w:tcW w:w="1620" w:type="dxa"/>
                  <w:tcBorders>
                    <w:top w:val="nil"/>
                    <w:left w:val="nil"/>
                    <w:bottom w:val="nil"/>
                    <w:right w:val="nil"/>
                  </w:tcBorders>
                  <w:shd w:val="clear" w:color="auto" w:fill="auto"/>
                  <w:noWrap/>
                  <w:vAlign w:val="bottom"/>
                  <w:hideMark/>
                </w:tcPr>
                <w:p w14:paraId="7FC5E326"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0.010523</w:t>
                  </w:r>
                </w:p>
              </w:tc>
              <w:tc>
                <w:tcPr>
                  <w:tcW w:w="1620" w:type="dxa"/>
                  <w:tcBorders>
                    <w:top w:val="nil"/>
                    <w:left w:val="nil"/>
                    <w:bottom w:val="nil"/>
                    <w:right w:val="nil"/>
                  </w:tcBorders>
                  <w:shd w:val="clear" w:color="auto" w:fill="auto"/>
                  <w:noWrap/>
                  <w:vAlign w:val="bottom"/>
                  <w:hideMark/>
                </w:tcPr>
                <w:p w14:paraId="65A82FD3"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0.071050</w:t>
                  </w:r>
                </w:p>
              </w:tc>
            </w:tr>
            <w:tr w:rsidR="00745DF8" w:rsidRPr="00745DF8" w14:paraId="2546C240" w14:textId="77777777" w:rsidTr="00745DF8">
              <w:trPr>
                <w:trHeight w:val="288"/>
              </w:trPr>
              <w:tc>
                <w:tcPr>
                  <w:tcW w:w="1242" w:type="dxa"/>
                  <w:tcBorders>
                    <w:top w:val="nil"/>
                    <w:left w:val="nil"/>
                    <w:bottom w:val="nil"/>
                    <w:right w:val="nil"/>
                  </w:tcBorders>
                  <w:shd w:val="clear" w:color="auto" w:fill="auto"/>
                  <w:noWrap/>
                  <w:vAlign w:val="bottom"/>
                  <w:hideMark/>
                </w:tcPr>
                <w:p w14:paraId="22AE9D3D"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21</w:t>
                  </w:r>
                </w:p>
              </w:tc>
              <w:tc>
                <w:tcPr>
                  <w:tcW w:w="1620" w:type="dxa"/>
                  <w:tcBorders>
                    <w:top w:val="nil"/>
                    <w:left w:val="nil"/>
                    <w:bottom w:val="nil"/>
                    <w:right w:val="nil"/>
                  </w:tcBorders>
                  <w:shd w:val="clear" w:color="auto" w:fill="auto"/>
                  <w:noWrap/>
                  <w:vAlign w:val="bottom"/>
                  <w:hideMark/>
                </w:tcPr>
                <w:p w14:paraId="1FD2EEE0"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0.011434</w:t>
                  </w:r>
                </w:p>
              </w:tc>
              <w:tc>
                <w:tcPr>
                  <w:tcW w:w="1620" w:type="dxa"/>
                  <w:tcBorders>
                    <w:top w:val="nil"/>
                    <w:left w:val="nil"/>
                    <w:bottom w:val="nil"/>
                    <w:right w:val="nil"/>
                  </w:tcBorders>
                  <w:shd w:val="clear" w:color="auto" w:fill="auto"/>
                  <w:noWrap/>
                  <w:vAlign w:val="bottom"/>
                  <w:hideMark/>
                </w:tcPr>
                <w:p w14:paraId="7A22D4B3"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0.079783</w:t>
                  </w:r>
                </w:p>
              </w:tc>
            </w:tr>
            <w:tr w:rsidR="00745DF8" w:rsidRPr="00745DF8" w14:paraId="600383C0" w14:textId="77777777" w:rsidTr="00745DF8">
              <w:trPr>
                <w:trHeight w:val="288"/>
              </w:trPr>
              <w:tc>
                <w:tcPr>
                  <w:tcW w:w="1242" w:type="dxa"/>
                  <w:tcBorders>
                    <w:top w:val="nil"/>
                    <w:left w:val="nil"/>
                    <w:bottom w:val="nil"/>
                    <w:right w:val="nil"/>
                  </w:tcBorders>
                  <w:shd w:val="clear" w:color="auto" w:fill="auto"/>
                  <w:noWrap/>
                  <w:vAlign w:val="bottom"/>
                  <w:hideMark/>
                </w:tcPr>
                <w:p w14:paraId="2696E865"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22</w:t>
                  </w:r>
                </w:p>
              </w:tc>
              <w:tc>
                <w:tcPr>
                  <w:tcW w:w="1620" w:type="dxa"/>
                  <w:tcBorders>
                    <w:top w:val="nil"/>
                    <w:left w:val="nil"/>
                    <w:bottom w:val="nil"/>
                    <w:right w:val="nil"/>
                  </w:tcBorders>
                  <w:shd w:val="clear" w:color="auto" w:fill="auto"/>
                  <w:noWrap/>
                  <w:vAlign w:val="bottom"/>
                  <w:hideMark/>
                </w:tcPr>
                <w:p w14:paraId="065E27B0"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0.012484</w:t>
                  </w:r>
                </w:p>
              </w:tc>
              <w:tc>
                <w:tcPr>
                  <w:tcW w:w="1620" w:type="dxa"/>
                  <w:tcBorders>
                    <w:top w:val="nil"/>
                    <w:left w:val="nil"/>
                    <w:bottom w:val="nil"/>
                    <w:right w:val="nil"/>
                  </w:tcBorders>
                  <w:shd w:val="clear" w:color="auto" w:fill="auto"/>
                  <w:noWrap/>
                  <w:vAlign w:val="bottom"/>
                  <w:hideMark/>
                </w:tcPr>
                <w:p w14:paraId="652538DE"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0.087482</w:t>
                  </w:r>
                </w:p>
              </w:tc>
            </w:tr>
            <w:tr w:rsidR="00745DF8" w:rsidRPr="00745DF8" w14:paraId="43295510" w14:textId="77777777" w:rsidTr="00745DF8">
              <w:trPr>
                <w:trHeight w:val="288"/>
              </w:trPr>
              <w:tc>
                <w:tcPr>
                  <w:tcW w:w="1242" w:type="dxa"/>
                  <w:tcBorders>
                    <w:top w:val="nil"/>
                    <w:left w:val="nil"/>
                    <w:bottom w:val="nil"/>
                    <w:right w:val="nil"/>
                  </w:tcBorders>
                  <w:shd w:val="clear" w:color="auto" w:fill="auto"/>
                  <w:noWrap/>
                  <w:vAlign w:val="bottom"/>
                  <w:hideMark/>
                </w:tcPr>
                <w:p w14:paraId="01E23432"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23</w:t>
                  </w:r>
                </w:p>
              </w:tc>
              <w:tc>
                <w:tcPr>
                  <w:tcW w:w="1620" w:type="dxa"/>
                  <w:tcBorders>
                    <w:top w:val="nil"/>
                    <w:left w:val="nil"/>
                    <w:bottom w:val="nil"/>
                    <w:right w:val="nil"/>
                  </w:tcBorders>
                  <w:shd w:val="clear" w:color="auto" w:fill="auto"/>
                  <w:noWrap/>
                  <w:vAlign w:val="bottom"/>
                  <w:hideMark/>
                </w:tcPr>
                <w:p w14:paraId="5DF914AA"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0.013687</w:t>
                  </w:r>
                </w:p>
              </w:tc>
              <w:tc>
                <w:tcPr>
                  <w:tcW w:w="1620" w:type="dxa"/>
                  <w:tcBorders>
                    <w:top w:val="nil"/>
                    <w:left w:val="nil"/>
                    <w:bottom w:val="nil"/>
                    <w:right w:val="nil"/>
                  </w:tcBorders>
                  <w:shd w:val="clear" w:color="auto" w:fill="auto"/>
                  <w:noWrap/>
                  <w:vAlign w:val="bottom"/>
                  <w:hideMark/>
                </w:tcPr>
                <w:p w14:paraId="379AA7EF"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0.097524</w:t>
                  </w:r>
                </w:p>
              </w:tc>
            </w:tr>
            <w:tr w:rsidR="00745DF8" w:rsidRPr="00745DF8" w14:paraId="5BC3E989" w14:textId="77777777" w:rsidTr="00745DF8">
              <w:trPr>
                <w:trHeight w:val="288"/>
              </w:trPr>
              <w:tc>
                <w:tcPr>
                  <w:tcW w:w="1242" w:type="dxa"/>
                  <w:tcBorders>
                    <w:top w:val="nil"/>
                    <w:left w:val="nil"/>
                    <w:bottom w:val="nil"/>
                    <w:right w:val="nil"/>
                  </w:tcBorders>
                  <w:shd w:val="clear" w:color="auto" w:fill="auto"/>
                  <w:noWrap/>
                  <w:vAlign w:val="bottom"/>
                  <w:hideMark/>
                </w:tcPr>
                <w:p w14:paraId="23B12D77"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24</w:t>
                  </w:r>
                </w:p>
              </w:tc>
              <w:tc>
                <w:tcPr>
                  <w:tcW w:w="1620" w:type="dxa"/>
                  <w:tcBorders>
                    <w:top w:val="nil"/>
                    <w:left w:val="nil"/>
                    <w:bottom w:val="nil"/>
                    <w:right w:val="nil"/>
                  </w:tcBorders>
                  <w:shd w:val="clear" w:color="auto" w:fill="auto"/>
                  <w:noWrap/>
                  <w:vAlign w:val="bottom"/>
                  <w:hideMark/>
                </w:tcPr>
                <w:p w14:paraId="5F2A0239"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0.015073</w:t>
                  </w:r>
                </w:p>
              </w:tc>
              <w:tc>
                <w:tcPr>
                  <w:tcW w:w="1620" w:type="dxa"/>
                  <w:tcBorders>
                    <w:top w:val="nil"/>
                    <w:left w:val="nil"/>
                    <w:bottom w:val="nil"/>
                    <w:right w:val="nil"/>
                  </w:tcBorders>
                  <w:shd w:val="clear" w:color="auto" w:fill="auto"/>
                  <w:noWrap/>
                  <w:vAlign w:val="bottom"/>
                  <w:hideMark/>
                </w:tcPr>
                <w:p w14:paraId="69A4364C"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0.106926</w:t>
                  </w:r>
                </w:p>
              </w:tc>
            </w:tr>
            <w:tr w:rsidR="00745DF8" w:rsidRPr="00745DF8" w14:paraId="2683E5F5" w14:textId="77777777" w:rsidTr="00745DF8">
              <w:trPr>
                <w:trHeight w:val="288"/>
              </w:trPr>
              <w:tc>
                <w:tcPr>
                  <w:tcW w:w="1242" w:type="dxa"/>
                  <w:tcBorders>
                    <w:top w:val="nil"/>
                    <w:left w:val="nil"/>
                    <w:bottom w:val="nil"/>
                    <w:right w:val="nil"/>
                  </w:tcBorders>
                  <w:shd w:val="clear" w:color="auto" w:fill="auto"/>
                  <w:noWrap/>
                  <w:vAlign w:val="bottom"/>
                  <w:hideMark/>
                </w:tcPr>
                <w:p w14:paraId="05E30424"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25</w:t>
                  </w:r>
                </w:p>
              </w:tc>
              <w:tc>
                <w:tcPr>
                  <w:tcW w:w="1620" w:type="dxa"/>
                  <w:tcBorders>
                    <w:top w:val="nil"/>
                    <w:left w:val="nil"/>
                    <w:bottom w:val="nil"/>
                    <w:right w:val="nil"/>
                  </w:tcBorders>
                  <w:shd w:val="clear" w:color="auto" w:fill="auto"/>
                  <w:noWrap/>
                  <w:vAlign w:val="bottom"/>
                  <w:hideMark/>
                </w:tcPr>
                <w:p w14:paraId="7122849C"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0.016691</w:t>
                  </w:r>
                </w:p>
              </w:tc>
              <w:tc>
                <w:tcPr>
                  <w:tcW w:w="1620" w:type="dxa"/>
                  <w:tcBorders>
                    <w:top w:val="nil"/>
                    <w:left w:val="nil"/>
                    <w:bottom w:val="nil"/>
                    <w:right w:val="nil"/>
                  </w:tcBorders>
                  <w:shd w:val="clear" w:color="auto" w:fill="auto"/>
                  <w:noWrap/>
                  <w:vAlign w:val="bottom"/>
                  <w:hideMark/>
                </w:tcPr>
                <w:p w14:paraId="544642F7"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0.120397</w:t>
                  </w:r>
                </w:p>
              </w:tc>
            </w:tr>
            <w:tr w:rsidR="00745DF8" w:rsidRPr="00745DF8" w14:paraId="019491BF" w14:textId="77777777" w:rsidTr="00745DF8">
              <w:trPr>
                <w:trHeight w:val="288"/>
              </w:trPr>
              <w:tc>
                <w:tcPr>
                  <w:tcW w:w="1242" w:type="dxa"/>
                  <w:tcBorders>
                    <w:top w:val="nil"/>
                    <w:left w:val="nil"/>
                    <w:bottom w:val="nil"/>
                    <w:right w:val="nil"/>
                  </w:tcBorders>
                  <w:shd w:val="clear" w:color="auto" w:fill="auto"/>
                  <w:noWrap/>
                  <w:vAlign w:val="bottom"/>
                  <w:hideMark/>
                </w:tcPr>
                <w:p w14:paraId="2D19B4E2"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26</w:t>
                  </w:r>
                </w:p>
              </w:tc>
              <w:tc>
                <w:tcPr>
                  <w:tcW w:w="1620" w:type="dxa"/>
                  <w:tcBorders>
                    <w:top w:val="nil"/>
                    <w:left w:val="nil"/>
                    <w:bottom w:val="nil"/>
                    <w:right w:val="nil"/>
                  </w:tcBorders>
                  <w:shd w:val="clear" w:color="auto" w:fill="auto"/>
                  <w:noWrap/>
                  <w:vAlign w:val="bottom"/>
                  <w:hideMark/>
                </w:tcPr>
                <w:p w14:paraId="4E3D0383"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0.018612</w:t>
                  </w:r>
                </w:p>
              </w:tc>
              <w:tc>
                <w:tcPr>
                  <w:tcW w:w="1620" w:type="dxa"/>
                  <w:tcBorders>
                    <w:top w:val="nil"/>
                    <w:left w:val="nil"/>
                    <w:bottom w:val="nil"/>
                    <w:right w:val="nil"/>
                  </w:tcBorders>
                  <w:shd w:val="clear" w:color="auto" w:fill="auto"/>
                  <w:noWrap/>
                  <w:vAlign w:val="bottom"/>
                  <w:hideMark/>
                </w:tcPr>
                <w:p w14:paraId="15BCA863"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0.134089</w:t>
                  </w:r>
                </w:p>
              </w:tc>
            </w:tr>
            <w:tr w:rsidR="00745DF8" w:rsidRPr="00745DF8" w14:paraId="4BFEACA4" w14:textId="77777777" w:rsidTr="00745DF8">
              <w:trPr>
                <w:trHeight w:val="288"/>
              </w:trPr>
              <w:tc>
                <w:tcPr>
                  <w:tcW w:w="1242" w:type="dxa"/>
                  <w:tcBorders>
                    <w:top w:val="nil"/>
                    <w:left w:val="nil"/>
                    <w:bottom w:val="nil"/>
                    <w:right w:val="nil"/>
                  </w:tcBorders>
                  <w:shd w:val="clear" w:color="auto" w:fill="auto"/>
                  <w:noWrap/>
                  <w:vAlign w:val="bottom"/>
                  <w:hideMark/>
                </w:tcPr>
                <w:p w14:paraId="3BA7ED35"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27</w:t>
                  </w:r>
                </w:p>
              </w:tc>
              <w:tc>
                <w:tcPr>
                  <w:tcW w:w="1620" w:type="dxa"/>
                  <w:tcBorders>
                    <w:top w:val="nil"/>
                    <w:left w:val="nil"/>
                    <w:bottom w:val="nil"/>
                    <w:right w:val="nil"/>
                  </w:tcBorders>
                  <w:shd w:val="clear" w:color="auto" w:fill="auto"/>
                  <w:noWrap/>
                  <w:vAlign w:val="bottom"/>
                  <w:hideMark/>
                </w:tcPr>
                <w:p w14:paraId="3443D329"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0.021477</w:t>
                  </w:r>
                </w:p>
              </w:tc>
              <w:tc>
                <w:tcPr>
                  <w:tcW w:w="1620" w:type="dxa"/>
                  <w:tcBorders>
                    <w:top w:val="nil"/>
                    <w:left w:val="nil"/>
                    <w:bottom w:val="nil"/>
                    <w:right w:val="nil"/>
                  </w:tcBorders>
                  <w:shd w:val="clear" w:color="auto" w:fill="auto"/>
                  <w:noWrap/>
                  <w:vAlign w:val="bottom"/>
                  <w:hideMark/>
                </w:tcPr>
                <w:p w14:paraId="2908A716"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0.149474</w:t>
                  </w:r>
                </w:p>
              </w:tc>
            </w:tr>
            <w:tr w:rsidR="00745DF8" w:rsidRPr="00745DF8" w14:paraId="2D0C285E" w14:textId="77777777" w:rsidTr="00745DF8">
              <w:trPr>
                <w:trHeight w:val="288"/>
              </w:trPr>
              <w:tc>
                <w:tcPr>
                  <w:tcW w:w="1242" w:type="dxa"/>
                  <w:tcBorders>
                    <w:top w:val="nil"/>
                    <w:left w:val="nil"/>
                    <w:bottom w:val="nil"/>
                    <w:right w:val="nil"/>
                  </w:tcBorders>
                  <w:shd w:val="clear" w:color="auto" w:fill="auto"/>
                  <w:noWrap/>
                  <w:vAlign w:val="bottom"/>
                  <w:hideMark/>
                </w:tcPr>
                <w:p w14:paraId="0431EB85"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28</w:t>
                  </w:r>
                </w:p>
              </w:tc>
              <w:tc>
                <w:tcPr>
                  <w:tcW w:w="1620" w:type="dxa"/>
                  <w:tcBorders>
                    <w:top w:val="nil"/>
                    <w:left w:val="nil"/>
                    <w:bottom w:val="nil"/>
                    <w:right w:val="nil"/>
                  </w:tcBorders>
                  <w:shd w:val="clear" w:color="auto" w:fill="auto"/>
                  <w:noWrap/>
                  <w:vAlign w:val="bottom"/>
                  <w:hideMark/>
                </w:tcPr>
                <w:p w14:paraId="0A24FBED"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0.024332</w:t>
                  </w:r>
                </w:p>
              </w:tc>
              <w:tc>
                <w:tcPr>
                  <w:tcW w:w="1620" w:type="dxa"/>
                  <w:tcBorders>
                    <w:top w:val="nil"/>
                    <w:left w:val="nil"/>
                    <w:bottom w:val="nil"/>
                    <w:right w:val="nil"/>
                  </w:tcBorders>
                  <w:shd w:val="clear" w:color="auto" w:fill="auto"/>
                  <w:noWrap/>
                  <w:vAlign w:val="bottom"/>
                  <w:hideMark/>
                </w:tcPr>
                <w:p w14:paraId="47E165D3"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0.167194</w:t>
                  </w:r>
                </w:p>
              </w:tc>
            </w:tr>
            <w:tr w:rsidR="00745DF8" w:rsidRPr="00745DF8" w14:paraId="27474208" w14:textId="77777777" w:rsidTr="00745DF8">
              <w:trPr>
                <w:trHeight w:val="288"/>
              </w:trPr>
              <w:tc>
                <w:tcPr>
                  <w:tcW w:w="1242" w:type="dxa"/>
                  <w:tcBorders>
                    <w:top w:val="nil"/>
                    <w:left w:val="nil"/>
                    <w:bottom w:val="nil"/>
                    <w:right w:val="nil"/>
                  </w:tcBorders>
                  <w:shd w:val="clear" w:color="auto" w:fill="auto"/>
                  <w:noWrap/>
                  <w:vAlign w:val="bottom"/>
                  <w:hideMark/>
                </w:tcPr>
                <w:p w14:paraId="46757A63"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29</w:t>
                  </w:r>
                </w:p>
              </w:tc>
              <w:tc>
                <w:tcPr>
                  <w:tcW w:w="1620" w:type="dxa"/>
                  <w:tcBorders>
                    <w:top w:val="nil"/>
                    <w:left w:val="nil"/>
                    <w:bottom w:val="nil"/>
                    <w:right w:val="nil"/>
                  </w:tcBorders>
                  <w:shd w:val="clear" w:color="auto" w:fill="auto"/>
                  <w:noWrap/>
                  <w:vAlign w:val="bottom"/>
                  <w:hideMark/>
                </w:tcPr>
                <w:p w14:paraId="23E4F272"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0.028311</w:t>
                  </w:r>
                </w:p>
              </w:tc>
              <w:tc>
                <w:tcPr>
                  <w:tcW w:w="1620" w:type="dxa"/>
                  <w:tcBorders>
                    <w:top w:val="nil"/>
                    <w:left w:val="nil"/>
                    <w:bottom w:val="nil"/>
                    <w:right w:val="nil"/>
                  </w:tcBorders>
                  <w:shd w:val="clear" w:color="auto" w:fill="auto"/>
                  <w:noWrap/>
                  <w:vAlign w:val="bottom"/>
                  <w:hideMark/>
                </w:tcPr>
                <w:p w14:paraId="2135C806"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0.181957</w:t>
                  </w:r>
                </w:p>
              </w:tc>
            </w:tr>
            <w:tr w:rsidR="00745DF8" w:rsidRPr="00745DF8" w14:paraId="47157571" w14:textId="77777777" w:rsidTr="00745DF8">
              <w:trPr>
                <w:trHeight w:val="288"/>
              </w:trPr>
              <w:tc>
                <w:tcPr>
                  <w:tcW w:w="1242" w:type="dxa"/>
                  <w:tcBorders>
                    <w:top w:val="nil"/>
                    <w:left w:val="nil"/>
                    <w:bottom w:val="nil"/>
                    <w:right w:val="nil"/>
                  </w:tcBorders>
                  <w:shd w:val="clear" w:color="auto" w:fill="auto"/>
                  <w:noWrap/>
                  <w:vAlign w:val="bottom"/>
                  <w:hideMark/>
                </w:tcPr>
                <w:p w14:paraId="73BCFB0E"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30</w:t>
                  </w:r>
                </w:p>
              </w:tc>
              <w:tc>
                <w:tcPr>
                  <w:tcW w:w="1620" w:type="dxa"/>
                  <w:tcBorders>
                    <w:top w:val="nil"/>
                    <w:left w:val="nil"/>
                    <w:bottom w:val="nil"/>
                    <w:right w:val="nil"/>
                  </w:tcBorders>
                  <w:shd w:val="clear" w:color="auto" w:fill="auto"/>
                  <w:noWrap/>
                  <w:vAlign w:val="bottom"/>
                  <w:hideMark/>
                </w:tcPr>
                <w:p w14:paraId="33F8333C"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0.032981</w:t>
                  </w:r>
                </w:p>
              </w:tc>
              <w:tc>
                <w:tcPr>
                  <w:tcW w:w="1620" w:type="dxa"/>
                  <w:tcBorders>
                    <w:top w:val="nil"/>
                    <w:left w:val="nil"/>
                    <w:bottom w:val="nil"/>
                    <w:right w:val="nil"/>
                  </w:tcBorders>
                  <w:shd w:val="clear" w:color="auto" w:fill="auto"/>
                  <w:noWrap/>
                  <w:vAlign w:val="bottom"/>
                  <w:hideMark/>
                </w:tcPr>
                <w:p w14:paraId="53D2550B"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0.202339</w:t>
                  </w:r>
                </w:p>
              </w:tc>
            </w:tr>
            <w:tr w:rsidR="00745DF8" w:rsidRPr="00745DF8" w14:paraId="7745D1E1" w14:textId="77777777" w:rsidTr="00745DF8">
              <w:trPr>
                <w:trHeight w:val="288"/>
              </w:trPr>
              <w:tc>
                <w:tcPr>
                  <w:tcW w:w="1242" w:type="dxa"/>
                  <w:tcBorders>
                    <w:top w:val="nil"/>
                    <w:left w:val="nil"/>
                    <w:bottom w:val="nil"/>
                    <w:right w:val="nil"/>
                  </w:tcBorders>
                  <w:shd w:val="clear" w:color="auto" w:fill="auto"/>
                  <w:noWrap/>
                  <w:vAlign w:val="bottom"/>
                  <w:hideMark/>
                </w:tcPr>
                <w:p w14:paraId="1D473FDA"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31</w:t>
                  </w:r>
                </w:p>
              </w:tc>
              <w:tc>
                <w:tcPr>
                  <w:tcW w:w="1620" w:type="dxa"/>
                  <w:tcBorders>
                    <w:top w:val="nil"/>
                    <w:left w:val="nil"/>
                    <w:bottom w:val="nil"/>
                    <w:right w:val="nil"/>
                  </w:tcBorders>
                  <w:shd w:val="clear" w:color="auto" w:fill="auto"/>
                  <w:noWrap/>
                  <w:vAlign w:val="bottom"/>
                  <w:hideMark/>
                </w:tcPr>
                <w:p w14:paraId="516952D4"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0.037353</w:t>
                  </w:r>
                </w:p>
              </w:tc>
              <w:tc>
                <w:tcPr>
                  <w:tcW w:w="1620" w:type="dxa"/>
                  <w:tcBorders>
                    <w:top w:val="nil"/>
                    <w:left w:val="nil"/>
                    <w:bottom w:val="nil"/>
                    <w:right w:val="nil"/>
                  </w:tcBorders>
                  <w:shd w:val="clear" w:color="auto" w:fill="auto"/>
                  <w:noWrap/>
                  <w:vAlign w:val="bottom"/>
                  <w:hideMark/>
                </w:tcPr>
                <w:p w14:paraId="509B778A"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0.218582</w:t>
                  </w:r>
                </w:p>
              </w:tc>
            </w:tr>
            <w:tr w:rsidR="00745DF8" w:rsidRPr="00745DF8" w14:paraId="5AA87F4D" w14:textId="77777777" w:rsidTr="00745DF8">
              <w:trPr>
                <w:trHeight w:val="288"/>
              </w:trPr>
              <w:tc>
                <w:tcPr>
                  <w:tcW w:w="1242" w:type="dxa"/>
                  <w:tcBorders>
                    <w:top w:val="nil"/>
                    <w:left w:val="nil"/>
                    <w:bottom w:val="nil"/>
                    <w:right w:val="nil"/>
                  </w:tcBorders>
                  <w:shd w:val="clear" w:color="auto" w:fill="auto"/>
                  <w:noWrap/>
                  <w:vAlign w:val="bottom"/>
                  <w:hideMark/>
                </w:tcPr>
                <w:p w14:paraId="4C91A265"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32</w:t>
                  </w:r>
                </w:p>
              </w:tc>
              <w:tc>
                <w:tcPr>
                  <w:tcW w:w="1620" w:type="dxa"/>
                  <w:tcBorders>
                    <w:top w:val="nil"/>
                    <w:left w:val="nil"/>
                    <w:bottom w:val="nil"/>
                    <w:right w:val="nil"/>
                  </w:tcBorders>
                  <w:shd w:val="clear" w:color="auto" w:fill="auto"/>
                  <w:noWrap/>
                  <w:vAlign w:val="bottom"/>
                  <w:hideMark/>
                </w:tcPr>
                <w:p w14:paraId="0A0FC7B3"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0.043301</w:t>
                  </w:r>
                </w:p>
              </w:tc>
              <w:tc>
                <w:tcPr>
                  <w:tcW w:w="1620" w:type="dxa"/>
                  <w:tcBorders>
                    <w:top w:val="nil"/>
                    <w:left w:val="nil"/>
                    <w:bottom w:val="nil"/>
                    <w:right w:val="nil"/>
                  </w:tcBorders>
                  <w:shd w:val="clear" w:color="auto" w:fill="auto"/>
                  <w:noWrap/>
                  <w:vAlign w:val="bottom"/>
                  <w:hideMark/>
                </w:tcPr>
                <w:p w14:paraId="1A6CCAB0"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0.237794</w:t>
                  </w:r>
                </w:p>
              </w:tc>
            </w:tr>
            <w:tr w:rsidR="00745DF8" w:rsidRPr="00745DF8" w14:paraId="2848DCF2" w14:textId="77777777" w:rsidTr="00745DF8">
              <w:trPr>
                <w:trHeight w:val="288"/>
              </w:trPr>
              <w:tc>
                <w:tcPr>
                  <w:tcW w:w="1242" w:type="dxa"/>
                  <w:tcBorders>
                    <w:top w:val="nil"/>
                    <w:left w:val="nil"/>
                    <w:bottom w:val="nil"/>
                    <w:right w:val="nil"/>
                  </w:tcBorders>
                  <w:shd w:val="clear" w:color="auto" w:fill="auto"/>
                  <w:noWrap/>
                  <w:vAlign w:val="bottom"/>
                  <w:hideMark/>
                </w:tcPr>
                <w:p w14:paraId="0D28A41D"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33</w:t>
                  </w:r>
                </w:p>
              </w:tc>
              <w:tc>
                <w:tcPr>
                  <w:tcW w:w="1620" w:type="dxa"/>
                  <w:tcBorders>
                    <w:top w:val="nil"/>
                    <w:left w:val="nil"/>
                    <w:bottom w:val="nil"/>
                    <w:right w:val="nil"/>
                  </w:tcBorders>
                  <w:shd w:val="clear" w:color="auto" w:fill="auto"/>
                  <w:noWrap/>
                  <w:vAlign w:val="bottom"/>
                  <w:hideMark/>
                </w:tcPr>
                <w:p w14:paraId="6B2C98AA"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0.050020</w:t>
                  </w:r>
                </w:p>
              </w:tc>
              <w:tc>
                <w:tcPr>
                  <w:tcW w:w="1620" w:type="dxa"/>
                  <w:tcBorders>
                    <w:top w:val="nil"/>
                    <w:left w:val="nil"/>
                    <w:bottom w:val="nil"/>
                    <w:right w:val="nil"/>
                  </w:tcBorders>
                  <w:shd w:val="clear" w:color="auto" w:fill="auto"/>
                  <w:noWrap/>
                  <w:vAlign w:val="bottom"/>
                  <w:hideMark/>
                </w:tcPr>
                <w:p w14:paraId="28E9B170"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0.265200</w:t>
                  </w:r>
                </w:p>
              </w:tc>
            </w:tr>
            <w:tr w:rsidR="00745DF8" w:rsidRPr="00745DF8" w14:paraId="4CCE8967" w14:textId="77777777" w:rsidTr="00745DF8">
              <w:trPr>
                <w:trHeight w:val="288"/>
              </w:trPr>
              <w:tc>
                <w:tcPr>
                  <w:tcW w:w="1242" w:type="dxa"/>
                  <w:tcBorders>
                    <w:top w:val="nil"/>
                    <w:left w:val="nil"/>
                    <w:bottom w:val="nil"/>
                    <w:right w:val="nil"/>
                  </w:tcBorders>
                  <w:shd w:val="clear" w:color="auto" w:fill="auto"/>
                  <w:noWrap/>
                  <w:vAlign w:val="bottom"/>
                  <w:hideMark/>
                </w:tcPr>
                <w:p w14:paraId="0E50FFCA"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34</w:t>
                  </w:r>
                </w:p>
              </w:tc>
              <w:tc>
                <w:tcPr>
                  <w:tcW w:w="1620" w:type="dxa"/>
                  <w:tcBorders>
                    <w:top w:val="nil"/>
                    <w:left w:val="nil"/>
                    <w:bottom w:val="nil"/>
                    <w:right w:val="nil"/>
                  </w:tcBorders>
                  <w:shd w:val="clear" w:color="auto" w:fill="auto"/>
                  <w:noWrap/>
                  <w:vAlign w:val="bottom"/>
                  <w:hideMark/>
                </w:tcPr>
                <w:p w14:paraId="5471B3FC"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0.057562</w:t>
                  </w:r>
                </w:p>
              </w:tc>
              <w:tc>
                <w:tcPr>
                  <w:tcW w:w="1620" w:type="dxa"/>
                  <w:tcBorders>
                    <w:top w:val="nil"/>
                    <w:left w:val="nil"/>
                    <w:bottom w:val="nil"/>
                    <w:right w:val="nil"/>
                  </w:tcBorders>
                  <w:shd w:val="clear" w:color="auto" w:fill="auto"/>
                  <w:noWrap/>
                  <w:vAlign w:val="bottom"/>
                  <w:hideMark/>
                </w:tcPr>
                <w:p w14:paraId="2912AEF4"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0.286361</w:t>
                  </w:r>
                </w:p>
              </w:tc>
            </w:tr>
            <w:tr w:rsidR="00745DF8" w:rsidRPr="00745DF8" w14:paraId="52F3B277" w14:textId="77777777" w:rsidTr="00745DF8">
              <w:trPr>
                <w:trHeight w:val="288"/>
              </w:trPr>
              <w:tc>
                <w:tcPr>
                  <w:tcW w:w="1242" w:type="dxa"/>
                  <w:tcBorders>
                    <w:top w:val="nil"/>
                    <w:left w:val="nil"/>
                    <w:bottom w:val="nil"/>
                    <w:right w:val="nil"/>
                  </w:tcBorders>
                  <w:shd w:val="clear" w:color="auto" w:fill="auto"/>
                  <w:noWrap/>
                  <w:vAlign w:val="bottom"/>
                  <w:hideMark/>
                </w:tcPr>
                <w:p w14:paraId="2A7A0830"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35</w:t>
                  </w:r>
                </w:p>
              </w:tc>
              <w:tc>
                <w:tcPr>
                  <w:tcW w:w="1620" w:type="dxa"/>
                  <w:tcBorders>
                    <w:top w:val="nil"/>
                    <w:left w:val="nil"/>
                    <w:bottom w:val="nil"/>
                    <w:right w:val="nil"/>
                  </w:tcBorders>
                  <w:shd w:val="clear" w:color="auto" w:fill="auto"/>
                  <w:noWrap/>
                  <w:vAlign w:val="bottom"/>
                  <w:hideMark/>
                </w:tcPr>
                <w:p w14:paraId="2698F620"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0.063945</w:t>
                  </w:r>
                </w:p>
              </w:tc>
              <w:tc>
                <w:tcPr>
                  <w:tcW w:w="1620" w:type="dxa"/>
                  <w:tcBorders>
                    <w:top w:val="nil"/>
                    <w:left w:val="nil"/>
                    <w:bottom w:val="nil"/>
                    <w:right w:val="nil"/>
                  </w:tcBorders>
                  <w:shd w:val="clear" w:color="auto" w:fill="auto"/>
                  <w:noWrap/>
                  <w:vAlign w:val="bottom"/>
                  <w:hideMark/>
                </w:tcPr>
                <w:p w14:paraId="5526F78D"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0.317591</w:t>
                  </w:r>
                </w:p>
              </w:tc>
            </w:tr>
            <w:tr w:rsidR="00745DF8" w:rsidRPr="00745DF8" w14:paraId="7364000C" w14:textId="77777777" w:rsidTr="00745DF8">
              <w:trPr>
                <w:trHeight w:val="288"/>
              </w:trPr>
              <w:tc>
                <w:tcPr>
                  <w:tcW w:w="1242" w:type="dxa"/>
                  <w:tcBorders>
                    <w:top w:val="nil"/>
                    <w:left w:val="nil"/>
                    <w:bottom w:val="nil"/>
                    <w:right w:val="nil"/>
                  </w:tcBorders>
                  <w:shd w:val="clear" w:color="auto" w:fill="auto"/>
                  <w:noWrap/>
                  <w:vAlign w:val="bottom"/>
                  <w:hideMark/>
                </w:tcPr>
                <w:p w14:paraId="6A125BB1"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36</w:t>
                  </w:r>
                </w:p>
              </w:tc>
              <w:tc>
                <w:tcPr>
                  <w:tcW w:w="1620" w:type="dxa"/>
                  <w:tcBorders>
                    <w:top w:val="nil"/>
                    <w:left w:val="nil"/>
                    <w:bottom w:val="nil"/>
                    <w:right w:val="nil"/>
                  </w:tcBorders>
                  <w:shd w:val="clear" w:color="auto" w:fill="auto"/>
                  <w:noWrap/>
                  <w:vAlign w:val="bottom"/>
                  <w:hideMark/>
                </w:tcPr>
                <w:p w14:paraId="5D5474AF"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0.072896</w:t>
                  </w:r>
                </w:p>
              </w:tc>
              <w:tc>
                <w:tcPr>
                  <w:tcW w:w="1620" w:type="dxa"/>
                  <w:tcBorders>
                    <w:top w:val="nil"/>
                    <w:left w:val="nil"/>
                    <w:bottom w:val="nil"/>
                    <w:right w:val="nil"/>
                  </w:tcBorders>
                  <w:shd w:val="clear" w:color="auto" w:fill="auto"/>
                  <w:noWrap/>
                  <w:vAlign w:val="bottom"/>
                  <w:hideMark/>
                </w:tcPr>
                <w:p w14:paraId="0C0D402F"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0.340362</w:t>
                  </w:r>
                </w:p>
              </w:tc>
            </w:tr>
            <w:tr w:rsidR="00745DF8" w:rsidRPr="00745DF8" w14:paraId="419F81F9" w14:textId="77777777" w:rsidTr="00745DF8">
              <w:trPr>
                <w:trHeight w:val="288"/>
              </w:trPr>
              <w:tc>
                <w:tcPr>
                  <w:tcW w:w="1242" w:type="dxa"/>
                  <w:tcBorders>
                    <w:top w:val="nil"/>
                    <w:left w:val="nil"/>
                    <w:bottom w:val="nil"/>
                    <w:right w:val="nil"/>
                  </w:tcBorders>
                  <w:shd w:val="clear" w:color="auto" w:fill="auto"/>
                  <w:noWrap/>
                  <w:vAlign w:val="bottom"/>
                  <w:hideMark/>
                </w:tcPr>
                <w:p w14:paraId="5E62B64E"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37</w:t>
                  </w:r>
                </w:p>
              </w:tc>
              <w:tc>
                <w:tcPr>
                  <w:tcW w:w="1620" w:type="dxa"/>
                  <w:tcBorders>
                    <w:top w:val="nil"/>
                    <w:left w:val="nil"/>
                    <w:bottom w:val="nil"/>
                    <w:right w:val="nil"/>
                  </w:tcBorders>
                  <w:shd w:val="clear" w:color="auto" w:fill="auto"/>
                  <w:noWrap/>
                  <w:vAlign w:val="bottom"/>
                  <w:hideMark/>
                </w:tcPr>
                <w:p w14:paraId="0BF8C88C"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0.079931</w:t>
                  </w:r>
                </w:p>
              </w:tc>
              <w:tc>
                <w:tcPr>
                  <w:tcW w:w="1620" w:type="dxa"/>
                  <w:tcBorders>
                    <w:top w:val="nil"/>
                    <w:left w:val="nil"/>
                    <w:bottom w:val="nil"/>
                    <w:right w:val="nil"/>
                  </w:tcBorders>
                  <w:shd w:val="clear" w:color="auto" w:fill="auto"/>
                  <w:noWrap/>
                  <w:vAlign w:val="bottom"/>
                  <w:hideMark/>
                </w:tcPr>
                <w:p w14:paraId="62326026"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0.362371</w:t>
                  </w:r>
                </w:p>
              </w:tc>
            </w:tr>
            <w:tr w:rsidR="00745DF8" w:rsidRPr="00745DF8" w14:paraId="4E254784" w14:textId="77777777" w:rsidTr="00745DF8">
              <w:trPr>
                <w:trHeight w:val="288"/>
              </w:trPr>
              <w:tc>
                <w:tcPr>
                  <w:tcW w:w="1242" w:type="dxa"/>
                  <w:tcBorders>
                    <w:top w:val="nil"/>
                    <w:left w:val="nil"/>
                    <w:bottom w:val="nil"/>
                    <w:right w:val="nil"/>
                  </w:tcBorders>
                  <w:shd w:val="clear" w:color="auto" w:fill="auto"/>
                  <w:noWrap/>
                  <w:vAlign w:val="bottom"/>
                  <w:hideMark/>
                </w:tcPr>
                <w:p w14:paraId="1F4A0414"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38</w:t>
                  </w:r>
                </w:p>
              </w:tc>
              <w:tc>
                <w:tcPr>
                  <w:tcW w:w="1620" w:type="dxa"/>
                  <w:tcBorders>
                    <w:top w:val="nil"/>
                    <w:left w:val="nil"/>
                    <w:bottom w:val="nil"/>
                    <w:right w:val="nil"/>
                  </w:tcBorders>
                  <w:shd w:val="clear" w:color="auto" w:fill="auto"/>
                  <w:noWrap/>
                  <w:vAlign w:val="bottom"/>
                  <w:hideMark/>
                </w:tcPr>
                <w:p w14:paraId="758B25D7"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0.090460</w:t>
                  </w:r>
                </w:p>
              </w:tc>
              <w:tc>
                <w:tcPr>
                  <w:tcW w:w="1620" w:type="dxa"/>
                  <w:tcBorders>
                    <w:top w:val="nil"/>
                    <w:left w:val="nil"/>
                    <w:bottom w:val="nil"/>
                    <w:right w:val="nil"/>
                  </w:tcBorders>
                  <w:shd w:val="clear" w:color="auto" w:fill="auto"/>
                  <w:noWrap/>
                  <w:vAlign w:val="bottom"/>
                  <w:hideMark/>
                </w:tcPr>
                <w:p w14:paraId="76379A3F"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0.384113</w:t>
                  </w:r>
                </w:p>
              </w:tc>
            </w:tr>
            <w:tr w:rsidR="00745DF8" w:rsidRPr="00745DF8" w14:paraId="0A2F2DE4" w14:textId="77777777" w:rsidTr="00745DF8">
              <w:trPr>
                <w:trHeight w:val="288"/>
              </w:trPr>
              <w:tc>
                <w:tcPr>
                  <w:tcW w:w="1242" w:type="dxa"/>
                  <w:tcBorders>
                    <w:top w:val="nil"/>
                    <w:left w:val="nil"/>
                    <w:bottom w:val="nil"/>
                    <w:right w:val="nil"/>
                  </w:tcBorders>
                  <w:shd w:val="clear" w:color="auto" w:fill="auto"/>
                  <w:noWrap/>
                  <w:vAlign w:val="bottom"/>
                  <w:hideMark/>
                </w:tcPr>
                <w:p w14:paraId="07356AB3"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39</w:t>
                  </w:r>
                </w:p>
              </w:tc>
              <w:tc>
                <w:tcPr>
                  <w:tcW w:w="1620" w:type="dxa"/>
                  <w:tcBorders>
                    <w:top w:val="nil"/>
                    <w:left w:val="nil"/>
                    <w:bottom w:val="nil"/>
                    <w:right w:val="nil"/>
                  </w:tcBorders>
                  <w:shd w:val="clear" w:color="auto" w:fill="auto"/>
                  <w:noWrap/>
                  <w:vAlign w:val="bottom"/>
                  <w:hideMark/>
                </w:tcPr>
                <w:p w14:paraId="274AFD0A"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0.099181</w:t>
                  </w:r>
                </w:p>
              </w:tc>
              <w:tc>
                <w:tcPr>
                  <w:tcW w:w="1620" w:type="dxa"/>
                  <w:tcBorders>
                    <w:top w:val="nil"/>
                    <w:left w:val="nil"/>
                    <w:bottom w:val="nil"/>
                    <w:right w:val="nil"/>
                  </w:tcBorders>
                  <w:shd w:val="clear" w:color="auto" w:fill="auto"/>
                  <w:noWrap/>
                  <w:vAlign w:val="bottom"/>
                  <w:hideMark/>
                </w:tcPr>
                <w:p w14:paraId="02DA4253"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r>
            <w:tr w:rsidR="00745DF8" w:rsidRPr="00745DF8" w14:paraId="5154F075" w14:textId="77777777" w:rsidTr="00745DF8">
              <w:trPr>
                <w:trHeight w:val="288"/>
              </w:trPr>
              <w:tc>
                <w:tcPr>
                  <w:tcW w:w="1242" w:type="dxa"/>
                  <w:tcBorders>
                    <w:top w:val="nil"/>
                    <w:left w:val="nil"/>
                    <w:bottom w:val="nil"/>
                    <w:right w:val="nil"/>
                  </w:tcBorders>
                  <w:shd w:val="clear" w:color="auto" w:fill="auto"/>
                  <w:noWrap/>
                  <w:vAlign w:val="bottom"/>
                  <w:hideMark/>
                </w:tcPr>
                <w:p w14:paraId="4F003F19"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lastRenderedPageBreak/>
                    <w:t>40</w:t>
                  </w:r>
                </w:p>
              </w:tc>
              <w:tc>
                <w:tcPr>
                  <w:tcW w:w="1620" w:type="dxa"/>
                  <w:tcBorders>
                    <w:top w:val="nil"/>
                    <w:left w:val="nil"/>
                    <w:bottom w:val="nil"/>
                    <w:right w:val="nil"/>
                  </w:tcBorders>
                  <w:shd w:val="clear" w:color="auto" w:fill="auto"/>
                  <w:noWrap/>
                  <w:vAlign w:val="bottom"/>
                  <w:hideMark/>
                </w:tcPr>
                <w:p w14:paraId="5781868D"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0.113372</w:t>
                  </w:r>
                </w:p>
              </w:tc>
              <w:tc>
                <w:tcPr>
                  <w:tcW w:w="1620" w:type="dxa"/>
                  <w:tcBorders>
                    <w:top w:val="nil"/>
                    <w:left w:val="nil"/>
                    <w:bottom w:val="nil"/>
                    <w:right w:val="nil"/>
                  </w:tcBorders>
                  <w:shd w:val="clear" w:color="auto" w:fill="auto"/>
                  <w:noWrap/>
                  <w:vAlign w:val="bottom"/>
                  <w:hideMark/>
                </w:tcPr>
                <w:p w14:paraId="1F13B008"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r>
            <w:tr w:rsidR="00745DF8" w:rsidRPr="00745DF8" w14:paraId="58BD871D" w14:textId="77777777" w:rsidTr="00745DF8">
              <w:trPr>
                <w:trHeight w:val="288"/>
              </w:trPr>
              <w:tc>
                <w:tcPr>
                  <w:tcW w:w="1242" w:type="dxa"/>
                  <w:tcBorders>
                    <w:top w:val="nil"/>
                    <w:left w:val="nil"/>
                    <w:bottom w:val="nil"/>
                    <w:right w:val="nil"/>
                  </w:tcBorders>
                  <w:shd w:val="clear" w:color="auto" w:fill="auto"/>
                  <w:noWrap/>
                  <w:vAlign w:val="bottom"/>
                  <w:hideMark/>
                </w:tcPr>
                <w:p w14:paraId="42999245"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41</w:t>
                  </w:r>
                </w:p>
              </w:tc>
              <w:tc>
                <w:tcPr>
                  <w:tcW w:w="1620" w:type="dxa"/>
                  <w:tcBorders>
                    <w:top w:val="nil"/>
                    <w:left w:val="nil"/>
                    <w:bottom w:val="nil"/>
                    <w:right w:val="nil"/>
                  </w:tcBorders>
                  <w:shd w:val="clear" w:color="auto" w:fill="auto"/>
                  <w:noWrap/>
                  <w:vAlign w:val="bottom"/>
                  <w:hideMark/>
                </w:tcPr>
                <w:p w14:paraId="188D2BC6"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0.126265</w:t>
                  </w:r>
                </w:p>
              </w:tc>
              <w:tc>
                <w:tcPr>
                  <w:tcW w:w="1620" w:type="dxa"/>
                  <w:tcBorders>
                    <w:top w:val="nil"/>
                    <w:left w:val="nil"/>
                    <w:bottom w:val="nil"/>
                    <w:right w:val="nil"/>
                  </w:tcBorders>
                  <w:shd w:val="clear" w:color="auto" w:fill="auto"/>
                  <w:noWrap/>
                  <w:vAlign w:val="bottom"/>
                  <w:hideMark/>
                </w:tcPr>
                <w:p w14:paraId="7AD50213"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r>
            <w:tr w:rsidR="00745DF8" w:rsidRPr="00745DF8" w14:paraId="30F4B9A6" w14:textId="77777777" w:rsidTr="00745DF8">
              <w:trPr>
                <w:trHeight w:val="288"/>
              </w:trPr>
              <w:tc>
                <w:tcPr>
                  <w:tcW w:w="1242" w:type="dxa"/>
                  <w:tcBorders>
                    <w:top w:val="nil"/>
                    <w:left w:val="nil"/>
                    <w:bottom w:val="nil"/>
                    <w:right w:val="nil"/>
                  </w:tcBorders>
                  <w:shd w:val="clear" w:color="auto" w:fill="auto"/>
                  <w:noWrap/>
                  <w:vAlign w:val="bottom"/>
                  <w:hideMark/>
                </w:tcPr>
                <w:p w14:paraId="79F5593F"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42</w:t>
                  </w:r>
                </w:p>
              </w:tc>
              <w:tc>
                <w:tcPr>
                  <w:tcW w:w="1620" w:type="dxa"/>
                  <w:tcBorders>
                    <w:top w:val="nil"/>
                    <w:left w:val="nil"/>
                    <w:bottom w:val="nil"/>
                    <w:right w:val="nil"/>
                  </w:tcBorders>
                  <w:shd w:val="clear" w:color="auto" w:fill="auto"/>
                  <w:noWrap/>
                  <w:vAlign w:val="bottom"/>
                  <w:hideMark/>
                </w:tcPr>
                <w:p w14:paraId="546DAD70"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0.140752</w:t>
                  </w:r>
                </w:p>
              </w:tc>
              <w:tc>
                <w:tcPr>
                  <w:tcW w:w="1620" w:type="dxa"/>
                  <w:tcBorders>
                    <w:top w:val="nil"/>
                    <w:left w:val="nil"/>
                    <w:bottom w:val="nil"/>
                    <w:right w:val="nil"/>
                  </w:tcBorders>
                  <w:shd w:val="clear" w:color="auto" w:fill="auto"/>
                  <w:noWrap/>
                  <w:vAlign w:val="bottom"/>
                  <w:hideMark/>
                </w:tcPr>
                <w:p w14:paraId="0EA37CBB"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r>
            <w:tr w:rsidR="00745DF8" w:rsidRPr="00745DF8" w14:paraId="3C92A37D" w14:textId="77777777" w:rsidTr="00745DF8">
              <w:trPr>
                <w:trHeight w:val="288"/>
              </w:trPr>
              <w:tc>
                <w:tcPr>
                  <w:tcW w:w="1242" w:type="dxa"/>
                  <w:tcBorders>
                    <w:top w:val="nil"/>
                    <w:left w:val="nil"/>
                    <w:bottom w:val="nil"/>
                    <w:right w:val="nil"/>
                  </w:tcBorders>
                  <w:shd w:val="clear" w:color="auto" w:fill="auto"/>
                  <w:noWrap/>
                  <w:vAlign w:val="bottom"/>
                  <w:hideMark/>
                </w:tcPr>
                <w:p w14:paraId="3782D31F"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43</w:t>
                  </w:r>
                </w:p>
              </w:tc>
              <w:tc>
                <w:tcPr>
                  <w:tcW w:w="1620" w:type="dxa"/>
                  <w:tcBorders>
                    <w:top w:val="nil"/>
                    <w:left w:val="nil"/>
                    <w:bottom w:val="nil"/>
                    <w:right w:val="nil"/>
                  </w:tcBorders>
                  <w:shd w:val="clear" w:color="auto" w:fill="auto"/>
                  <w:noWrap/>
                  <w:vAlign w:val="bottom"/>
                  <w:hideMark/>
                </w:tcPr>
                <w:p w14:paraId="30EA207B"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0.159826</w:t>
                  </w:r>
                </w:p>
              </w:tc>
              <w:tc>
                <w:tcPr>
                  <w:tcW w:w="1620" w:type="dxa"/>
                  <w:tcBorders>
                    <w:top w:val="nil"/>
                    <w:left w:val="nil"/>
                    <w:bottom w:val="nil"/>
                    <w:right w:val="nil"/>
                  </w:tcBorders>
                  <w:shd w:val="clear" w:color="auto" w:fill="auto"/>
                  <w:noWrap/>
                  <w:vAlign w:val="bottom"/>
                  <w:hideMark/>
                </w:tcPr>
                <w:p w14:paraId="20ECEED2"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r>
            <w:tr w:rsidR="00745DF8" w:rsidRPr="00745DF8" w14:paraId="26139534" w14:textId="77777777" w:rsidTr="00745DF8">
              <w:trPr>
                <w:trHeight w:val="288"/>
              </w:trPr>
              <w:tc>
                <w:tcPr>
                  <w:tcW w:w="1242" w:type="dxa"/>
                  <w:tcBorders>
                    <w:top w:val="nil"/>
                    <w:left w:val="nil"/>
                    <w:bottom w:val="nil"/>
                    <w:right w:val="nil"/>
                  </w:tcBorders>
                  <w:shd w:val="clear" w:color="auto" w:fill="auto"/>
                  <w:noWrap/>
                  <w:vAlign w:val="bottom"/>
                  <w:hideMark/>
                </w:tcPr>
                <w:p w14:paraId="6096CAE6"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44</w:t>
                  </w:r>
                </w:p>
              </w:tc>
              <w:tc>
                <w:tcPr>
                  <w:tcW w:w="1620" w:type="dxa"/>
                  <w:tcBorders>
                    <w:top w:val="nil"/>
                    <w:left w:val="nil"/>
                    <w:bottom w:val="nil"/>
                    <w:right w:val="nil"/>
                  </w:tcBorders>
                  <w:shd w:val="clear" w:color="auto" w:fill="auto"/>
                  <w:noWrap/>
                  <w:vAlign w:val="bottom"/>
                  <w:hideMark/>
                </w:tcPr>
                <w:p w14:paraId="13F2C741"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0.173939</w:t>
                  </w:r>
                </w:p>
              </w:tc>
              <w:tc>
                <w:tcPr>
                  <w:tcW w:w="1620" w:type="dxa"/>
                  <w:tcBorders>
                    <w:top w:val="nil"/>
                    <w:left w:val="nil"/>
                    <w:bottom w:val="nil"/>
                    <w:right w:val="nil"/>
                  </w:tcBorders>
                  <w:shd w:val="clear" w:color="auto" w:fill="auto"/>
                  <w:noWrap/>
                  <w:vAlign w:val="bottom"/>
                  <w:hideMark/>
                </w:tcPr>
                <w:p w14:paraId="63D2B917"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r>
            <w:tr w:rsidR="00745DF8" w:rsidRPr="00745DF8" w14:paraId="683C860A" w14:textId="77777777" w:rsidTr="00745DF8">
              <w:trPr>
                <w:trHeight w:val="288"/>
              </w:trPr>
              <w:tc>
                <w:tcPr>
                  <w:tcW w:w="1242" w:type="dxa"/>
                  <w:tcBorders>
                    <w:top w:val="nil"/>
                    <w:left w:val="nil"/>
                    <w:bottom w:val="nil"/>
                    <w:right w:val="nil"/>
                  </w:tcBorders>
                  <w:shd w:val="clear" w:color="auto" w:fill="auto"/>
                  <w:noWrap/>
                  <w:vAlign w:val="bottom"/>
                  <w:hideMark/>
                </w:tcPr>
                <w:p w14:paraId="584FAA4E"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45</w:t>
                  </w:r>
                </w:p>
              </w:tc>
              <w:tc>
                <w:tcPr>
                  <w:tcW w:w="1620" w:type="dxa"/>
                  <w:tcBorders>
                    <w:top w:val="nil"/>
                    <w:left w:val="nil"/>
                    <w:bottom w:val="nil"/>
                    <w:right w:val="nil"/>
                  </w:tcBorders>
                  <w:shd w:val="clear" w:color="auto" w:fill="auto"/>
                  <w:noWrap/>
                  <w:vAlign w:val="bottom"/>
                  <w:hideMark/>
                </w:tcPr>
                <w:p w14:paraId="034557F1"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0.196353</w:t>
                  </w:r>
                </w:p>
              </w:tc>
              <w:tc>
                <w:tcPr>
                  <w:tcW w:w="1620" w:type="dxa"/>
                  <w:tcBorders>
                    <w:top w:val="nil"/>
                    <w:left w:val="nil"/>
                    <w:bottom w:val="nil"/>
                    <w:right w:val="nil"/>
                  </w:tcBorders>
                  <w:shd w:val="clear" w:color="auto" w:fill="auto"/>
                  <w:noWrap/>
                  <w:vAlign w:val="bottom"/>
                  <w:hideMark/>
                </w:tcPr>
                <w:p w14:paraId="164B77B8"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r>
            <w:tr w:rsidR="00745DF8" w:rsidRPr="00745DF8" w14:paraId="2B1DEF03" w14:textId="77777777" w:rsidTr="00745DF8">
              <w:trPr>
                <w:trHeight w:val="288"/>
              </w:trPr>
              <w:tc>
                <w:tcPr>
                  <w:tcW w:w="1242" w:type="dxa"/>
                  <w:tcBorders>
                    <w:top w:val="nil"/>
                    <w:left w:val="nil"/>
                    <w:bottom w:val="nil"/>
                    <w:right w:val="nil"/>
                  </w:tcBorders>
                  <w:shd w:val="clear" w:color="auto" w:fill="auto"/>
                  <w:noWrap/>
                  <w:vAlign w:val="bottom"/>
                  <w:hideMark/>
                </w:tcPr>
                <w:p w14:paraId="74EF2750"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46</w:t>
                  </w:r>
                </w:p>
              </w:tc>
              <w:tc>
                <w:tcPr>
                  <w:tcW w:w="1620" w:type="dxa"/>
                  <w:tcBorders>
                    <w:top w:val="nil"/>
                    <w:left w:val="nil"/>
                    <w:bottom w:val="nil"/>
                    <w:right w:val="nil"/>
                  </w:tcBorders>
                  <w:shd w:val="clear" w:color="auto" w:fill="auto"/>
                  <w:noWrap/>
                  <w:vAlign w:val="bottom"/>
                  <w:hideMark/>
                </w:tcPr>
                <w:p w14:paraId="15C427AB"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0.212115</w:t>
                  </w:r>
                </w:p>
              </w:tc>
              <w:tc>
                <w:tcPr>
                  <w:tcW w:w="1620" w:type="dxa"/>
                  <w:tcBorders>
                    <w:top w:val="nil"/>
                    <w:left w:val="nil"/>
                    <w:bottom w:val="nil"/>
                    <w:right w:val="nil"/>
                  </w:tcBorders>
                  <w:shd w:val="clear" w:color="auto" w:fill="auto"/>
                  <w:noWrap/>
                  <w:vAlign w:val="bottom"/>
                  <w:hideMark/>
                </w:tcPr>
                <w:p w14:paraId="21328B7D"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r>
            <w:tr w:rsidR="00745DF8" w:rsidRPr="00745DF8" w14:paraId="37C6788F" w14:textId="77777777" w:rsidTr="00745DF8">
              <w:trPr>
                <w:trHeight w:val="288"/>
              </w:trPr>
              <w:tc>
                <w:tcPr>
                  <w:tcW w:w="1242" w:type="dxa"/>
                  <w:tcBorders>
                    <w:top w:val="nil"/>
                    <w:left w:val="nil"/>
                    <w:bottom w:val="nil"/>
                    <w:right w:val="nil"/>
                  </w:tcBorders>
                  <w:shd w:val="clear" w:color="auto" w:fill="auto"/>
                  <w:noWrap/>
                  <w:vAlign w:val="bottom"/>
                  <w:hideMark/>
                </w:tcPr>
                <w:p w14:paraId="36670D33"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47</w:t>
                  </w:r>
                </w:p>
              </w:tc>
              <w:tc>
                <w:tcPr>
                  <w:tcW w:w="1620" w:type="dxa"/>
                  <w:tcBorders>
                    <w:top w:val="nil"/>
                    <w:left w:val="nil"/>
                    <w:bottom w:val="nil"/>
                    <w:right w:val="nil"/>
                  </w:tcBorders>
                  <w:shd w:val="clear" w:color="auto" w:fill="auto"/>
                  <w:noWrap/>
                  <w:vAlign w:val="bottom"/>
                  <w:hideMark/>
                </w:tcPr>
                <w:p w14:paraId="2A721F77"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0.230760</w:t>
                  </w:r>
                </w:p>
              </w:tc>
              <w:tc>
                <w:tcPr>
                  <w:tcW w:w="1620" w:type="dxa"/>
                  <w:tcBorders>
                    <w:top w:val="nil"/>
                    <w:left w:val="nil"/>
                    <w:bottom w:val="nil"/>
                    <w:right w:val="nil"/>
                  </w:tcBorders>
                  <w:shd w:val="clear" w:color="auto" w:fill="auto"/>
                  <w:noWrap/>
                  <w:vAlign w:val="bottom"/>
                  <w:hideMark/>
                </w:tcPr>
                <w:p w14:paraId="772DEC12"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r>
            <w:tr w:rsidR="00745DF8" w:rsidRPr="00745DF8" w14:paraId="7189FF8E" w14:textId="77777777" w:rsidTr="00745DF8">
              <w:trPr>
                <w:trHeight w:val="288"/>
              </w:trPr>
              <w:tc>
                <w:tcPr>
                  <w:tcW w:w="1242" w:type="dxa"/>
                  <w:tcBorders>
                    <w:top w:val="nil"/>
                    <w:left w:val="nil"/>
                    <w:bottom w:val="nil"/>
                    <w:right w:val="nil"/>
                  </w:tcBorders>
                  <w:shd w:val="clear" w:color="auto" w:fill="auto"/>
                  <w:noWrap/>
                  <w:vAlign w:val="bottom"/>
                  <w:hideMark/>
                </w:tcPr>
                <w:p w14:paraId="540BCFE7"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48</w:t>
                  </w:r>
                </w:p>
              </w:tc>
              <w:tc>
                <w:tcPr>
                  <w:tcW w:w="1620" w:type="dxa"/>
                  <w:tcBorders>
                    <w:top w:val="nil"/>
                    <w:left w:val="nil"/>
                    <w:bottom w:val="nil"/>
                    <w:right w:val="nil"/>
                  </w:tcBorders>
                  <w:shd w:val="clear" w:color="auto" w:fill="auto"/>
                  <w:noWrap/>
                  <w:vAlign w:val="bottom"/>
                  <w:hideMark/>
                </w:tcPr>
                <w:p w14:paraId="6433B578"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0.261249</w:t>
                  </w:r>
                </w:p>
              </w:tc>
              <w:tc>
                <w:tcPr>
                  <w:tcW w:w="1620" w:type="dxa"/>
                  <w:tcBorders>
                    <w:top w:val="nil"/>
                    <w:left w:val="nil"/>
                    <w:bottom w:val="nil"/>
                    <w:right w:val="nil"/>
                  </w:tcBorders>
                  <w:shd w:val="clear" w:color="auto" w:fill="auto"/>
                  <w:noWrap/>
                  <w:vAlign w:val="bottom"/>
                  <w:hideMark/>
                </w:tcPr>
                <w:p w14:paraId="2EC5B3A8"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r>
            <w:tr w:rsidR="00745DF8" w:rsidRPr="00745DF8" w14:paraId="6D44152B" w14:textId="77777777" w:rsidTr="00745DF8">
              <w:trPr>
                <w:trHeight w:val="288"/>
              </w:trPr>
              <w:tc>
                <w:tcPr>
                  <w:tcW w:w="1242" w:type="dxa"/>
                  <w:tcBorders>
                    <w:top w:val="nil"/>
                    <w:left w:val="nil"/>
                    <w:bottom w:val="nil"/>
                    <w:right w:val="nil"/>
                  </w:tcBorders>
                  <w:shd w:val="clear" w:color="auto" w:fill="auto"/>
                  <w:noWrap/>
                  <w:vAlign w:val="bottom"/>
                  <w:hideMark/>
                </w:tcPr>
                <w:p w14:paraId="561DEE62"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49</w:t>
                  </w:r>
                </w:p>
              </w:tc>
              <w:tc>
                <w:tcPr>
                  <w:tcW w:w="1620" w:type="dxa"/>
                  <w:tcBorders>
                    <w:top w:val="nil"/>
                    <w:left w:val="nil"/>
                    <w:bottom w:val="nil"/>
                    <w:right w:val="nil"/>
                  </w:tcBorders>
                  <w:shd w:val="clear" w:color="auto" w:fill="auto"/>
                  <w:noWrap/>
                  <w:vAlign w:val="bottom"/>
                  <w:hideMark/>
                </w:tcPr>
                <w:p w14:paraId="554F12EC"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0.282095</w:t>
                  </w:r>
                </w:p>
              </w:tc>
              <w:tc>
                <w:tcPr>
                  <w:tcW w:w="1620" w:type="dxa"/>
                  <w:tcBorders>
                    <w:top w:val="nil"/>
                    <w:left w:val="nil"/>
                    <w:bottom w:val="nil"/>
                    <w:right w:val="nil"/>
                  </w:tcBorders>
                  <w:shd w:val="clear" w:color="auto" w:fill="auto"/>
                  <w:noWrap/>
                  <w:vAlign w:val="bottom"/>
                  <w:hideMark/>
                </w:tcPr>
                <w:p w14:paraId="5595C219"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r>
            <w:tr w:rsidR="00745DF8" w:rsidRPr="00745DF8" w14:paraId="72DDF270" w14:textId="77777777" w:rsidTr="00745DF8">
              <w:trPr>
                <w:trHeight w:val="288"/>
              </w:trPr>
              <w:tc>
                <w:tcPr>
                  <w:tcW w:w="1242" w:type="dxa"/>
                  <w:tcBorders>
                    <w:top w:val="nil"/>
                    <w:left w:val="nil"/>
                    <w:bottom w:val="nil"/>
                    <w:right w:val="nil"/>
                  </w:tcBorders>
                  <w:shd w:val="clear" w:color="auto" w:fill="auto"/>
                  <w:noWrap/>
                  <w:vAlign w:val="bottom"/>
                  <w:hideMark/>
                </w:tcPr>
                <w:p w14:paraId="67ECF586"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50</w:t>
                  </w:r>
                </w:p>
              </w:tc>
              <w:tc>
                <w:tcPr>
                  <w:tcW w:w="1620" w:type="dxa"/>
                  <w:tcBorders>
                    <w:top w:val="nil"/>
                    <w:left w:val="nil"/>
                    <w:bottom w:val="nil"/>
                    <w:right w:val="nil"/>
                  </w:tcBorders>
                  <w:shd w:val="clear" w:color="auto" w:fill="auto"/>
                  <w:noWrap/>
                  <w:vAlign w:val="bottom"/>
                  <w:hideMark/>
                </w:tcPr>
                <w:p w14:paraId="08940CE5"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0.317591</w:t>
                  </w:r>
                </w:p>
              </w:tc>
              <w:tc>
                <w:tcPr>
                  <w:tcW w:w="1620" w:type="dxa"/>
                  <w:tcBorders>
                    <w:top w:val="nil"/>
                    <w:left w:val="nil"/>
                    <w:bottom w:val="nil"/>
                    <w:right w:val="nil"/>
                  </w:tcBorders>
                  <w:shd w:val="clear" w:color="auto" w:fill="auto"/>
                  <w:noWrap/>
                  <w:vAlign w:val="bottom"/>
                  <w:hideMark/>
                </w:tcPr>
                <w:p w14:paraId="32BF604B"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r>
            <w:tr w:rsidR="00745DF8" w:rsidRPr="00745DF8" w14:paraId="18C0B8EF" w14:textId="77777777" w:rsidTr="00745DF8">
              <w:trPr>
                <w:trHeight w:val="288"/>
              </w:trPr>
              <w:tc>
                <w:tcPr>
                  <w:tcW w:w="1242" w:type="dxa"/>
                  <w:tcBorders>
                    <w:top w:val="nil"/>
                    <w:left w:val="nil"/>
                    <w:bottom w:val="nil"/>
                    <w:right w:val="nil"/>
                  </w:tcBorders>
                  <w:shd w:val="clear" w:color="auto" w:fill="auto"/>
                  <w:noWrap/>
                  <w:vAlign w:val="bottom"/>
                  <w:hideMark/>
                </w:tcPr>
                <w:p w14:paraId="47AAA0AF"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51</w:t>
                  </w:r>
                </w:p>
              </w:tc>
              <w:tc>
                <w:tcPr>
                  <w:tcW w:w="1620" w:type="dxa"/>
                  <w:tcBorders>
                    <w:top w:val="nil"/>
                    <w:left w:val="nil"/>
                    <w:bottom w:val="nil"/>
                    <w:right w:val="nil"/>
                  </w:tcBorders>
                  <w:shd w:val="clear" w:color="auto" w:fill="auto"/>
                  <w:noWrap/>
                  <w:vAlign w:val="bottom"/>
                  <w:hideMark/>
                </w:tcPr>
                <w:p w14:paraId="77E325EC"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0.340362</w:t>
                  </w:r>
                </w:p>
              </w:tc>
              <w:tc>
                <w:tcPr>
                  <w:tcW w:w="1620" w:type="dxa"/>
                  <w:tcBorders>
                    <w:top w:val="nil"/>
                    <w:left w:val="nil"/>
                    <w:bottom w:val="nil"/>
                    <w:right w:val="nil"/>
                  </w:tcBorders>
                  <w:shd w:val="clear" w:color="auto" w:fill="auto"/>
                  <w:noWrap/>
                  <w:vAlign w:val="bottom"/>
                  <w:hideMark/>
                </w:tcPr>
                <w:p w14:paraId="6032D275"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1.000000</w:t>
                  </w:r>
                </w:p>
              </w:tc>
            </w:tr>
            <w:tr w:rsidR="00745DF8" w:rsidRPr="00745DF8" w14:paraId="2B85C089" w14:textId="77777777" w:rsidTr="00745DF8">
              <w:trPr>
                <w:trHeight w:val="288"/>
              </w:trPr>
              <w:tc>
                <w:tcPr>
                  <w:tcW w:w="1242" w:type="dxa"/>
                  <w:tcBorders>
                    <w:top w:val="nil"/>
                    <w:left w:val="nil"/>
                    <w:bottom w:val="nil"/>
                    <w:right w:val="nil"/>
                  </w:tcBorders>
                  <w:shd w:val="clear" w:color="auto" w:fill="auto"/>
                  <w:noWrap/>
                  <w:vAlign w:val="bottom"/>
                  <w:hideMark/>
                </w:tcPr>
                <w:p w14:paraId="348367EA"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52</w:t>
                  </w:r>
                </w:p>
              </w:tc>
              <w:tc>
                <w:tcPr>
                  <w:tcW w:w="1620" w:type="dxa"/>
                  <w:tcBorders>
                    <w:top w:val="nil"/>
                    <w:left w:val="nil"/>
                    <w:bottom w:val="nil"/>
                    <w:right w:val="nil"/>
                  </w:tcBorders>
                  <w:shd w:val="clear" w:color="auto" w:fill="auto"/>
                  <w:noWrap/>
                  <w:vAlign w:val="bottom"/>
                  <w:hideMark/>
                </w:tcPr>
                <w:p w14:paraId="3036539A"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0.362371</w:t>
                  </w:r>
                </w:p>
              </w:tc>
              <w:tc>
                <w:tcPr>
                  <w:tcW w:w="1620" w:type="dxa"/>
                  <w:tcBorders>
                    <w:top w:val="nil"/>
                    <w:left w:val="nil"/>
                    <w:bottom w:val="nil"/>
                    <w:right w:val="nil"/>
                  </w:tcBorders>
                  <w:shd w:val="clear" w:color="auto" w:fill="auto"/>
                  <w:noWrap/>
                  <w:vAlign w:val="bottom"/>
                  <w:hideMark/>
                </w:tcPr>
                <w:p w14:paraId="2F31FB63" w14:textId="77777777" w:rsidR="00745DF8" w:rsidRPr="00745DF8" w:rsidRDefault="00745DF8" w:rsidP="00745DF8">
                  <w:pPr>
                    <w:spacing w:after="0" w:line="240" w:lineRule="auto"/>
                    <w:jc w:val="right"/>
                    <w:rPr>
                      <w:rFonts w:ascii="Times New Roman" w:eastAsia="Times New Roman" w:hAnsi="Times New Roman" w:cs="Times New Roman"/>
                      <w:color w:val="000000"/>
                    </w:rPr>
                  </w:pPr>
                </w:p>
              </w:tc>
            </w:tr>
            <w:tr w:rsidR="00745DF8" w:rsidRPr="00745DF8" w14:paraId="203035CE" w14:textId="77777777" w:rsidTr="00745DF8">
              <w:trPr>
                <w:trHeight w:val="288"/>
              </w:trPr>
              <w:tc>
                <w:tcPr>
                  <w:tcW w:w="1242" w:type="dxa"/>
                  <w:tcBorders>
                    <w:top w:val="nil"/>
                    <w:left w:val="nil"/>
                    <w:bottom w:val="nil"/>
                    <w:right w:val="nil"/>
                  </w:tcBorders>
                  <w:shd w:val="clear" w:color="auto" w:fill="auto"/>
                  <w:noWrap/>
                  <w:vAlign w:val="bottom"/>
                  <w:hideMark/>
                </w:tcPr>
                <w:p w14:paraId="45380AC1"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53</w:t>
                  </w:r>
                </w:p>
              </w:tc>
              <w:tc>
                <w:tcPr>
                  <w:tcW w:w="1620" w:type="dxa"/>
                  <w:tcBorders>
                    <w:top w:val="nil"/>
                    <w:left w:val="nil"/>
                    <w:bottom w:val="nil"/>
                    <w:right w:val="nil"/>
                  </w:tcBorders>
                  <w:shd w:val="clear" w:color="auto" w:fill="auto"/>
                  <w:noWrap/>
                  <w:vAlign w:val="bottom"/>
                  <w:hideMark/>
                </w:tcPr>
                <w:p w14:paraId="120176CB"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0.384113</w:t>
                  </w:r>
                </w:p>
              </w:tc>
              <w:tc>
                <w:tcPr>
                  <w:tcW w:w="1620" w:type="dxa"/>
                  <w:tcBorders>
                    <w:top w:val="nil"/>
                    <w:left w:val="nil"/>
                    <w:bottom w:val="nil"/>
                    <w:right w:val="nil"/>
                  </w:tcBorders>
                  <w:shd w:val="clear" w:color="auto" w:fill="auto"/>
                  <w:noWrap/>
                  <w:vAlign w:val="bottom"/>
                  <w:hideMark/>
                </w:tcPr>
                <w:p w14:paraId="5D36F3B4" w14:textId="77777777" w:rsidR="00745DF8" w:rsidRPr="00745DF8" w:rsidRDefault="00745DF8" w:rsidP="00745DF8">
                  <w:pPr>
                    <w:spacing w:after="0" w:line="240" w:lineRule="auto"/>
                    <w:jc w:val="right"/>
                    <w:rPr>
                      <w:rFonts w:ascii="Times New Roman" w:eastAsia="Times New Roman" w:hAnsi="Times New Roman" w:cs="Times New Roman"/>
                      <w:color w:val="000000"/>
                    </w:rPr>
                  </w:pPr>
                </w:p>
              </w:tc>
            </w:tr>
            <w:tr w:rsidR="00745DF8" w:rsidRPr="00745DF8" w14:paraId="363FED87" w14:textId="77777777" w:rsidTr="00745DF8">
              <w:trPr>
                <w:trHeight w:val="288"/>
              </w:trPr>
              <w:tc>
                <w:tcPr>
                  <w:tcW w:w="1242" w:type="dxa"/>
                  <w:tcBorders>
                    <w:top w:val="nil"/>
                    <w:left w:val="nil"/>
                    <w:bottom w:val="nil"/>
                    <w:right w:val="nil"/>
                  </w:tcBorders>
                  <w:shd w:val="clear" w:color="auto" w:fill="auto"/>
                  <w:noWrap/>
                  <w:vAlign w:val="bottom"/>
                  <w:hideMark/>
                </w:tcPr>
                <w:p w14:paraId="748CEB83"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54</w:t>
                  </w:r>
                </w:p>
              </w:tc>
              <w:tc>
                <w:tcPr>
                  <w:tcW w:w="1620" w:type="dxa"/>
                  <w:tcBorders>
                    <w:top w:val="nil"/>
                    <w:left w:val="nil"/>
                    <w:bottom w:val="nil"/>
                    <w:right w:val="nil"/>
                  </w:tcBorders>
                  <w:shd w:val="clear" w:color="auto" w:fill="auto"/>
                  <w:noWrap/>
                  <w:vAlign w:val="bottom"/>
                  <w:hideMark/>
                </w:tcPr>
                <w:p w14:paraId="5D33EBF6"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c>
                <w:tcPr>
                  <w:tcW w:w="1620" w:type="dxa"/>
                  <w:tcBorders>
                    <w:top w:val="nil"/>
                    <w:left w:val="nil"/>
                    <w:bottom w:val="nil"/>
                    <w:right w:val="nil"/>
                  </w:tcBorders>
                  <w:shd w:val="clear" w:color="auto" w:fill="auto"/>
                  <w:noWrap/>
                  <w:vAlign w:val="bottom"/>
                  <w:hideMark/>
                </w:tcPr>
                <w:p w14:paraId="2BF02172" w14:textId="77777777" w:rsidR="00745DF8" w:rsidRPr="00745DF8" w:rsidRDefault="00745DF8" w:rsidP="00745DF8">
                  <w:pPr>
                    <w:spacing w:after="0" w:line="240" w:lineRule="auto"/>
                    <w:jc w:val="right"/>
                    <w:rPr>
                      <w:rFonts w:ascii="Times New Roman" w:eastAsia="Times New Roman" w:hAnsi="Times New Roman" w:cs="Times New Roman"/>
                      <w:color w:val="000000"/>
                    </w:rPr>
                  </w:pPr>
                </w:p>
              </w:tc>
            </w:tr>
            <w:tr w:rsidR="00745DF8" w:rsidRPr="00745DF8" w14:paraId="53E0A41C" w14:textId="77777777" w:rsidTr="00745DF8">
              <w:trPr>
                <w:trHeight w:val="288"/>
              </w:trPr>
              <w:tc>
                <w:tcPr>
                  <w:tcW w:w="1242" w:type="dxa"/>
                  <w:tcBorders>
                    <w:top w:val="nil"/>
                    <w:left w:val="nil"/>
                    <w:bottom w:val="nil"/>
                    <w:right w:val="nil"/>
                  </w:tcBorders>
                  <w:shd w:val="clear" w:color="auto" w:fill="auto"/>
                  <w:noWrap/>
                  <w:vAlign w:val="bottom"/>
                  <w:hideMark/>
                </w:tcPr>
                <w:p w14:paraId="4D882916"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55</w:t>
                  </w:r>
                </w:p>
              </w:tc>
              <w:tc>
                <w:tcPr>
                  <w:tcW w:w="1620" w:type="dxa"/>
                  <w:tcBorders>
                    <w:top w:val="nil"/>
                    <w:left w:val="nil"/>
                    <w:bottom w:val="nil"/>
                    <w:right w:val="nil"/>
                  </w:tcBorders>
                  <w:shd w:val="clear" w:color="auto" w:fill="auto"/>
                  <w:noWrap/>
                  <w:vAlign w:val="bottom"/>
                  <w:hideMark/>
                </w:tcPr>
                <w:p w14:paraId="7B9D110C"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c>
                <w:tcPr>
                  <w:tcW w:w="1620" w:type="dxa"/>
                  <w:tcBorders>
                    <w:top w:val="nil"/>
                    <w:left w:val="nil"/>
                    <w:bottom w:val="nil"/>
                    <w:right w:val="nil"/>
                  </w:tcBorders>
                  <w:shd w:val="clear" w:color="auto" w:fill="auto"/>
                  <w:noWrap/>
                  <w:vAlign w:val="bottom"/>
                  <w:hideMark/>
                </w:tcPr>
                <w:p w14:paraId="53A3F451" w14:textId="77777777" w:rsidR="00745DF8" w:rsidRPr="00745DF8" w:rsidRDefault="00745DF8" w:rsidP="00745DF8">
                  <w:pPr>
                    <w:spacing w:after="0" w:line="240" w:lineRule="auto"/>
                    <w:jc w:val="right"/>
                    <w:rPr>
                      <w:rFonts w:ascii="Times New Roman" w:eastAsia="Times New Roman" w:hAnsi="Times New Roman" w:cs="Times New Roman"/>
                      <w:color w:val="000000"/>
                    </w:rPr>
                  </w:pPr>
                </w:p>
              </w:tc>
            </w:tr>
            <w:tr w:rsidR="00745DF8" w:rsidRPr="00745DF8" w14:paraId="21FD2B1C" w14:textId="77777777" w:rsidTr="00745DF8">
              <w:trPr>
                <w:trHeight w:val="288"/>
              </w:trPr>
              <w:tc>
                <w:tcPr>
                  <w:tcW w:w="1242" w:type="dxa"/>
                  <w:tcBorders>
                    <w:top w:val="nil"/>
                    <w:left w:val="nil"/>
                    <w:bottom w:val="nil"/>
                    <w:right w:val="nil"/>
                  </w:tcBorders>
                  <w:shd w:val="clear" w:color="auto" w:fill="auto"/>
                  <w:noWrap/>
                  <w:vAlign w:val="bottom"/>
                  <w:hideMark/>
                </w:tcPr>
                <w:p w14:paraId="6C04BA75"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56</w:t>
                  </w:r>
                </w:p>
              </w:tc>
              <w:tc>
                <w:tcPr>
                  <w:tcW w:w="1620" w:type="dxa"/>
                  <w:tcBorders>
                    <w:top w:val="nil"/>
                    <w:left w:val="nil"/>
                    <w:bottom w:val="nil"/>
                    <w:right w:val="nil"/>
                  </w:tcBorders>
                  <w:shd w:val="clear" w:color="auto" w:fill="auto"/>
                  <w:noWrap/>
                  <w:vAlign w:val="bottom"/>
                  <w:hideMark/>
                </w:tcPr>
                <w:p w14:paraId="0C72171D"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c>
                <w:tcPr>
                  <w:tcW w:w="1620" w:type="dxa"/>
                  <w:tcBorders>
                    <w:top w:val="nil"/>
                    <w:left w:val="nil"/>
                    <w:bottom w:val="nil"/>
                    <w:right w:val="nil"/>
                  </w:tcBorders>
                  <w:shd w:val="clear" w:color="auto" w:fill="auto"/>
                  <w:noWrap/>
                  <w:vAlign w:val="bottom"/>
                  <w:hideMark/>
                </w:tcPr>
                <w:p w14:paraId="0FED69B6" w14:textId="77777777" w:rsidR="00745DF8" w:rsidRPr="00745DF8" w:rsidRDefault="00745DF8" w:rsidP="00745DF8">
                  <w:pPr>
                    <w:spacing w:after="0" w:line="240" w:lineRule="auto"/>
                    <w:jc w:val="right"/>
                    <w:rPr>
                      <w:rFonts w:ascii="Times New Roman" w:eastAsia="Times New Roman" w:hAnsi="Times New Roman" w:cs="Times New Roman"/>
                      <w:color w:val="000000"/>
                    </w:rPr>
                  </w:pPr>
                </w:p>
              </w:tc>
            </w:tr>
            <w:tr w:rsidR="00745DF8" w:rsidRPr="00745DF8" w14:paraId="6935EF69" w14:textId="77777777" w:rsidTr="00745DF8">
              <w:trPr>
                <w:trHeight w:val="288"/>
              </w:trPr>
              <w:tc>
                <w:tcPr>
                  <w:tcW w:w="1242" w:type="dxa"/>
                  <w:tcBorders>
                    <w:top w:val="nil"/>
                    <w:left w:val="nil"/>
                    <w:bottom w:val="nil"/>
                    <w:right w:val="nil"/>
                  </w:tcBorders>
                  <w:shd w:val="clear" w:color="auto" w:fill="auto"/>
                  <w:noWrap/>
                  <w:vAlign w:val="bottom"/>
                  <w:hideMark/>
                </w:tcPr>
                <w:p w14:paraId="086B894C"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57</w:t>
                  </w:r>
                </w:p>
              </w:tc>
              <w:tc>
                <w:tcPr>
                  <w:tcW w:w="1620" w:type="dxa"/>
                  <w:tcBorders>
                    <w:top w:val="nil"/>
                    <w:left w:val="nil"/>
                    <w:bottom w:val="nil"/>
                    <w:right w:val="nil"/>
                  </w:tcBorders>
                  <w:shd w:val="clear" w:color="auto" w:fill="auto"/>
                  <w:noWrap/>
                  <w:vAlign w:val="bottom"/>
                  <w:hideMark/>
                </w:tcPr>
                <w:p w14:paraId="207EDDF6"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c>
                <w:tcPr>
                  <w:tcW w:w="1620" w:type="dxa"/>
                  <w:tcBorders>
                    <w:top w:val="nil"/>
                    <w:left w:val="nil"/>
                    <w:bottom w:val="nil"/>
                    <w:right w:val="nil"/>
                  </w:tcBorders>
                  <w:shd w:val="clear" w:color="auto" w:fill="auto"/>
                  <w:noWrap/>
                  <w:vAlign w:val="bottom"/>
                  <w:hideMark/>
                </w:tcPr>
                <w:p w14:paraId="3E15E66E" w14:textId="77777777" w:rsidR="00745DF8" w:rsidRPr="00745DF8" w:rsidRDefault="00745DF8" w:rsidP="00745DF8">
                  <w:pPr>
                    <w:spacing w:after="0" w:line="240" w:lineRule="auto"/>
                    <w:jc w:val="right"/>
                    <w:rPr>
                      <w:rFonts w:ascii="Times New Roman" w:eastAsia="Times New Roman" w:hAnsi="Times New Roman" w:cs="Times New Roman"/>
                      <w:color w:val="000000"/>
                    </w:rPr>
                  </w:pPr>
                </w:p>
              </w:tc>
            </w:tr>
            <w:tr w:rsidR="00745DF8" w:rsidRPr="00745DF8" w14:paraId="4F7D2A54" w14:textId="77777777" w:rsidTr="00745DF8">
              <w:trPr>
                <w:trHeight w:val="288"/>
              </w:trPr>
              <w:tc>
                <w:tcPr>
                  <w:tcW w:w="1242" w:type="dxa"/>
                  <w:tcBorders>
                    <w:top w:val="nil"/>
                    <w:left w:val="nil"/>
                    <w:bottom w:val="nil"/>
                    <w:right w:val="nil"/>
                  </w:tcBorders>
                  <w:shd w:val="clear" w:color="auto" w:fill="auto"/>
                  <w:noWrap/>
                  <w:vAlign w:val="bottom"/>
                  <w:hideMark/>
                </w:tcPr>
                <w:p w14:paraId="552E8D19"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58</w:t>
                  </w:r>
                </w:p>
              </w:tc>
              <w:tc>
                <w:tcPr>
                  <w:tcW w:w="1620" w:type="dxa"/>
                  <w:tcBorders>
                    <w:top w:val="nil"/>
                    <w:left w:val="nil"/>
                    <w:bottom w:val="nil"/>
                    <w:right w:val="nil"/>
                  </w:tcBorders>
                  <w:shd w:val="clear" w:color="auto" w:fill="auto"/>
                  <w:noWrap/>
                  <w:vAlign w:val="bottom"/>
                  <w:hideMark/>
                </w:tcPr>
                <w:p w14:paraId="75E7DEE1"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c>
                <w:tcPr>
                  <w:tcW w:w="1620" w:type="dxa"/>
                  <w:tcBorders>
                    <w:top w:val="nil"/>
                    <w:left w:val="nil"/>
                    <w:bottom w:val="nil"/>
                    <w:right w:val="nil"/>
                  </w:tcBorders>
                  <w:shd w:val="clear" w:color="auto" w:fill="auto"/>
                  <w:noWrap/>
                  <w:vAlign w:val="bottom"/>
                  <w:hideMark/>
                </w:tcPr>
                <w:p w14:paraId="5B5E6608" w14:textId="77777777" w:rsidR="00745DF8" w:rsidRPr="00745DF8" w:rsidRDefault="00745DF8" w:rsidP="00745DF8">
                  <w:pPr>
                    <w:spacing w:after="0" w:line="240" w:lineRule="auto"/>
                    <w:jc w:val="right"/>
                    <w:rPr>
                      <w:rFonts w:ascii="Times New Roman" w:eastAsia="Times New Roman" w:hAnsi="Times New Roman" w:cs="Times New Roman"/>
                      <w:color w:val="000000"/>
                    </w:rPr>
                  </w:pPr>
                </w:p>
              </w:tc>
            </w:tr>
            <w:tr w:rsidR="00745DF8" w:rsidRPr="00745DF8" w14:paraId="5D48FA62" w14:textId="77777777" w:rsidTr="00745DF8">
              <w:trPr>
                <w:trHeight w:val="288"/>
              </w:trPr>
              <w:tc>
                <w:tcPr>
                  <w:tcW w:w="1242" w:type="dxa"/>
                  <w:tcBorders>
                    <w:top w:val="nil"/>
                    <w:left w:val="nil"/>
                    <w:bottom w:val="nil"/>
                    <w:right w:val="nil"/>
                  </w:tcBorders>
                  <w:shd w:val="clear" w:color="auto" w:fill="auto"/>
                  <w:noWrap/>
                  <w:vAlign w:val="bottom"/>
                  <w:hideMark/>
                </w:tcPr>
                <w:p w14:paraId="0FCDC829"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59</w:t>
                  </w:r>
                </w:p>
              </w:tc>
              <w:tc>
                <w:tcPr>
                  <w:tcW w:w="1620" w:type="dxa"/>
                  <w:tcBorders>
                    <w:top w:val="nil"/>
                    <w:left w:val="nil"/>
                    <w:bottom w:val="nil"/>
                    <w:right w:val="nil"/>
                  </w:tcBorders>
                  <w:shd w:val="clear" w:color="auto" w:fill="auto"/>
                  <w:noWrap/>
                  <w:vAlign w:val="bottom"/>
                  <w:hideMark/>
                </w:tcPr>
                <w:p w14:paraId="64849918"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c>
                <w:tcPr>
                  <w:tcW w:w="1620" w:type="dxa"/>
                  <w:tcBorders>
                    <w:top w:val="nil"/>
                    <w:left w:val="nil"/>
                    <w:bottom w:val="nil"/>
                    <w:right w:val="nil"/>
                  </w:tcBorders>
                  <w:shd w:val="clear" w:color="auto" w:fill="auto"/>
                  <w:noWrap/>
                  <w:vAlign w:val="bottom"/>
                  <w:hideMark/>
                </w:tcPr>
                <w:p w14:paraId="4DF22381" w14:textId="77777777" w:rsidR="00745DF8" w:rsidRPr="00745DF8" w:rsidRDefault="00745DF8" w:rsidP="00745DF8">
                  <w:pPr>
                    <w:spacing w:after="0" w:line="240" w:lineRule="auto"/>
                    <w:jc w:val="right"/>
                    <w:rPr>
                      <w:rFonts w:ascii="Times New Roman" w:eastAsia="Times New Roman" w:hAnsi="Times New Roman" w:cs="Times New Roman"/>
                      <w:color w:val="000000"/>
                    </w:rPr>
                  </w:pPr>
                </w:p>
              </w:tc>
            </w:tr>
            <w:tr w:rsidR="00745DF8" w:rsidRPr="00745DF8" w14:paraId="332B747F" w14:textId="77777777" w:rsidTr="00745DF8">
              <w:trPr>
                <w:trHeight w:val="288"/>
              </w:trPr>
              <w:tc>
                <w:tcPr>
                  <w:tcW w:w="1242" w:type="dxa"/>
                  <w:tcBorders>
                    <w:top w:val="nil"/>
                    <w:left w:val="nil"/>
                    <w:bottom w:val="nil"/>
                    <w:right w:val="nil"/>
                  </w:tcBorders>
                  <w:shd w:val="clear" w:color="auto" w:fill="auto"/>
                  <w:noWrap/>
                  <w:vAlign w:val="bottom"/>
                  <w:hideMark/>
                </w:tcPr>
                <w:p w14:paraId="53BA585E"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60</w:t>
                  </w:r>
                </w:p>
              </w:tc>
              <w:tc>
                <w:tcPr>
                  <w:tcW w:w="1620" w:type="dxa"/>
                  <w:tcBorders>
                    <w:top w:val="nil"/>
                    <w:left w:val="nil"/>
                    <w:bottom w:val="nil"/>
                    <w:right w:val="nil"/>
                  </w:tcBorders>
                  <w:shd w:val="clear" w:color="auto" w:fill="auto"/>
                  <w:noWrap/>
                  <w:vAlign w:val="bottom"/>
                  <w:hideMark/>
                </w:tcPr>
                <w:p w14:paraId="2EDCF507"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c>
                <w:tcPr>
                  <w:tcW w:w="1620" w:type="dxa"/>
                  <w:tcBorders>
                    <w:top w:val="nil"/>
                    <w:left w:val="nil"/>
                    <w:bottom w:val="nil"/>
                    <w:right w:val="nil"/>
                  </w:tcBorders>
                  <w:shd w:val="clear" w:color="auto" w:fill="auto"/>
                  <w:noWrap/>
                  <w:vAlign w:val="bottom"/>
                  <w:hideMark/>
                </w:tcPr>
                <w:p w14:paraId="6DB0D014" w14:textId="77777777" w:rsidR="00745DF8" w:rsidRPr="00745DF8" w:rsidRDefault="00745DF8" w:rsidP="00745DF8">
                  <w:pPr>
                    <w:spacing w:after="0" w:line="240" w:lineRule="auto"/>
                    <w:jc w:val="right"/>
                    <w:rPr>
                      <w:rFonts w:ascii="Times New Roman" w:eastAsia="Times New Roman" w:hAnsi="Times New Roman" w:cs="Times New Roman"/>
                      <w:color w:val="000000"/>
                    </w:rPr>
                  </w:pPr>
                </w:p>
              </w:tc>
            </w:tr>
            <w:tr w:rsidR="00745DF8" w:rsidRPr="00745DF8" w14:paraId="09BB2B1C" w14:textId="77777777" w:rsidTr="00745DF8">
              <w:trPr>
                <w:trHeight w:val="288"/>
              </w:trPr>
              <w:tc>
                <w:tcPr>
                  <w:tcW w:w="1242" w:type="dxa"/>
                  <w:tcBorders>
                    <w:top w:val="nil"/>
                    <w:left w:val="nil"/>
                    <w:bottom w:val="nil"/>
                    <w:right w:val="nil"/>
                  </w:tcBorders>
                  <w:shd w:val="clear" w:color="auto" w:fill="auto"/>
                  <w:noWrap/>
                  <w:vAlign w:val="bottom"/>
                  <w:hideMark/>
                </w:tcPr>
                <w:p w14:paraId="2520EEE6"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61</w:t>
                  </w:r>
                </w:p>
              </w:tc>
              <w:tc>
                <w:tcPr>
                  <w:tcW w:w="1620" w:type="dxa"/>
                  <w:tcBorders>
                    <w:top w:val="nil"/>
                    <w:left w:val="nil"/>
                    <w:bottom w:val="nil"/>
                    <w:right w:val="nil"/>
                  </w:tcBorders>
                  <w:shd w:val="clear" w:color="auto" w:fill="auto"/>
                  <w:noWrap/>
                  <w:vAlign w:val="bottom"/>
                  <w:hideMark/>
                </w:tcPr>
                <w:p w14:paraId="7B79C152"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c>
                <w:tcPr>
                  <w:tcW w:w="1620" w:type="dxa"/>
                  <w:tcBorders>
                    <w:top w:val="nil"/>
                    <w:left w:val="nil"/>
                    <w:bottom w:val="nil"/>
                    <w:right w:val="nil"/>
                  </w:tcBorders>
                  <w:shd w:val="clear" w:color="auto" w:fill="auto"/>
                  <w:noWrap/>
                  <w:vAlign w:val="bottom"/>
                  <w:hideMark/>
                </w:tcPr>
                <w:p w14:paraId="08FA69D8" w14:textId="77777777" w:rsidR="00745DF8" w:rsidRPr="00745DF8" w:rsidRDefault="00745DF8" w:rsidP="00745DF8">
                  <w:pPr>
                    <w:spacing w:after="0" w:line="240" w:lineRule="auto"/>
                    <w:jc w:val="right"/>
                    <w:rPr>
                      <w:rFonts w:ascii="Times New Roman" w:eastAsia="Times New Roman" w:hAnsi="Times New Roman" w:cs="Times New Roman"/>
                      <w:color w:val="000000"/>
                    </w:rPr>
                  </w:pPr>
                </w:p>
              </w:tc>
            </w:tr>
            <w:tr w:rsidR="00745DF8" w:rsidRPr="00745DF8" w14:paraId="55457BD6" w14:textId="77777777" w:rsidTr="00745DF8">
              <w:trPr>
                <w:trHeight w:val="288"/>
              </w:trPr>
              <w:tc>
                <w:tcPr>
                  <w:tcW w:w="1242" w:type="dxa"/>
                  <w:tcBorders>
                    <w:top w:val="nil"/>
                    <w:left w:val="nil"/>
                    <w:bottom w:val="nil"/>
                    <w:right w:val="nil"/>
                  </w:tcBorders>
                  <w:shd w:val="clear" w:color="auto" w:fill="auto"/>
                  <w:noWrap/>
                  <w:vAlign w:val="bottom"/>
                  <w:hideMark/>
                </w:tcPr>
                <w:p w14:paraId="6C718804"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62</w:t>
                  </w:r>
                </w:p>
              </w:tc>
              <w:tc>
                <w:tcPr>
                  <w:tcW w:w="1620" w:type="dxa"/>
                  <w:tcBorders>
                    <w:top w:val="nil"/>
                    <w:left w:val="nil"/>
                    <w:bottom w:val="nil"/>
                    <w:right w:val="nil"/>
                  </w:tcBorders>
                  <w:shd w:val="clear" w:color="auto" w:fill="auto"/>
                  <w:noWrap/>
                  <w:vAlign w:val="bottom"/>
                  <w:hideMark/>
                </w:tcPr>
                <w:p w14:paraId="5A7C0028"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c>
                <w:tcPr>
                  <w:tcW w:w="1620" w:type="dxa"/>
                  <w:tcBorders>
                    <w:top w:val="nil"/>
                    <w:left w:val="nil"/>
                    <w:bottom w:val="nil"/>
                    <w:right w:val="nil"/>
                  </w:tcBorders>
                  <w:shd w:val="clear" w:color="auto" w:fill="auto"/>
                  <w:noWrap/>
                  <w:vAlign w:val="bottom"/>
                  <w:hideMark/>
                </w:tcPr>
                <w:p w14:paraId="621EDE5D" w14:textId="77777777" w:rsidR="00745DF8" w:rsidRPr="00745DF8" w:rsidRDefault="00745DF8" w:rsidP="00745DF8">
                  <w:pPr>
                    <w:spacing w:after="0" w:line="240" w:lineRule="auto"/>
                    <w:jc w:val="right"/>
                    <w:rPr>
                      <w:rFonts w:ascii="Times New Roman" w:eastAsia="Times New Roman" w:hAnsi="Times New Roman" w:cs="Times New Roman"/>
                      <w:color w:val="000000"/>
                    </w:rPr>
                  </w:pPr>
                </w:p>
              </w:tc>
            </w:tr>
            <w:tr w:rsidR="00745DF8" w:rsidRPr="00745DF8" w14:paraId="2A56F179" w14:textId="77777777" w:rsidTr="00745DF8">
              <w:trPr>
                <w:trHeight w:val="288"/>
              </w:trPr>
              <w:tc>
                <w:tcPr>
                  <w:tcW w:w="1242" w:type="dxa"/>
                  <w:tcBorders>
                    <w:top w:val="nil"/>
                    <w:left w:val="nil"/>
                    <w:bottom w:val="nil"/>
                    <w:right w:val="nil"/>
                  </w:tcBorders>
                  <w:shd w:val="clear" w:color="auto" w:fill="auto"/>
                  <w:noWrap/>
                  <w:vAlign w:val="bottom"/>
                  <w:hideMark/>
                </w:tcPr>
                <w:p w14:paraId="65ACA9B7"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63</w:t>
                  </w:r>
                </w:p>
              </w:tc>
              <w:tc>
                <w:tcPr>
                  <w:tcW w:w="1620" w:type="dxa"/>
                  <w:tcBorders>
                    <w:top w:val="nil"/>
                    <w:left w:val="nil"/>
                    <w:bottom w:val="nil"/>
                    <w:right w:val="nil"/>
                  </w:tcBorders>
                  <w:shd w:val="clear" w:color="auto" w:fill="auto"/>
                  <w:noWrap/>
                  <w:vAlign w:val="bottom"/>
                  <w:hideMark/>
                </w:tcPr>
                <w:p w14:paraId="2BF7BDAE"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c>
                <w:tcPr>
                  <w:tcW w:w="1620" w:type="dxa"/>
                  <w:tcBorders>
                    <w:top w:val="nil"/>
                    <w:left w:val="nil"/>
                    <w:bottom w:val="nil"/>
                    <w:right w:val="nil"/>
                  </w:tcBorders>
                  <w:shd w:val="clear" w:color="auto" w:fill="auto"/>
                  <w:noWrap/>
                  <w:vAlign w:val="bottom"/>
                  <w:hideMark/>
                </w:tcPr>
                <w:p w14:paraId="5A347AC6" w14:textId="77777777" w:rsidR="00745DF8" w:rsidRPr="00745DF8" w:rsidRDefault="00745DF8" w:rsidP="00745DF8">
                  <w:pPr>
                    <w:spacing w:after="0" w:line="240" w:lineRule="auto"/>
                    <w:jc w:val="right"/>
                    <w:rPr>
                      <w:rFonts w:ascii="Times New Roman" w:eastAsia="Times New Roman" w:hAnsi="Times New Roman" w:cs="Times New Roman"/>
                      <w:color w:val="000000"/>
                    </w:rPr>
                  </w:pPr>
                </w:p>
              </w:tc>
            </w:tr>
            <w:tr w:rsidR="00745DF8" w:rsidRPr="00745DF8" w14:paraId="56AB4918" w14:textId="77777777" w:rsidTr="00745DF8">
              <w:trPr>
                <w:trHeight w:val="288"/>
              </w:trPr>
              <w:tc>
                <w:tcPr>
                  <w:tcW w:w="1242" w:type="dxa"/>
                  <w:tcBorders>
                    <w:top w:val="nil"/>
                    <w:left w:val="nil"/>
                    <w:bottom w:val="nil"/>
                    <w:right w:val="nil"/>
                  </w:tcBorders>
                  <w:shd w:val="clear" w:color="auto" w:fill="auto"/>
                  <w:noWrap/>
                  <w:vAlign w:val="bottom"/>
                  <w:hideMark/>
                </w:tcPr>
                <w:p w14:paraId="647A65E1"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64</w:t>
                  </w:r>
                </w:p>
              </w:tc>
              <w:tc>
                <w:tcPr>
                  <w:tcW w:w="1620" w:type="dxa"/>
                  <w:tcBorders>
                    <w:top w:val="nil"/>
                    <w:left w:val="nil"/>
                    <w:bottom w:val="nil"/>
                    <w:right w:val="nil"/>
                  </w:tcBorders>
                  <w:shd w:val="clear" w:color="auto" w:fill="auto"/>
                  <w:noWrap/>
                  <w:vAlign w:val="bottom"/>
                  <w:hideMark/>
                </w:tcPr>
                <w:p w14:paraId="46A3480C"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c>
                <w:tcPr>
                  <w:tcW w:w="1620" w:type="dxa"/>
                  <w:tcBorders>
                    <w:top w:val="nil"/>
                    <w:left w:val="nil"/>
                    <w:bottom w:val="nil"/>
                    <w:right w:val="nil"/>
                  </w:tcBorders>
                  <w:shd w:val="clear" w:color="auto" w:fill="auto"/>
                  <w:noWrap/>
                  <w:vAlign w:val="bottom"/>
                  <w:hideMark/>
                </w:tcPr>
                <w:p w14:paraId="010FD000" w14:textId="77777777" w:rsidR="00745DF8" w:rsidRPr="00745DF8" w:rsidRDefault="00745DF8" w:rsidP="00745DF8">
                  <w:pPr>
                    <w:spacing w:after="0" w:line="240" w:lineRule="auto"/>
                    <w:jc w:val="right"/>
                    <w:rPr>
                      <w:rFonts w:ascii="Times New Roman" w:eastAsia="Times New Roman" w:hAnsi="Times New Roman" w:cs="Times New Roman"/>
                      <w:color w:val="000000"/>
                    </w:rPr>
                  </w:pPr>
                </w:p>
              </w:tc>
            </w:tr>
            <w:tr w:rsidR="00745DF8" w:rsidRPr="00745DF8" w14:paraId="3FC0DD3F" w14:textId="77777777" w:rsidTr="00745DF8">
              <w:trPr>
                <w:trHeight w:val="288"/>
              </w:trPr>
              <w:tc>
                <w:tcPr>
                  <w:tcW w:w="1242" w:type="dxa"/>
                  <w:tcBorders>
                    <w:top w:val="nil"/>
                    <w:left w:val="nil"/>
                    <w:bottom w:val="nil"/>
                    <w:right w:val="nil"/>
                  </w:tcBorders>
                  <w:shd w:val="clear" w:color="auto" w:fill="auto"/>
                  <w:noWrap/>
                  <w:vAlign w:val="bottom"/>
                  <w:hideMark/>
                </w:tcPr>
                <w:p w14:paraId="0420074C"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65</w:t>
                  </w:r>
                </w:p>
              </w:tc>
              <w:tc>
                <w:tcPr>
                  <w:tcW w:w="1620" w:type="dxa"/>
                  <w:tcBorders>
                    <w:top w:val="nil"/>
                    <w:left w:val="nil"/>
                    <w:bottom w:val="nil"/>
                    <w:right w:val="nil"/>
                  </w:tcBorders>
                  <w:shd w:val="clear" w:color="auto" w:fill="auto"/>
                  <w:noWrap/>
                  <w:vAlign w:val="bottom"/>
                  <w:hideMark/>
                </w:tcPr>
                <w:p w14:paraId="5BC4AAED"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0.400000</w:t>
                  </w:r>
                </w:p>
              </w:tc>
              <w:tc>
                <w:tcPr>
                  <w:tcW w:w="1620" w:type="dxa"/>
                  <w:tcBorders>
                    <w:top w:val="nil"/>
                    <w:left w:val="nil"/>
                    <w:bottom w:val="nil"/>
                    <w:right w:val="nil"/>
                  </w:tcBorders>
                  <w:shd w:val="clear" w:color="auto" w:fill="auto"/>
                  <w:noWrap/>
                  <w:vAlign w:val="bottom"/>
                  <w:hideMark/>
                </w:tcPr>
                <w:p w14:paraId="22DE2868" w14:textId="77777777" w:rsidR="00745DF8" w:rsidRPr="00745DF8" w:rsidRDefault="00745DF8" w:rsidP="00745DF8">
                  <w:pPr>
                    <w:spacing w:after="0" w:line="240" w:lineRule="auto"/>
                    <w:jc w:val="right"/>
                    <w:rPr>
                      <w:rFonts w:ascii="Times New Roman" w:eastAsia="Times New Roman" w:hAnsi="Times New Roman" w:cs="Times New Roman"/>
                      <w:color w:val="000000"/>
                    </w:rPr>
                  </w:pPr>
                </w:p>
              </w:tc>
            </w:tr>
            <w:tr w:rsidR="00745DF8" w:rsidRPr="00745DF8" w14:paraId="5EB74E9E" w14:textId="77777777" w:rsidTr="00745DF8">
              <w:trPr>
                <w:trHeight w:val="288"/>
              </w:trPr>
              <w:tc>
                <w:tcPr>
                  <w:tcW w:w="1242" w:type="dxa"/>
                  <w:tcBorders>
                    <w:top w:val="nil"/>
                    <w:left w:val="nil"/>
                    <w:bottom w:val="nil"/>
                    <w:right w:val="nil"/>
                  </w:tcBorders>
                  <w:shd w:val="clear" w:color="auto" w:fill="auto"/>
                  <w:noWrap/>
                  <w:vAlign w:val="bottom"/>
                  <w:hideMark/>
                </w:tcPr>
                <w:p w14:paraId="64F48DF4" w14:textId="77777777" w:rsidR="00745DF8" w:rsidRPr="00745DF8" w:rsidRDefault="00745DF8" w:rsidP="00745DF8">
                  <w:pPr>
                    <w:spacing w:after="0" w:line="240" w:lineRule="auto"/>
                    <w:jc w:val="center"/>
                    <w:rPr>
                      <w:rFonts w:ascii="Times New Roman" w:eastAsia="Times New Roman" w:hAnsi="Times New Roman" w:cs="Times New Roman"/>
                      <w:color w:val="000000"/>
                    </w:rPr>
                  </w:pPr>
                  <w:r w:rsidRPr="00745DF8">
                    <w:rPr>
                      <w:rFonts w:ascii="Times New Roman" w:eastAsia="Times New Roman" w:hAnsi="Times New Roman" w:cs="Times New Roman"/>
                      <w:color w:val="000000"/>
                    </w:rPr>
                    <w:t>66</w:t>
                  </w:r>
                </w:p>
              </w:tc>
              <w:tc>
                <w:tcPr>
                  <w:tcW w:w="1620" w:type="dxa"/>
                  <w:tcBorders>
                    <w:top w:val="nil"/>
                    <w:left w:val="nil"/>
                    <w:bottom w:val="nil"/>
                    <w:right w:val="nil"/>
                  </w:tcBorders>
                  <w:shd w:val="clear" w:color="auto" w:fill="auto"/>
                  <w:noWrap/>
                  <w:vAlign w:val="bottom"/>
                  <w:hideMark/>
                </w:tcPr>
                <w:p w14:paraId="14F6C234" w14:textId="77777777" w:rsidR="00745DF8" w:rsidRPr="00745DF8" w:rsidRDefault="00745DF8" w:rsidP="00745DF8">
                  <w:pPr>
                    <w:spacing w:after="0" w:line="240" w:lineRule="auto"/>
                    <w:jc w:val="right"/>
                    <w:rPr>
                      <w:rFonts w:ascii="Times New Roman" w:eastAsia="Times New Roman" w:hAnsi="Times New Roman" w:cs="Times New Roman"/>
                      <w:color w:val="000000"/>
                    </w:rPr>
                  </w:pPr>
                  <w:r w:rsidRPr="00745DF8">
                    <w:rPr>
                      <w:rFonts w:ascii="Times New Roman" w:eastAsia="Times New Roman" w:hAnsi="Times New Roman" w:cs="Times New Roman"/>
                      <w:color w:val="000000"/>
                    </w:rPr>
                    <w:t>1.000000</w:t>
                  </w:r>
                </w:p>
              </w:tc>
              <w:tc>
                <w:tcPr>
                  <w:tcW w:w="1620" w:type="dxa"/>
                  <w:tcBorders>
                    <w:top w:val="nil"/>
                    <w:left w:val="nil"/>
                    <w:bottom w:val="nil"/>
                    <w:right w:val="nil"/>
                  </w:tcBorders>
                  <w:shd w:val="clear" w:color="auto" w:fill="auto"/>
                  <w:noWrap/>
                  <w:vAlign w:val="bottom"/>
                  <w:hideMark/>
                </w:tcPr>
                <w:p w14:paraId="59850255" w14:textId="77777777" w:rsidR="00745DF8" w:rsidRPr="00745DF8" w:rsidRDefault="00745DF8" w:rsidP="00745DF8">
                  <w:pPr>
                    <w:spacing w:after="0" w:line="240" w:lineRule="auto"/>
                    <w:jc w:val="right"/>
                    <w:rPr>
                      <w:rFonts w:ascii="Times New Roman" w:eastAsia="Times New Roman" w:hAnsi="Times New Roman" w:cs="Times New Roman"/>
                      <w:color w:val="000000"/>
                    </w:rPr>
                  </w:pPr>
                </w:p>
              </w:tc>
            </w:tr>
          </w:tbl>
          <w:p w14:paraId="78A18FFB" w14:textId="41ED550F" w:rsidR="00EA565E" w:rsidRPr="00EA565E" w:rsidRDefault="00745DF8" w:rsidP="00745DF8">
            <w:pPr>
              <w:rPr>
                <w:rFonts w:ascii="Times New Roman" w:eastAsia="Times New Roman" w:hAnsi="Times New Roman" w:cs="Times New Roman"/>
                <w:color w:val="000000"/>
                <w:u w:val="single"/>
              </w:rPr>
            </w:pPr>
            <w:r w:rsidRPr="00EA565E">
              <w:rPr>
                <w:rFonts w:ascii="Times New Roman" w:eastAsia="Times New Roman" w:hAnsi="Times New Roman" w:cs="Times New Roman"/>
                <w:color w:val="000000"/>
                <w:u w:val="single"/>
              </w:rPr>
              <w:t xml:space="preserve"> </w:t>
            </w:r>
          </w:p>
        </w:tc>
        <w:tc>
          <w:tcPr>
            <w:tcW w:w="1344" w:type="dxa"/>
            <w:tcBorders>
              <w:top w:val="nil"/>
              <w:left w:val="nil"/>
              <w:bottom w:val="nil"/>
              <w:right w:val="nil"/>
            </w:tcBorders>
            <w:shd w:val="clear" w:color="auto" w:fill="auto"/>
            <w:noWrap/>
            <w:vAlign w:val="bottom"/>
          </w:tcPr>
          <w:p w14:paraId="691D91F5" w14:textId="2ED10347" w:rsidR="00EA565E" w:rsidRPr="00EA565E" w:rsidRDefault="00EA565E" w:rsidP="00EA565E">
            <w:pPr>
              <w:spacing w:after="0" w:line="240" w:lineRule="auto"/>
              <w:rPr>
                <w:rFonts w:ascii="Times New Roman" w:eastAsia="Times New Roman" w:hAnsi="Times New Roman" w:cs="Times New Roman"/>
                <w:color w:val="000000"/>
                <w:u w:val="single"/>
              </w:rPr>
            </w:pPr>
          </w:p>
        </w:tc>
        <w:tc>
          <w:tcPr>
            <w:tcW w:w="1344" w:type="dxa"/>
            <w:tcBorders>
              <w:top w:val="nil"/>
              <w:left w:val="nil"/>
              <w:bottom w:val="nil"/>
              <w:right w:val="nil"/>
            </w:tcBorders>
            <w:shd w:val="clear" w:color="auto" w:fill="auto"/>
            <w:noWrap/>
            <w:vAlign w:val="bottom"/>
          </w:tcPr>
          <w:p w14:paraId="2E7554EC" w14:textId="4FA60314" w:rsidR="00EA565E" w:rsidRPr="00EA565E" w:rsidRDefault="00EA565E" w:rsidP="00EA565E">
            <w:pPr>
              <w:spacing w:after="0" w:line="240" w:lineRule="auto"/>
              <w:rPr>
                <w:rFonts w:ascii="Times New Roman" w:eastAsia="Times New Roman" w:hAnsi="Times New Roman" w:cs="Times New Roman"/>
                <w:color w:val="000000"/>
                <w:u w:val="single"/>
              </w:rPr>
            </w:pPr>
          </w:p>
        </w:tc>
      </w:tr>
      <w:tr w:rsidR="00EA565E" w:rsidRPr="00EA565E" w14:paraId="75295527" w14:textId="77777777" w:rsidTr="00745DF8">
        <w:trPr>
          <w:trHeight w:val="288"/>
        </w:trPr>
        <w:tc>
          <w:tcPr>
            <w:tcW w:w="6672" w:type="dxa"/>
            <w:tcBorders>
              <w:top w:val="nil"/>
              <w:left w:val="nil"/>
              <w:bottom w:val="nil"/>
              <w:right w:val="nil"/>
            </w:tcBorders>
            <w:shd w:val="clear" w:color="auto" w:fill="auto"/>
            <w:noWrap/>
            <w:vAlign w:val="bottom"/>
          </w:tcPr>
          <w:p w14:paraId="6769F9CA" w14:textId="396C2C48"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7A0AF45" w14:textId="2215CD28"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A70D1B2" w14:textId="0D918130"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2F163377" w14:textId="77777777" w:rsidTr="00745DF8">
        <w:trPr>
          <w:trHeight w:val="288"/>
        </w:trPr>
        <w:tc>
          <w:tcPr>
            <w:tcW w:w="6672" w:type="dxa"/>
            <w:tcBorders>
              <w:top w:val="nil"/>
              <w:left w:val="nil"/>
              <w:bottom w:val="nil"/>
              <w:right w:val="nil"/>
            </w:tcBorders>
            <w:shd w:val="clear" w:color="auto" w:fill="auto"/>
            <w:noWrap/>
            <w:vAlign w:val="bottom"/>
          </w:tcPr>
          <w:p w14:paraId="4DB4C1E9" w14:textId="399AF616"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2A7FF484" w14:textId="3AADD396"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09D442E0" w14:textId="05EB9B34"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4D878B97" w14:textId="77777777" w:rsidTr="00745DF8">
        <w:trPr>
          <w:trHeight w:val="288"/>
        </w:trPr>
        <w:tc>
          <w:tcPr>
            <w:tcW w:w="6672" w:type="dxa"/>
            <w:tcBorders>
              <w:top w:val="nil"/>
              <w:left w:val="nil"/>
              <w:bottom w:val="nil"/>
              <w:right w:val="nil"/>
            </w:tcBorders>
            <w:shd w:val="clear" w:color="auto" w:fill="auto"/>
            <w:noWrap/>
            <w:vAlign w:val="bottom"/>
          </w:tcPr>
          <w:p w14:paraId="01C11687" w14:textId="46BF9E11"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789F8A8" w14:textId="023BAF45"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315270A" w14:textId="08DF869B"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0B94108B" w14:textId="77777777" w:rsidTr="00745DF8">
        <w:trPr>
          <w:trHeight w:val="288"/>
        </w:trPr>
        <w:tc>
          <w:tcPr>
            <w:tcW w:w="6672" w:type="dxa"/>
            <w:tcBorders>
              <w:top w:val="nil"/>
              <w:left w:val="nil"/>
              <w:bottom w:val="nil"/>
              <w:right w:val="nil"/>
            </w:tcBorders>
            <w:shd w:val="clear" w:color="auto" w:fill="auto"/>
            <w:noWrap/>
            <w:vAlign w:val="bottom"/>
          </w:tcPr>
          <w:p w14:paraId="6402FB57" w14:textId="63199108"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171307D" w14:textId="1F38DA40"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E5E1D3A" w14:textId="401FCE44"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47957351" w14:textId="77777777" w:rsidTr="00745DF8">
        <w:trPr>
          <w:trHeight w:val="288"/>
        </w:trPr>
        <w:tc>
          <w:tcPr>
            <w:tcW w:w="6672" w:type="dxa"/>
            <w:tcBorders>
              <w:top w:val="nil"/>
              <w:left w:val="nil"/>
              <w:bottom w:val="nil"/>
              <w:right w:val="nil"/>
            </w:tcBorders>
            <w:shd w:val="clear" w:color="auto" w:fill="auto"/>
            <w:noWrap/>
            <w:vAlign w:val="bottom"/>
          </w:tcPr>
          <w:p w14:paraId="4A4B4923" w14:textId="3234E22F"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54196BC" w14:textId="633CE548"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00408E08" w14:textId="66DDBA31"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3673E824" w14:textId="77777777" w:rsidTr="00745DF8">
        <w:trPr>
          <w:trHeight w:val="288"/>
        </w:trPr>
        <w:tc>
          <w:tcPr>
            <w:tcW w:w="6672" w:type="dxa"/>
            <w:tcBorders>
              <w:top w:val="nil"/>
              <w:left w:val="nil"/>
              <w:bottom w:val="nil"/>
              <w:right w:val="nil"/>
            </w:tcBorders>
            <w:shd w:val="clear" w:color="auto" w:fill="auto"/>
            <w:noWrap/>
            <w:vAlign w:val="bottom"/>
          </w:tcPr>
          <w:p w14:paraId="4B75BCEC" w14:textId="5E40C044"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7EDD916E" w14:textId="7839D8D8"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5213827" w14:textId="31D5F58C"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025B058C" w14:textId="77777777" w:rsidTr="00745DF8">
        <w:trPr>
          <w:trHeight w:val="288"/>
        </w:trPr>
        <w:tc>
          <w:tcPr>
            <w:tcW w:w="6672" w:type="dxa"/>
            <w:tcBorders>
              <w:top w:val="nil"/>
              <w:left w:val="nil"/>
              <w:bottom w:val="nil"/>
              <w:right w:val="nil"/>
            </w:tcBorders>
            <w:shd w:val="clear" w:color="auto" w:fill="auto"/>
            <w:noWrap/>
            <w:vAlign w:val="bottom"/>
          </w:tcPr>
          <w:p w14:paraId="179D7ADB" w14:textId="7ACA207B"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0F7EEBDE" w14:textId="6F50689C"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32B61FE" w14:textId="751CDCD2"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4D957B5C" w14:textId="77777777" w:rsidTr="00745DF8">
        <w:trPr>
          <w:trHeight w:val="288"/>
        </w:trPr>
        <w:tc>
          <w:tcPr>
            <w:tcW w:w="6672" w:type="dxa"/>
            <w:tcBorders>
              <w:top w:val="nil"/>
              <w:left w:val="nil"/>
              <w:bottom w:val="nil"/>
              <w:right w:val="nil"/>
            </w:tcBorders>
            <w:shd w:val="clear" w:color="auto" w:fill="auto"/>
            <w:noWrap/>
            <w:vAlign w:val="bottom"/>
          </w:tcPr>
          <w:p w14:paraId="78F08F24" w14:textId="59953B07"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FB05CA1" w14:textId="1F1090F1"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BDE6354" w14:textId="374CF99B"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25224CBD" w14:textId="77777777" w:rsidTr="00745DF8">
        <w:trPr>
          <w:trHeight w:val="288"/>
        </w:trPr>
        <w:tc>
          <w:tcPr>
            <w:tcW w:w="6672" w:type="dxa"/>
            <w:tcBorders>
              <w:top w:val="nil"/>
              <w:left w:val="nil"/>
              <w:bottom w:val="nil"/>
              <w:right w:val="nil"/>
            </w:tcBorders>
            <w:shd w:val="clear" w:color="auto" w:fill="auto"/>
            <w:noWrap/>
            <w:vAlign w:val="bottom"/>
          </w:tcPr>
          <w:p w14:paraId="7AAA5D59" w14:textId="1D1A0F19"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74CC12DE" w14:textId="05F82E6F"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53FCD272" w14:textId="4D064E5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5248EFB4" w14:textId="77777777" w:rsidTr="00745DF8">
        <w:trPr>
          <w:trHeight w:val="288"/>
        </w:trPr>
        <w:tc>
          <w:tcPr>
            <w:tcW w:w="6672" w:type="dxa"/>
            <w:tcBorders>
              <w:top w:val="nil"/>
              <w:left w:val="nil"/>
              <w:bottom w:val="nil"/>
              <w:right w:val="nil"/>
            </w:tcBorders>
            <w:shd w:val="clear" w:color="auto" w:fill="auto"/>
            <w:noWrap/>
            <w:vAlign w:val="bottom"/>
          </w:tcPr>
          <w:p w14:paraId="2FE6A2A9" w14:textId="27FC6787"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DFB097B" w14:textId="2D0B5D06"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2A79696" w14:textId="0BC20375"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2DD201BD" w14:textId="77777777" w:rsidTr="00745DF8">
        <w:trPr>
          <w:trHeight w:val="288"/>
        </w:trPr>
        <w:tc>
          <w:tcPr>
            <w:tcW w:w="6672" w:type="dxa"/>
            <w:tcBorders>
              <w:top w:val="nil"/>
              <w:left w:val="nil"/>
              <w:bottom w:val="nil"/>
              <w:right w:val="nil"/>
            </w:tcBorders>
            <w:shd w:val="clear" w:color="auto" w:fill="auto"/>
            <w:noWrap/>
            <w:vAlign w:val="bottom"/>
          </w:tcPr>
          <w:p w14:paraId="5320A5DB" w14:textId="5206C60F"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268797C1" w14:textId="730CEDAC"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AD58EBF" w14:textId="191C704D"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581E8480" w14:textId="77777777" w:rsidTr="00745DF8">
        <w:trPr>
          <w:trHeight w:val="288"/>
        </w:trPr>
        <w:tc>
          <w:tcPr>
            <w:tcW w:w="6672" w:type="dxa"/>
            <w:tcBorders>
              <w:top w:val="nil"/>
              <w:left w:val="nil"/>
              <w:bottom w:val="nil"/>
              <w:right w:val="nil"/>
            </w:tcBorders>
            <w:shd w:val="clear" w:color="auto" w:fill="auto"/>
            <w:noWrap/>
            <w:vAlign w:val="bottom"/>
          </w:tcPr>
          <w:p w14:paraId="6C998D05" w14:textId="73745E94"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59C3DF18" w14:textId="52A08753"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A52734F" w14:textId="68E920E9"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743DF745" w14:textId="77777777" w:rsidTr="00745DF8">
        <w:trPr>
          <w:trHeight w:val="288"/>
        </w:trPr>
        <w:tc>
          <w:tcPr>
            <w:tcW w:w="6672" w:type="dxa"/>
            <w:tcBorders>
              <w:top w:val="nil"/>
              <w:left w:val="nil"/>
              <w:bottom w:val="nil"/>
              <w:right w:val="nil"/>
            </w:tcBorders>
            <w:shd w:val="clear" w:color="auto" w:fill="auto"/>
            <w:noWrap/>
            <w:vAlign w:val="bottom"/>
          </w:tcPr>
          <w:p w14:paraId="25CE046F" w14:textId="15612E42"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B8CD94F" w14:textId="61A1C075"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5799461" w14:textId="525D5564"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5072849B" w14:textId="77777777" w:rsidTr="00745DF8">
        <w:trPr>
          <w:trHeight w:val="288"/>
        </w:trPr>
        <w:tc>
          <w:tcPr>
            <w:tcW w:w="6672" w:type="dxa"/>
            <w:tcBorders>
              <w:top w:val="nil"/>
              <w:left w:val="nil"/>
              <w:bottom w:val="nil"/>
              <w:right w:val="nil"/>
            </w:tcBorders>
            <w:shd w:val="clear" w:color="auto" w:fill="auto"/>
            <w:noWrap/>
            <w:vAlign w:val="bottom"/>
          </w:tcPr>
          <w:p w14:paraId="08440E73" w14:textId="1ED57790"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5EB1956" w14:textId="2AD74096"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737BDA1" w14:textId="4C386714"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448984FD" w14:textId="77777777" w:rsidTr="00745DF8">
        <w:trPr>
          <w:trHeight w:val="288"/>
        </w:trPr>
        <w:tc>
          <w:tcPr>
            <w:tcW w:w="6672" w:type="dxa"/>
            <w:tcBorders>
              <w:top w:val="nil"/>
              <w:left w:val="nil"/>
              <w:bottom w:val="nil"/>
              <w:right w:val="nil"/>
            </w:tcBorders>
            <w:shd w:val="clear" w:color="auto" w:fill="auto"/>
            <w:noWrap/>
            <w:vAlign w:val="bottom"/>
          </w:tcPr>
          <w:p w14:paraId="54561436" w14:textId="17D23B7A"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055236A9" w14:textId="24D4EE99"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E07991B" w14:textId="7E588435"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2F5E5325" w14:textId="77777777" w:rsidTr="00745DF8">
        <w:trPr>
          <w:trHeight w:val="288"/>
        </w:trPr>
        <w:tc>
          <w:tcPr>
            <w:tcW w:w="6672" w:type="dxa"/>
            <w:tcBorders>
              <w:top w:val="nil"/>
              <w:left w:val="nil"/>
              <w:bottom w:val="nil"/>
              <w:right w:val="nil"/>
            </w:tcBorders>
            <w:shd w:val="clear" w:color="auto" w:fill="auto"/>
            <w:noWrap/>
            <w:vAlign w:val="bottom"/>
          </w:tcPr>
          <w:p w14:paraId="6ABFB221" w14:textId="6788A983"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57217C1F" w14:textId="7DACC183"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AA38CD3" w14:textId="77406D44"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67C6D6EC" w14:textId="77777777" w:rsidTr="00745DF8">
        <w:trPr>
          <w:trHeight w:val="288"/>
        </w:trPr>
        <w:tc>
          <w:tcPr>
            <w:tcW w:w="6672" w:type="dxa"/>
            <w:tcBorders>
              <w:top w:val="nil"/>
              <w:left w:val="nil"/>
              <w:bottom w:val="nil"/>
              <w:right w:val="nil"/>
            </w:tcBorders>
            <w:shd w:val="clear" w:color="auto" w:fill="auto"/>
            <w:noWrap/>
            <w:vAlign w:val="bottom"/>
          </w:tcPr>
          <w:p w14:paraId="50A879C6" w14:textId="3BD5FDDF"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A5477C5" w14:textId="0F68A030"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583AE69" w14:textId="00DBE83A"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3AEE0F4E" w14:textId="77777777" w:rsidTr="00745DF8">
        <w:trPr>
          <w:trHeight w:val="288"/>
        </w:trPr>
        <w:tc>
          <w:tcPr>
            <w:tcW w:w="6672" w:type="dxa"/>
            <w:tcBorders>
              <w:top w:val="nil"/>
              <w:left w:val="nil"/>
              <w:bottom w:val="nil"/>
              <w:right w:val="nil"/>
            </w:tcBorders>
            <w:shd w:val="clear" w:color="auto" w:fill="auto"/>
            <w:noWrap/>
            <w:vAlign w:val="bottom"/>
          </w:tcPr>
          <w:p w14:paraId="52300156" w14:textId="2341BF65"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6B025C6" w14:textId="12F384FE"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7EA5D51F" w14:textId="1B792E5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45110C98" w14:textId="77777777" w:rsidTr="00745DF8">
        <w:trPr>
          <w:trHeight w:val="288"/>
        </w:trPr>
        <w:tc>
          <w:tcPr>
            <w:tcW w:w="6672" w:type="dxa"/>
            <w:tcBorders>
              <w:top w:val="nil"/>
              <w:left w:val="nil"/>
              <w:bottom w:val="nil"/>
              <w:right w:val="nil"/>
            </w:tcBorders>
            <w:shd w:val="clear" w:color="auto" w:fill="auto"/>
            <w:noWrap/>
            <w:vAlign w:val="bottom"/>
          </w:tcPr>
          <w:p w14:paraId="59CE05B7" w14:textId="21ABC709"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FBE2A47" w14:textId="5164C379"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D68B5BE" w14:textId="2C58453B"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0171D656" w14:textId="77777777" w:rsidTr="00745DF8">
        <w:trPr>
          <w:trHeight w:val="288"/>
        </w:trPr>
        <w:tc>
          <w:tcPr>
            <w:tcW w:w="6672" w:type="dxa"/>
            <w:tcBorders>
              <w:top w:val="nil"/>
              <w:left w:val="nil"/>
              <w:bottom w:val="nil"/>
              <w:right w:val="nil"/>
            </w:tcBorders>
            <w:shd w:val="clear" w:color="auto" w:fill="auto"/>
            <w:noWrap/>
            <w:vAlign w:val="bottom"/>
          </w:tcPr>
          <w:p w14:paraId="3A1D0381" w14:textId="038E89C1"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061C2F01" w14:textId="4162BA36"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0243E341" w14:textId="55FF6216"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6C002FAE" w14:textId="77777777" w:rsidTr="00745DF8">
        <w:trPr>
          <w:trHeight w:val="288"/>
        </w:trPr>
        <w:tc>
          <w:tcPr>
            <w:tcW w:w="6672" w:type="dxa"/>
            <w:tcBorders>
              <w:top w:val="nil"/>
              <w:left w:val="nil"/>
              <w:bottom w:val="nil"/>
              <w:right w:val="nil"/>
            </w:tcBorders>
            <w:shd w:val="clear" w:color="auto" w:fill="auto"/>
            <w:noWrap/>
            <w:vAlign w:val="bottom"/>
          </w:tcPr>
          <w:p w14:paraId="07384AAF" w14:textId="292285EB"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595D0D8" w14:textId="642CE38D"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2F79BACE" w14:textId="0E476651"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49FF4C32" w14:textId="77777777" w:rsidTr="00745DF8">
        <w:trPr>
          <w:trHeight w:val="288"/>
        </w:trPr>
        <w:tc>
          <w:tcPr>
            <w:tcW w:w="6672" w:type="dxa"/>
            <w:tcBorders>
              <w:top w:val="nil"/>
              <w:left w:val="nil"/>
              <w:bottom w:val="nil"/>
              <w:right w:val="nil"/>
            </w:tcBorders>
            <w:shd w:val="clear" w:color="auto" w:fill="auto"/>
            <w:noWrap/>
            <w:vAlign w:val="bottom"/>
          </w:tcPr>
          <w:p w14:paraId="5E321720" w14:textId="3A24FBA5"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2AE1CA3" w14:textId="20E98877"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2C8D7647" w14:textId="2C785F3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677EFDF1" w14:textId="77777777" w:rsidTr="00745DF8">
        <w:trPr>
          <w:trHeight w:val="288"/>
        </w:trPr>
        <w:tc>
          <w:tcPr>
            <w:tcW w:w="6672" w:type="dxa"/>
            <w:tcBorders>
              <w:top w:val="nil"/>
              <w:left w:val="nil"/>
              <w:bottom w:val="nil"/>
              <w:right w:val="nil"/>
            </w:tcBorders>
            <w:shd w:val="clear" w:color="auto" w:fill="auto"/>
            <w:noWrap/>
            <w:vAlign w:val="bottom"/>
          </w:tcPr>
          <w:p w14:paraId="621B022A" w14:textId="17A814BE"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12EE398" w14:textId="46BE9006"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EDE0BFF" w14:textId="37D6CE8C"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4B852AF4" w14:textId="77777777" w:rsidTr="00745DF8">
        <w:trPr>
          <w:trHeight w:val="288"/>
        </w:trPr>
        <w:tc>
          <w:tcPr>
            <w:tcW w:w="6672" w:type="dxa"/>
            <w:tcBorders>
              <w:top w:val="nil"/>
              <w:left w:val="nil"/>
              <w:bottom w:val="nil"/>
              <w:right w:val="nil"/>
            </w:tcBorders>
            <w:shd w:val="clear" w:color="auto" w:fill="auto"/>
            <w:noWrap/>
            <w:vAlign w:val="bottom"/>
          </w:tcPr>
          <w:p w14:paraId="0DE0EB42" w14:textId="58E03079"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08ADFB40" w14:textId="2CABE0EA"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58C898A" w14:textId="26307958"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1C826376" w14:textId="77777777" w:rsidTr="00745DF8">
        <w:trPr>
          <w:trHeight w:val="288"/>
        </w:trPr>
        <w:tc>
          <w:tcPr>
            <w:tcW w:w="6672" w:type="dxa"/>
            <w:tcBorders>
              <w:top w:val="nil"/>
              <w:left w:val="nil"/>
              <w:bottom w:val="nil"/>
              <w:right w:val="nil"/>
            </w:tcBorders>
            <w:shd w:val="clear" w:color="auto" w:fill="auto"/>
            <w:noWrap/>
            <w:vAlign w:val="bottom"/>
          </w:tcPr>
          <w:p w14:paraId="4ECDB8D8" w14:textId="20F4F278"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5390704" w14:textId="2946ECBE"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7CF0869" w14:textId="2BB0660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1AA3BCF6" w14:textId="77777777" w:rsidTr="00745DF8">
        <w:trPr>
          <w:trHeight w:val="288"/>
        </w:trPr>
        <w:tc>
          <w:tcPr>
            <w:tcW w:w="6672" w:type="dxa"/>
            <w:tcBorders>
              <w:top w:val="nil"/>
              <w:left w:val="nil"/>
              <w:bottom w:val="nil"/>
              <w:right w:val="nil"/>
            </w:tcBorders>
            <w:shd w:val="clear" w:color="auto" w:fill="auto"/>
            <w:noWrap/>
            <w:vAlign w:val="bottom"/>
          </w:tcPr>
          <w:p w14:paraId="512E6C00" w14:textId="28BF7138"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7CF2166F" w14:textId="47DA9CD5"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E53A9BD" w14:textId="700696F8"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271CDA6B" w14:textId="77777777" w:rsidTr="00745DF8">
        <w:trPr>
          <w:trHeight w:val="288"/>
        </w:trPr>
        <w:tc>
          <w:tcPr>
            <w:tcW w:w="6672" w:type="dxa"/>
            <w:tcBorders>
              <w:top w:val="nil"/>
              <w:left w:val="nil"/>
              <w:bottom w:val="nil"/>
              <w:right w:val="nil"/>
            </w:tcBorders>
            <w:shd w:val="clear" w:color="auto" w:fill="auto"/>
            <w:noWrap/>
            <w:vAlign w:val="bottom"/>
          </w:tcPr>
          <w:p w14:paraId="1694E23E" w14:textId="238631B2"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8B812D4" w14:textId="3B82C9D8"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78B73298" w14:textId="53674304"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44B59597" w14:textId="77777777" w:rsidTr="00745DF8">
        <w:trPr>
          <w:trHeight w:val="288"/>
        </w:trPr>
        <w:tc>
          <w:tcPr>
            <w:tcW w:w="6672" w:type="dxa"/>
            <w:tcBorders>
              <w:top w:val="nil"/>
              <w:left w:val="nil"/>
              <w:bottom w:val="nil"/>
              <w:right w:val="nil"/>
            </w:tcBorders>
            <w:shd w:val="clear" w:color="auto" w:fill="auto"/>
            <w:noWrap/>
            <w:vAlign w:val="bottom"/>
          </w:tcPr>
          <w:p w14:paraId="18F4159D" w14:textId="249A96DE"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6EDDA3C" w14:textId="59CCE5D9"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DDA2476" w14:textId="6E2D456A"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3E16256A" w14:textId="77777777" w:rsidTr="00745DF8">
        <w:trPr>
          <w:trHeight w:val="288"/>
        </w:trPr>
        <w:tc>
          <w:tcPr>
            <w:tcW w:w="6672" w:type="dxa"/>
            <w:tcBorders>
              <w:top w:val="nil"/>
              <w:left w:val="nil"/>
              <w:bottom w:val="nil"/>
              <w:right w:val="nil"/>
            </w:tcBorders>
            <w:shd w:val="clear" w:color="auto" w:fill="auto"/>
            <w:noWrap/>
            <w:vAlign w:val="bottom"/>
          </w:tcPr>
          <w:p w14:paraId="053889B7" w14:textId="04D27D6E"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507EC5F" w14:textId="16FD0C6D"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7C03EFDF" w14:textId="599A7EBD"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3BF48334" w14:textId="77777777" w:rsidTr="00745DF8">
        <w:trPr>
          <w:trHeight w:val="288"/>
        </w:trPr>
        <w:tc>
          <w:tcPr>
            <w:tcW w:w="6672" w:type="dxa"/>
            <w:tcBorders>
              <w:top w:val="nil"/>
              <w:left w:val="nil"/>
              <w:bottom w:val="nil"/>
              <w:right w:val="nil"/>
            </w:tcBorders>
            <w:shd w:val="clear" w:color="auto" w:fill="auto"/>
            <w:noWrap/>
            <w:vAlign w:val="bottom"/>
          </w:tcPr>
          <w:p w14:paraId="72A62075" w14:textId="2FCADEDF"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A38173F" w14:textId="3B365E42"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04E0B7B6" w14:textId="1A22918C"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1954B3C0" w14:textId="77777777" w:rsidTr="00745DF8">
        <w:trPr>
          <w:trHeight w:val="288"/>
        </w:trPr>
        <w:tc>
          <w:tcPr>
            <w:tcW w:w="6672" w:type="dxa"/>
            <w:tcBorders>
              <w:top w:val="nil"/>
              <w:left w:val="nil"/>
              <w:bottom w:val="nil"/>
              <w:right w:val="nil"/>
            </w:tcBorders>
            <w:shd w:val="clear" w:color="auto" w:fill="auto"/>
            <w:noWrap/>
            <w:vAlign w:val="bottom"/>
          </w:tcPr>
          <w:p w14:paraId="2E5A43AC" w14:textId="7EB5494C"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57E2F8E5" w14:textId="461A6C30"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9735A1C" w14:textId="14D4E323"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64C36298" w14:textId="77777777" w:rsidTr="00745DF8">
        <w:trPr>
          <w:trHeight w:val="288"/>
        </w:trPr>
        <w:tc>
          <w:tcPr>
            <w:tcW w:w="6672" w:type="dxa"/>
            <w:tcBorders>
              <w:top w:val="nil"/>
              <w:left w:val="nil"/>
              <w:bottom w:val="nil"/>
              <w:right w:val="nil"/>
            </w:tcBorders>
            <w:shd w:val="clear" w:color="auto" w:fill="auto"/>
            <w:noWrap/>
            <w:vAlign w:val="bottom"/>
          </w:tcPr>
          <w:p w14:paraId="61807C7A" w14:textId="5BFB6D55"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9344936" w14:textId="5A2F19BE"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05E95DE2" w14:textId="0BC9DCFA"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3EFCD202" w14:textId="77777777" w:rsidTr="00745DF8">
        <w:trPr>
          <w:trHeight w:val="288"/>
        </w:trPr>
        <w:tc>
          <w:tcPr>
            <w:tcW w:w="6672" w:type="dxa"/>
            <w:tcBorders>
              <w:top w:val="nil"/>
              <w:left w:val="nil"/>
              <w:bottom w:val="nil"/>
              <w:right w:val="nil"/>
            </w:tcBorders>
            <w:shd w:val="clear" w:color="auto" w:fill="auto"/>
            <w:noWrap/>
            <w:vAlign w:val="bottom"/>
          </w:tcPr>
          <w:p w14:paraId="36AA439A" w14:textId="7324C9B7"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CF03161" w14:textId="6ADE7469"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5A3262F" w14:textId="579E3184"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399BA7DF" w14:textId="77777777" w:rsidTr="00745DF8">
        <w:trPr>
          <w:trHeight w:val="288"/>
        </w:trPr>
        <w:tc>
          <w:tcPr>
            <w:tcW w:w="6672" w:type="dxa"/>
            <w:tcBorders>
              <w:top w:val="nil"/>
              <w:left w:val="nil"/>
              <w:bottom w:val="nil"/>
              <w:right w:val="nil"/>
            </w:tcBorders>
            <w:shd w:val="clear" w:color="auto" w:fill="auto"/>
            <w:noWrap/>
            <w:vAlign w:val="bottom"/>
          </w:tcPr>
          <w:p w14:paraId="04117703" w14:textId="04C8D1DE"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2D0F713A" w14:textId="7FC35CB7"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4778E52" w14:textId="655B6F22"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49DF3FB0" w14:textId="77777777" w:rsidTr="00745DF8">
        <w:trPr>
          <w:trHeight w:val="288"/>
        </w:trPr>
        <w:tc>
          <w:tcPr>
            <w:tcW w:w="6672" w:type="dxa"/>
            <w:tcBorders>
              <w:top w:val="nil"/>
              <w:left w:val="nil"/>
              <w:bottom w:val="nil"/>
              <w:right w:val="nil"/>
            </w:tcBorders>
            <w:shd w:val="clear" w:color="auto" w:fill="auto"/>
            <w:noWrap/>
            <w:vAlign w:val="bottom"/>
          </w:tcPr>
          <w:p w14:paraId="2383E5D0" w14:textId="777EAC90"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6142133" w14:textId="42093D3A"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D4A63B1" w14:textId="2727EF04"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07929C99" w14:textId="77777777" w:rsidTr="00745DF8">
        <w:trPr>
          <w:trHeight w:val="288"/>
        </w:trPr>
        <w:tc>
          <w:tcPr>
            <w:tcW w:w="6672" w:type="dxa"/>
            <w:tcBorders>
              <w:top w:val="nil"/>
              <w:left w:val="nil"/>
              <w:bottom w:val="nil"/>
              <w:right w:val="nil"/>
            </w:tcBorders>
            <w:shd w:val="clear" w:color="auto" w:fill="auto"/>
            <w:noWrap/>
            <w:vAlign w:val="bottom"/>
          </w:tcPr>
          <w:p w14:paraId="149B1A3B" w14:textId="1A091348"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D4A145D" w14:textId="44054A88"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DFBFFD6" w14:textId="51AF0FFD"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32F5FB58" w14:textId="77777777" w:rsidTr="00745DF8">
        <w:trPr>
          <w:trHeight w:val="288"/>
        </w:trPr>
        <w:tc>
          <w:tcPr>
            <w:tcW w:w="6672" w:type="dxa"/>
            <w:tcBorders>
              <w:top w:val="nil"/>
              <w:left w:val="nil"/>
              <w:bottom w:val="nil"/>
              <w:right w:val="nil"/>
            </w:tcBorders>
            <w:shd w:val="clear" w:color="auto" w:fill="auto"/>
            <w:noWrap/>
            <w:vAlign w:val="bottom"/>
          </w:tcPr>
          <w:p w14:paraId="1E8E439F" w14:textId="4F7B5ADD"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52C4DA6A" w14:textId="440002E1"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4FC026D" w14:textId="69357CC2"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422D0453" w14:textId="77777777" w:rsidTr="00745DF8">
        <w:trPr>
          <w:trHeight w:val="288"/>
        </w:trPr>
        <w:tc>
          <w:tcPr>
            <w:tcW w:w="6672" w:type="dxa"/>
            <w:tcBorders>
              <w:top w:val="nil"/>
              <w:left w:val="nil"/>
              <w:bottom w:val="nil"/>
              <w:right w:val="nil"/>
            </w:tcBorders>
            <w:shd w:val="clear" w:color="auto" w:fill="auto"/>
            <w:noWrap/>
            <w:vAlign w:val="bottom"/>
          </w:tcPr>
          <w:p w14:paraId="21B84074" w14:textId="126D3EDC"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48D61AE" w14:textId="6BF789C5"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2EE92B40" w14:textId="4A59A40E"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6E539D8A" w14:textId="77777777" w:rsidTr="00745DF8">
        <w:trPr>
          <w:trHeight w:val="288"/>
        </w:trPr>
        <w:tc>
          <w:tcPr>
            <w:tcW w:w="6672" w:type="dxa"/>
            <w:tcBorders>
              <w:top w:val="nil"/>
              <w:left w:val="nil"/>
              <w:bottom w:val="nil"/>
              <w:right w:val="nil"/>
            </w:tcBorders>
            <w:shd w:val="clear" w:color="auto" w:fill="auto"/>
            <w:noWrap/>
            <w:vAlign w:val="bottom"/>
          </w:tcPr>
          <w:p w14:paraId="540BC855" w14:textId="64B2C935"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3113919" w14:textId="2216EDF0"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26C85438" w14:textId="04112DCE"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7041C685" w14:textId="77777777" w:rsidTr="00745DF8">
        <w:trPr>
          <w:trHeight w:val="288"/>
        </w:trPr>
        <w:tc>
          <w:tcPr>
            <w:tcW w:w="6672" w:type="dxa"/>
            <w:tcBorders>
              <w:top w:val="nil"/>
              <w:left w:val="nil"/>
              <w:bottom w:val="nil"/>
              <w:right w:val="nil"/>
            </w:tcBorders>
            <w:shd w:val="clear" w:color="auto" w:fill="auto"/>
            <w:noWrap/>
            <w:vAlign w:val="bottom"/>
          </w:tcPr>
          <w:p w14:paraId="18CFB5FD" w14:textId="27B50CED"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73857250" w14:textId="0ED54B43"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17F6B3C" w14:textId="39DDD8DC"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7E152CC7" w14:textId="77777777" w:rsidTr="00745DF8">
        <w:trPr>
          <w:trHeight w:val="288"/>
        </w:trPr>
        <w:tc>
          <w:tcPr>
            <w:tcW w:w="6672" w:type="dxa"/>
            <w:tcBorders>
              <w:top w:val="nil"/>
              <w:left w:val="nil"/>
              <w:bottom w:val="nil"/>
              <w:right w:val="nil"/>
            </w:tcBorders>
            <w:shd w:val="clear" w:color="auto" w:fill="auto"/>
            <w:noWrap/>
            <w:vAlign w:val="bottom"/>
          </w:tcPr>
          <w:p w14:paraId="2669C179" w14:textId="7393CF46"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22FFAD3" w14:textId="73A74876"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5B64F83" w14:textId="67BDB3CA"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583AF662" w14:textId="77777777" w:rsidTr="00745DF8">
        <w:trPr>
          <w:trHeight w:val="288"/>
        </w:trPr>
        <w:tc>
          <w:tcPr>
            <w:tcW w:w="6672" w:type="dxa"/>
            <w:tcBorders>
              <w:top w:val="nil"/>
              <w:left w:val="nil"/>
              <w:bottom w:val="nil"/>
              <w:right w:val="nil"/>
            </w:tcBorders>
            <w:shd w:val="clear" w:color="auto" w:fill="auto"/>
            <w:noWrap/>
            <w:vAlign w:val="bottom"/>
          </w:tcPr>
          <w:p w14:paraId="0D63C67B" w14:textId="4B3533A0"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7C21DA5" w14:textId="3E868F53"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7CF82F49" w14:textId="0883ACBD"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7A185840" w14:textId="77777777" w:rsidTr="00745DF8">
        <w:trPr>
          <w:trHeight w:val="288"/>
        </w:trPr>
        <w:tc>
          <w:tcPr>
            <w:tcW w:w="6672" w:type="dxa"/>
            <w:tcBorders>
              <w:top w:val="nil"/>
              <w:left w:val="nil"/>
              <w:bottom w:val="nil"/>
              <w:right w:val="nil"/>
            </w:tcBorders>
            <w:shd w:val="clear" w:color="auto" w:fill="auto"/>
            <w:noWrap/>
            <w:vAlign w:val="bottom"/>
          </w:tcPr>
          <w:p w14:paraId="690AF8F9" w14:textId="76F4B336"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4FE4D75" w14:textId="4FC941F8"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0AEE7C04" w14:textId="530A5E1C"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315B8293" w14:textId="77777777" w:rsidTr="00745DF8">
        <w:trPr>
          <w:trHeight w:val="288"/>
        </w:trPr>
        <w:tc>
          <w:tcPr>
            <w:tcW w:w="6672" w:type="dxa"/>
            <w:tcBorders>
              <w:top w:val="nil"/>
              <w:left w:val="nil"/>
              <w:bottom w:val="nil"/>
              <w:right w:val="nil"/>
            </w:tcBorders>
            <w:shd w:val="clear" w:color="auto" w:fill="auto"/>
            <w:noWrap/>
            <w:vAlign w:val="bottom"/>
          </w:tcPr>
          <w:p w14:paraId="12FE954D" w14:textId="446E497C"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BB25CCD" w14:textId="2F254900"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49EF64C" w14:textId="248C22F1"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1EF22E15" w14:textId="77777777" w:rsidTr="00745DF8">
        <w:trPr>
          <w:trHeight w:val="288"/>
        </w:trPr>
        <w:tc>
          <w:tcPr>
            <w:tcW w:w="6672" w:type="dxa"/>
            <w:tcBorders>
              <w:top w:val="nil"/>
              <w:left w:val="nil"/>
              <w:bottom w:val="nil"/>
              <w:right w:val="nil"/>
            </w:tcBorders>
            <w:shd w:val="clear" w:color="auto" w:fill="auto"/>
            <w:noWrap/>
            <w:vAlign w:val="bottom"/>
          </w:tcPr>
          <w:p w14:paraId="1EAD0763" w14:textId="79ACC402"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F012D77" w14:textId="3D86DBD8"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B3A1988" w14:textId="5605F4A2"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23518ADF" w14:textId="77777777" w:rsidTr="00745DF8">
        <w:trPr>
          <w:trHeight w:val="288"/>
        </w:trPr>
        <w:tc>
          <w:tcPr>
            <w:tcW w:w="6672" w:type="dxa"/>
            <w:tcBorders>
              <w:top w:val="nil"/>
              <w:left w:val="nil"/>
              <w:bottom w:val="nil"/>
              <w:right w:val="nil"/>
            </w:tcBorders>
            <w:shd w:val="clear" w:color="auto" w:fill="auto"/>
            <w:noWrap/>
            <w:vAlign w:val="bottom"/>
          </w:tcPr>
          <w:p w14:paraId="4BDE8D88" w14:textId="1B47CF0A"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3E87333" w14:textId="387929DD"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7798285E" w14:textId="73E8790F"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7CDE606F" w14:textId="77777777" w:rsidTr="00745DF8">
        <w:trPr>
          <w:trHeight w:val="288"/>
        </w:trPr>
        <w:tc>
          <w:tcPr>
            <w:tcW w:w="6672" w:type="dxa"/>
            <w:tcBorders>
              <w:top w:val="nil"/>
              <w:left w:val="nil"/>
              <w:bottom w:val="nil"/>
              <w:right w:val="nil"/>
            </w:tcBorders>
            <w:shd w:val="clear" w:color="auto" w:fill="auto"/>
            <w:noWrap/>
            <w:vAlign w:val="bottom"/>
          </w:tcPr>
          <w:p w14:paraId="0A495612" w14:textId="58AAA71B"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A77A7D6" w14:textId="6EAC078D"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B6E9888" w14:textId="2CDE7E9D"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7044DE46" w14:textId="77777777" w:rsidTr="00745DF8">
        <w:trPr>
          <w:trHeight w:val="288"/>
        </w:trPr>
        <w:tc>
          <w:tcPr>
            <w:tcW w:w="6672" w:type="dxa"/>
            <w:tcBorders>
              <w:top w:val="nil"/>
              <w:left w:val="nil"/>
              <w:bottom w:val="nil"/>
              <w:right w:val="nil"/>
            </w:tcBorders>
            <w:shd w:val="clear" w:color="auto" w:fill="auto"/>
            <w:noWrap/>
            <w:vAlign w:val="bottom"/>
          </w:tcPr>
          <w:p w14:paraId="7A268A04" w14:textId="37E48355"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389B9DC" w14:textId="25EE0938"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5ABF0E2" w14:textId="25D98C74"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27C184BE" w14:textId="77777777" w:rsidTr="00745DF8">
        <w:trPr>
          <w:trHeight w:val="288"/>
        </w:trPr>
        <w:tc>
          <w:tcPr>
            <w:tcW w:w="6672" w:type="dxa"/>
            <w:tcBorders>
              <w:top w:val="nil"/>
              <w:left w:val="nil"/>
              <w:bottom w:val="nil"/>
              <w:right w:val="nil"/>
            </w:tcBorders>
            <w:shd w:val="clear" w:color="auto" w:fill="auto"/>
            <w:noWrap/>
            <w:vAlign w:val="bottom"/>
          </w:tcPr>
          <w:p w14:paraId="1D100AE8" w14:textId="4E7623EC"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0B7F3A48" w14:textId="14B7138F"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2AEB8106" w14:textId="548F337D"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3321EF3A" w14:textId="77777777" w:rsidTr="00745DF8">
        <w:trPr>
          <w:trHeight w:val="288"/>
        </w:trPr>
        <w:tc>
          <w:tcPr>
            <w:tcW w:w="6672" w:type="dxa"/>
            <w:tcBorders>
              <w:top w:val="nil"/>
              <w:left w:val="nil"/>
              <w:bottom w:val="nil"/>
              <w:right w:val="nil"/>
            </w:tcBorders>
            <w:shd w:val="clear" w:color="auto" w:fill="auto"/>
            <w:noWrap/>
            <w:vAlign w:val="bottom"/>
          </w:tcPr>
          <w:p w14:paraId="460E4464" w14:textId="5D4E8825"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2C62823A" w14:textId="15FE7155"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5A2AB300" w14:textId="254CFFCF"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2774E613" w14:textId="77777777" w:rsidTr="00745DF8">
        <w:trPr>
          <w:trHeight w:val="288"/>
        </w:trPr>
        <w:tc>
          <w:tcPr>
            <w:tcW w:w="6672" w:type="dxa"/>
            <w:tcBorders>
              <w:top w:val="nil"/>
              <w:left w:val="nil"/>
              <w:bottom w:val="nil"/>
              <w:right w:val="nil"/>
            </w:tcBorders>
            <w:shd w:val="clear" w:color="auto" w:fill="auto"/>
            <w:noWrap/>
            <w:vAlign w:val="bottom"/>
          </w:tcPr>
          <w:p w14:paraId="37E350F3" w14:textId="6B92E393"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26A53BB1" w14:textId="6081B894"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2BEFBEBB" w14:textId="28C9CB1C"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2579ECD3" w14:textId="77777777" w:rsidTr="00745DF8">
        <w:trPr>
          <w:trHeight w:val="288"/>
        </w:trPr>
        <w:tc>
          <w:tcPr>
            <w:tcW w:w="6672" w:type="dxa"/>
            <w:tcBorders>
              <w:top w:val="nil"/>
              <w:left w:val="nil"/>
              <w:bottom w:val="nil"/>
              <w:right w:val="nil"/>
            </w:tcBorders>
            <w:shd w:val="clear" w:color="auto" w:fill="auto"/>
            <w:noWrap/>
            <w:vAlign w:val="bottom"/>
          </w:tcPr>
          <w:p w14:paraId="4AAB2E15" w14:textId="6B7478DA"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2413CAE6" w14:textId="7D31681F"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265BA948" w14:textId="7777777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1DB7ED24" w14:textId="77777777" w:rsidTr="00745DF8">
        <w:trPr>
          <w:trHeight w:val="288"/>
        </w:trPr>
        <w:tc>
          <w:tcPr>
            <w:tcW w:w="6672" w:type="dxa"/>
            <w:tcBorders>
              <w:top w:val="nil"/>
              <w:left w:val="nil"/>
              <w:bottom w:val="nil"/>
              <w:right w:val="nil"/>
            </w:tcBorders>
            <w:shd w:val="clear" w:color="auto" w:fill="auto"/>
            <w:noWrap/>
            <w:vAlign w:val="bottom"/>
          </w:tcPr>
          <w:p w14:paraId="517F20EF" w14:textId="21AA19A3"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51F5934" w14:textId="6E4D2C51"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EADD457" w14:textId="7777777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33E36104" w14:textId="77777777" w:rsidTr="00745DF8">
        <w:trPr>
          <w:trHeight w:val="288"/>
        </w:trPr>
        <w:tc>
          <w:tcPr>
            <w:tcW w:w="6672" w:type="dxa"/>
            <w:tcBorders>
              <w:top w:val="nil"/>
              <w:left w:val="nil"/>
              <w:bottom w:val="nil"/>
              <w:right w:val="nil"/>
            </w:tcBorders>
            <w:shd w:val="clear" w:color="auto" w:fill="auto"/>
            <w:noWrap/>
            <w:vAlign w:val="bottom"/>
          </w:tcPr>
          <w:p w14:paraId="34114855" w14:textId="25E207E7"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610BEF2" w14:textId="15A63F96"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B7A0A21" w14:textId="7777777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154168AE" w14:textId="77777777" w:rsidTr="00745DF8">
        <w:trPr>
          <w:trHeight w:val="288"/>
        </w:trPr>
        <w:tc>
          <w:tcPr>
            <w:tcW w:w="6672" w:type="dxa"/>
            <w:tcBorders>
              <w:top w:val="nil"/>
              <w:left w:val="nil"/>
              <w:bottom w:val="nil"/>
              <w:right w:val="nil"/>
            </w:tcBorders>
            <w:shd w:val="clear" w:color="auto" w:fill="auto"/>
            <w:noWrap/>
            <w:vAlign w:val="bottom"/>
          </w:tcPr>
          <w:p w14:paraId="350DA5CE" w14:textId="5C9AEAD2"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679E9105" w14:textId="6B55FB69"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92E6E11" w14:textId="7777777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09643754" w14:textId="77777777" w:rsidTr="00745DF8">
        <w:trPr>
          <w:trHeight w:val="288"/>
        </w:trPr>
        <w:tc>
          <w:tcPr>
            <w:tcW w:w="6672" w:type="dxa"/>
            <w:tcBorders>
              <w:top w:val="nil"/>
              <w:left w:val="nil"/>
              <w:bottom w:val="nil"/>
              <w:right w:val="nil"/>
            </w:tcBorders>
            <w:shd w:val="clear" w:color="auto" w:fill="auto"/>
            <w:noWrap/>
            <w:vAlign w:val="bottom"/>
          </w:tcPr>
          <w:p w14:paraId="0959A146" w14:textId="3BB22585"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E8CA789" w14:textId="3E2F67E9"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050419F3" w14:textId="7777777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0080B6C7" w14:textId="77777777" w:rsidTr="00745DF8">
        <w:trPr>
          <w:trHeight w:val="288"/>
        </w:trPr>
        <w:tc>
          <w:tcPr>
            <w:tcW w:w="6672" w:type="dxa"/>
            <w:tcBorders>
              <w:top w:val="nil"/>
              <w:left w:val="nil"/>
              <w:bottom w:val="nil"/>
              <w:right w:val="nil"/>
            </w:tcBorders>
            <w:shd w:val="clear" w:color="auto" w:fill="auto"/>
            <w:noWrap/>
            <w:vAlign w:val="bottom"/>
          </w:tcPr>
          <w:p w14:paraId="64AB3FE5" w14:textId="50B95DC6"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8BF1EBE" w14:textId="3C562AEB"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770B1DBC" w14:textId="7777777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34D515D6" w14:textId="77777777" w:rsidTr="00745DF8">
        <w:trPr>
          <w:trHeight w:val="288"/>
        </w:trPr>
        <w:tc>
          <w:tcPr>
            <w:tcW w:w="6672" w:type="dxa"/>
            <w:tcBorders>
              <w:top w:val="nil"/>
              <w:left w:val="nil"/>
              <w:bottom w:val="nil"/>
              <w:right w:val="nil"/>
            </w:tcBorders>
            <w:shd w:val="clear" w:color="auto" w:fill="auto"/>
            <w:noWrap/>
            <w:vAlign w:val="bottom"/>
          </w:tcPr>
          <w:p w14:paraId="64F09EF9" w14:textId="69D812DB"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7E0F9683" w14:textId="724F5E0D"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70E2603" w14:textId="7777777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622EB7C8" w14:textId="77777777" w:rsidTr="00745DF8">
        <w:trPr>
          <w:trHeight w:val="288"/>
        </w:trPr>
        <w:tc>
          <w:tcPr>
            <w:tcW w:w="6672" w:type="dxa"/>
            <w:tcBorders>
              <w:top w:val="nil"/>
              <w:left w:val="nil"/>
              <w:bottom w:val="nil"/>
              <w:right w:val="nil"/>
            </w:tcBorders>
            <w:shd w:val="clear" w:color="auto" w:fill="auto"/>
            <w:noWrap/>
            <w:vAlign w:val="bottom"/>
          </w:tcPr>
          <w:p w14:paraId="6DB376ED" w14:textId="5078568E"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8E6472E" w14:textId="21583866"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55456489" w14:textId="7777777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7540BCD4" w14:textId="77777777" w:rsidTr="00745DF8">
        <w:trPr>
          <w:trHeight w:val="288"/>
        </w:trPr>
        <w:tc>
          <w:tcPr>
            <w:tcW w:w="6672" w:type="dxa"/>
            <w:tcBorders>
              <w:top w:val="nil"/>
              <w:left w:val="nil"/>
              <w:bottom w:val="nil"/>
              <w:right w:val="nil"/>
            </w:tcBorders>
            <w:shd w:val="clear" w:color="auto" w:fill="auto"/>
            <w:noWrap/>
            <w:vAlign w:val="bottom"/>
          </w:tcPr>
          <w:p w14:paraId="354D4F98" w14:textId="359C7EB4"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71F34F2F" w14:textId="339D5396"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E31BD88" w14:textId="7777777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67097B0A" w14:textId="77777777" w:rsidTr="00745DF8">
        <w:trPr>
          <w:trHeight w:val="288"/>
        </w:trPr>
        <w:tc>
          <w:tcPr>
            <w:tcW w:w="6672" w:type="dxa"/>
            <w:tcBorders>
              <w:top w:val="nil"/>
              <w:left w:val="nil"/>
              <w:bottom w:val="nil"/>
              <w:right w:val="nil"/>
            </w:tcBorders>
            <w:shd w:val="clear" w:color="auto" w:fill="auto"/>
            <w:noWrap/>
            <w:vAlign w:val="bottom"/>
          </w:tcPr>
          <w:p w14:paraId="4F991A95" w14:textId="048AC0B2"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F9DB2DA" w14:textId="4FB597BB"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FE31E2E" w14:textId="7777777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58792E42" w14:textId="77777777" w:rsidTr="00745DF8">
        <w:trPr>
          <w:trHeight w:val="288"/>
        </w:trPr>
        <w:tc>
          <w:tcPr>
            <w:tcW w:w="6672" w:type="dxa"/>
            <w:tcBorders>
              <w:top w:val="nil"/>
              <w:left w:val="nil"/>
              <w:bottom w:val="nil"/>
              <w:right w:val="nil"/>
            </w:tcBorders>
            <w:shd w:val="clear" w:color="auto" w:fill="auto"/>
            <w:noWrap/>
            <w:vAlign w:val="bottom"/>
          </w:tcPr>
          <w:p w14:paraId="71C20E8A" w14:textId="121A0DB3"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CB4B127" w14:textId="5A0F2562"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7AFD0A18" w14:textId="7777777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3BECD06A" w14:textId="77777777" w:rsidTr="00745DF8">
        <w:trPr>
          <w:trHeight w:val="288"/>
        </w:trPr>
        <w:tc>
          <w:tcPr>
            <w:tcW w:w="6672" w:type="dxa"/>
            <w:tcBorders>
              <w:top w:val="nil"/>
              <w:left w:val="nil"/>
              <w:bottom w:val="nil"/>
              <w:right w:val="nil"/>
            </w:tcBorders>
            <w:shd w:val="clear" w:color="auto" w:fill="auto"/>
            <w:noWrap/>
            <w:vAlign w:val="bottom"/>
          </w:tcPr>
          <w:p w14:paraId="3BF0776A" w14:textId="7E1EEA7E"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321E465" w14:textId="0C8C517D"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1643A3BA" w14:textId="7777777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6CD798DB" w14:textId="77777777" w:rsidTr="00745DF8">
        <w:trPr>
          <w:trHeight w:val="288"/>
        </w:trPr>
        <w:tc>
          <w:tcPr>
            <w:tcW w:w="6672" w:type="dxa"/>
            <w:tcBorders>
              <w:top w:val="nil"/>
              <w:left w:val="nil"/>
              <w:bottom w:val="nil"/>
              <w:right w:val="nil"/>
            </w:tcBorders>
            <w:shd w:val="clear" w:color="auto" w:fill="auto"/>
            <w:noWrap/>
            <w:vAlign w:val="bottom"/>
          </w:tcPr>
          <w:p w14:paraId="0704550B" w14:textId="216571DC"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C3F3500" w14:textId="0316EBEC"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2FE12F12" w14:textId="7777777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1FBAACAE" w14:textId="77777777" w:rsidTr="00745DF8">
        <w:trPr>
          <w:trHeight w:val="288"/>
        </w:trPr>
        <w:tc>
          <w:tcPr>
            <w:tcW w:w="6672" w:type="dxa"/>
            <w:tcBorders>
              <w:top w:val="nil"/>
              <w:left w:val="nil"/>
              <w:bottom w:val="nil"/>
              <w:right w:val="nil"/>
            </w:tcBorders>
            <w:shd w:val="clear" w:color="auto" w:fill="auto"/>
            <w:noWrap/>
            <w:vAlign w:val="bottom"/>
          </w:tcPr>
          <w:p w14:paraId="2610092A" w14:textId="32A8B5DF"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503C509F" w14:textId="4BCDD672"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34EDBEBA" w14:textId="77777777" w:rsidR="00EA565E" w:rsidRPr="00EA565E" w:rsidRDefault="00EA565E" w:rsidP="00EA565E">
            <w:pPr>
              <w:spacing w:after="0" w:line="240" w:lineRule="auto"/>
              <w:jc w:val="right"/>
              <w:rPr>
                <w:rFonts w:ascii="Times New Roman" w:eastAsia="Times New Roman" w:hAnsi="Times New Roman" w:cs="Times New Roman"/>
                <w:color w:val="000000"/>
              </w:rPr>
            </w:pPr>
          </w:p>
        </w:tc>
      </w:tr>
      <w:tr w:rsidR="00EA565E" w:rsidRPr="00EA565E" w14:paraId="2B5B802C" w14:textId="77777777" w:rsidTr="00745DF8">
        <w:trPr>
          <w:trHeight w:val="288"/>
        </w:trPr>
        <w:tc>
          <w:tcPr>
            <w:tcW w:w="6672" w:type="dxa"/>
            <w:tcBorders>
              <w:top w:val="nil"/>
              <w:left w:val="nil"/>
              <w:bottom w:val="nil"/>
              <w:right w:val="nil"/>
            </w:tcBorders>
            <w:shd w:val="clear" w:color="auto" w:fill="auto"/>
            <w:noWrap/>
            <w:vAlign w:val="bottom"/>
          </w:tcPr>
          <w:p w14:paraId="577F5126" w14:textId="364E2356" w:rsidR="00EA565E" w:rsidRPr="00EA565E" w:rsidRDefault="00EA565E" w:rsidP="00EA565E">
            <w:pPr>
              <w:spacing w:after="0" w:line="240" w:lineRule="auto"/>
              <w:jc w:val="center"/>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4A58F2A6" w14:textId="0D55F96B" w:rsidR="00EA565E" w:rsidRPr="00EA565E" w:rsidRDefault="00EA565E" w:rsidP="00EA565E">
            <w:pPr>
              <w:spacing w:after="0" w:line="240" w:lineRule="auto"/>
              <w:jc w:val="right"/>
              <w:rPr>
                <w:rFonts w:ascii="Times New Roman" w:eastAsia="Times New Roman" w:hAnsi="Times New Roman" w:cs="Times New Roman"/>
                <w:color w:val="000000"/>
              </w:rPr>
            </w:pPr>
          </w:p>
        </w:tc>
        <w:tc>
          <w:tcPr>
            <w:tcW w:w="1344" w:type="dxa"/>
            <w:tcBorders>
              <w:top w:val="nil"/>
              <w:left w:val="nil"/>
              <w:bottom w:val="nil"/>
              <w:right w:val="nil"/>
            </w:tcBorders>
            <w:shd w:val="clear" w:color="auto" w:fill="auto"/>
            <w:noWrap/>
            <w:vAlign w:val="bottom"/>
          </w:tcPr>
          <w:p w14:paraId="5161ADF5" w14:textId="77777777" w:rsidR="00EA565E" w:rsidRPr="00EA565E" w:rsidRDefault="00EA565E" w:rsidP="00EA565E">
            <w:pPr>
              <w:spacing w:after="0" w:line="240" w:lineRule="auto"/>
              <w:jc w:val="right"/>
              <w:rPr>
                <w:rFonts w:ascii="Times New Roman" w:eastAsia="Times New Roman" w:hAnsi="Times New Roman" w:cs="Times New Roman"/>
                <w:color w:val="000000"/>
              </w:rPr>
            </w:pPr>
          </w:p>
        </w:tc>
      </w:tr>
    </w:tbl>
    <w:p w14:paraId="5141B775" w14:textId="77777777" w:rsidR="00EA565E" w:rsidRDefault="00EA565E" w:rsidP="00C9137F">
      <w:pPr>
        <w:spacing w:after="0"/>
        <w:rPr>
          <w:rFonts w:ascii="Times New Roman" w:hAnsi="Times New Roman"/>
        </w:rPr>
      </w:pPr>
    </w:p>
    <w:p w14:paraId="306AB78E" w14:textId="2729BD2B" w:rsidR="00790E9E" w:rsidRPr="00B72FD5" w:rsidRDefault="00790E9E" w:rsidP="00C9137F">
      <w:pPr>
        <w:spacing w:after="0"/>
        <w:rPr>
          <w:rFonts w:ascii="Times New Roman" w:hAnsi="Times New Roman"/>
          <w:b/>
          <w:color w:val="00B050"/>
        </w:rPr>
      </w:pPr>
    </w:p>
    <w:sectPr w:rsidR="00790E9E" w:rsidRPr="00B72FD5" w:rsidSect="00C92F4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FCBFB" w14:textId="77777777" w:rsidR="00664EC3" w:rsidRDefault="00664EC3" w:rsidP="0030325D">
      <w:pPr>
        <w:spacing w:after="0" w:line="240" w:lineRule="auto"/>
      </w:pPr>
      <w:r>
        <w:separator/>
      </w:r>
    </w:p>
  </w:endnote>
  <w:endnote w:type="continuationSeparator" w:id="0">
    <w:p w14:paraId="758B86A5" w14:textId="77777777" w:rsidR="00664EC3" w:rsidRDefault="00664EC3" w:rsidP="0030325D">
      <w:pPr>
        <w:spacing w:after="0" w:line="240" w:lineRule="auto"/>
      </w:pPr>
      <w:r>
        <w:continuationSeparator/>
      </w:r>
    </w:p>
  </w:endnote>
  <w:endnote w:id="1">
    <w:p w14:paraId="3AE8C593" w14:textId="5693B9FE" w:rsidR="00EA565E" w:rsidRPr="00517C29" w:rsidRDefault="00517C29">
      <w:pPr>
        <w:pStyle w:val="EndnoteText"/>
        <w:rPr>
          <w:rFonts w:ascii="Times New Roman" w:hAnsi="Times New Roman" w:cs="Times New Roman"/>
        </w:rPr>
      </w:pPr>
      <w:r w:rsidRPr="00517C29">
        <w:rPr>
          <w:rStyle w:val="EndnoteReference"/>
          <w:rFonts w:ascii="Times New Roman" w:hAnsi="Times New Roman" w:cs="Times New Roman"/>
        </w:rPr>
        <w:endnoteRef/>
      </w:r>
      <w:r w:rsidRPr="00517C29">
        <w:rPr>
          <w:rFonts w:ascii="Times New Roman" w:hAnsi="Times New Roman" w:cs="Times New Roman"/>
        </w:rPr>
        <w:t xml:space="preserve"> AG 51 provides uniform guidance for the asset adequacy testing applied to a company’s LTC block of contracts, and is effective for reserves reported with respect to the Dec. 31, 2017, and subsequent annual statutory financial statements. A statement of actuarial opinion on the adequacy of the reserves and assets supporting reserves after the operative date of the Valuation Manual is required under Section 3B of the NAIC Standard Valuation Law (#820) and VM-30 of the Valuation Manual. Section 14A of Model #820 provides that actuarial opinions and related documents, including an asset adequacy analysis, are confidential information, while Section 14B provides that such confidential information may be shared with other state regulatory agencies and the NAIC. The asset adequacy analyses required under AG 51 reviewed in the preparation of this report were shared with the Valuation Analysis (E) Working Group and the NAIC in accordance with these requirements, and continue to remain confidential in nature.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552FF" w14:textId="77777777" w:rsidR="00664EC3" w:rsidRDefault="00664EC3" w:rsidP="0030325D">
      <w:pPr>
        <w:spacing w:after="0" w:line="240" w:lineRule="auto"/>
      </w:pPr>
      <w:r>
        <w:separator/>
      </w:r>
    </w:p>
  </w:footnote>
  <w:footnote w:type="continuationSeparator" w:id="0">
    <w:p w14:paraId="67430FED" w14:textId="77777777" w:rsidR="00664EC3" w:rsidRDefault="00664EC3" w:rsidP="003032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C0"/>
    <w:rsid w:val="000C5385"/>
    <w:rsid w:val="00154BFB"/>
    <w:rsid w:val="00187371"/>
    <w:rsid w:val="00210A18"/>
    <w:rsid w:val="002172CF"/>
    <w:rsid w:val="00257914"/>
    <w:rsid w:val="00270F4D"/>
    <w:rsid w:val="002958E1"/>
    <w:rsid w:val="002B147A"/>
    <w:rsid w:val="002B1E81"/>
    <w:rsid w:val="002D4070"/>
    <w:rsid w:val="0030325D"/>
    <w:rsid w:val="00322DB6"/>
    <w:rsid w:val="00367544"/>
    <w:rsid w:val="003A6209"/>
    <w:rsid w:val="003F0765"/>
    <w:rsid w:val="003F407B"/>
    <w:rsid w:val="004113C8"/>
    <w:rsid w:val="004342A3"/>
    <w:rsid w:val="004907AC"/>
    <w:rsid w:val="004D0926"/>
    <w:rsid w:val="00517C29"/>
    <w:rsid w:val="005C51ED"/>
    <w:rsid w:val="00625C95"/>
    <w:rsid w:val="00631289"/>
    <w:rsid w:val="0064377B"/>
    <w:rsid w:val="006604B3"/>
    <w:rsid w:val="00664241"/>
    <w:rsid w:val="00664EC3"/>
    <w:rsid w:val="00691080"/>
    <w:rsid w:val="006B0479"/>
    <w:rsid w:val="006E78E1"/>
    <w:rsid w:val="006F5E61"/>
    <w:rsid w:val="007226A4"/>
    <w:rsid w:val="00745DF8"/>
    <w:rsid w:val="00770052"/>
    <w:rsid w:val="00790E9E"/>
    <w:rsid w:val="00806EC5"/>
    <w:rsid w:val="0085157D"/>
    <w:rsid w:val="0089654F"/>
    <w:rsid w:val="008A7213"/>
    <w:rsid w:val="008B34C4"/>
    <w:rsid w:val="009657C0"/>
    <w:rsid w:val="009712BD"/>
    <w:rsid w:val="009C1268"/>
    <w:rsid w:val="009C68FF"/>
    <w:rsid w:val="00A373FB"/>
    <w:rsid w:val="00A37880"/>
    <w:rsid w:val="00AA0E69"/>
    <w:rsid w:val="00AF6714"/>
    <w:rsid w:val="00B20591"/>
    <w:rsid w:val="00B50DDF"/>
    <w:rsid w:val="00B72FD5"/>
    <w:rsid w:val="00BC2C11"/>
    <w:rsid w:val="00BD100F"/>
    <w:rsid w:val="00C00CA3"/>
    <w:rsid w:val="00C9137F"/>
    <w:rsid w:val="00C92F41"/>
    <w:rsid w:val="00CB1166"/>
    <w:rsid w:val="00D43D6E"/>
    <w:rsid w:val="00D92099"/>
    <w:rsid w:val="00DD589D"/>
    <w:rsid w:val="00E119EB"/>
    <w:rsid w:val="00E12970"/>
    <w:rsid w:val="00E307DE"/>
    <w:rsid w:val="00EA565E"/>
    <w:rsid w:val="00F02609"/>
    <w:rsid w:val="00F3358F"/>
    <w:rsid w:val="00F3759A"/>
    <w:rsid w:val="00FD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1D07"/>
  <w15:chartTrackingRefBased/>
  <w15:docId w15:val="{5DC0B7B1-FAC3-43BC-9F72-DE8774A5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57C0"/>
    <w:rPr>
      <w:color w:val="0000FF" w:themeColor="hyperlink"/>
      <w:u w:val="single"/>
    </w:rPr>
  </w:style>
  <w:style w:type="paragraph" w:styleId="BalloonText">
    <w:name w:val="Balloon Text"/>
    <w:basedOn w:val="Normal"/>
    <w:link w:val="BalloonTextChar"/>
    <w:uiPriority w:val="99"/>
    <w:semiHidden/>
    <w:unhideWhenUsed/>
    <w:rsid w:val="00660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4B3"/>
    <w:rPr>
      <w:rFonts w:ascii="Segoe UI" w:hAnsi="Segoe UI" w:cs="Segoe UI"/>
      <w:sz w:val="18"/>
      <w:szCs w:val="18"/>
    </w:rPr>
  </w:style>
  <w:style w:type="paragraph" w:styleId="FootnoteText">
    <w:name w:val="footnote text"/>
    <w:basedOn w:val="Normal"/>
    <w:link w:val="FootnoteTextChar"/>
    <w:uiPriority w:val="99"/>
    <w:semiHidden/>
    <w:unhideWhenUsed/>
    <w:rsid w:val="003032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25D"/>
    <w:rPr>
      <w:sz w:val="20"/>
      <w:szCs w:val="20"/>
    </w:rPr>
  </w:style>
  <w:style w:type="character" w:styleId="FootnoteReference">
    <w:name w:val="footnote reference"/>
    <w:basedOn w:val="DefaultParagraphFont"/>
    <w:uiPriority w:val="99"/>
    <w:semiHidden/>
    <w:unhideWhenUsed/>
    <w:rsid w:val="0030325D"/>
    <w:rPr>
      <w:vertAlign w:val="superscript"/>
    </w:rPr>
  </w:style>
  <w:style w:type="paragraph" w:styleId="EndnoteText">
    <w:name w:val="endnote text"/>
    <w:basedOn w:val="Normal"/>
    <w:link w:val="EndnoteTextChar"/>
    <w:uiPriority w:val="99"/>
    <w:semiHidden/>
    <w:unhideWhenUsed/>
    <w:rsid w:val="00517C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7C29"/>
    <w:rPr>
      <w:sz w:val="20"/>
      <w:szCs w:val="20"/>
    </w:rPr>
  </w:style>
  <w:style w:type="character" w:styleId="EndnoteReference">
    <w:name w:val="endnote reference"/>
    <w:basedOn w:val="DefaultParagraphFont"/>
    <w:uiPriority w:val="99"/>
    <w:semiHidden/>
    <w:unhideWhenUsed/>
    <w:rsid w:val="00517C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406">
      <w:bodyDiv w:val="1"/>
      <w:marLeft w:val="0"/>
      <w:marRight w:val="0"/>
      <w:marTop w:val="0"/>
      <w:marBottom w:val="0"/>
      <w:divBdr>
        <w:top w:val="none" w:sz="0" w:space="0" w:color="auto"/>
        <w:left w:val="none" w:sz="0" w:space="0" w:color="auto"/>
        <w:bottom w:val="none" w:sz="0" w:space="0" w:color="auto"/>
        <w:right w:val="none" w:sz="0" w:space="0" w:color="auto"/>
      </w:divBdr>
    </w:div>
    <w:div w:id="54092626">
      <w:bodyDiv w:val="1"/>
      <w:marLeft w:val="0"/>
      <w:marRight w:val="0"/>
      <w:marTop w:val="0"/>
      <w:marBottom w:val="0"/>
      <w:divBdr>
        <w:top w:val="none" w:sz="0" w:space="0" w:color="auto"/>
        <w:left w:val="none" w:sz="0" w:space="0" w:color="auto"/>
        <w:bottom w:val="none" w:sz="0" w:space="0" w:color="auto"/>
        <w:right w:val="none" w:sz="0" w:space="0" w:color="auto"/>
      </w:divBdr>
    </w:div>
    <w:div w:id="367029676">
      <w:bodyDiv w:val="1"/>
      <w:marLeft w:val="0"/>
      <w:marRight w:val="0"/>
      <w:marTop w:val="0"/>
      <w:marBottom w:val="0"/>
      <w:divBdr>
        <w:top w:val="none" w:sz="0" w:space="0" w:color="auto"/>
        <w:left w:val="none" w:sz="0" w:space="0" w:color="auto"/>
        <w:bottom w:val="none" w:sz="0" w:space="0" w:color="auto"/>
        <w:right w:val="none" w:sz="0" w:space="0" w:color="auto"/>
      </w:divBdr>
    </w:div>
    <w:div w:id="1533105856">
      <w:bodyDiv w:val="1"/>
      <w:marLeft w:val="0"/>
      <w:marRight w:val="0"/>
      <w:marTop w:val="0"/>
      <w:marBottom w:val="0"/>
      <w:divBdr>
        <w:top w:val="none" w:sz="0" w:space="0" w:color="auto"/>
        <w:left w:val="none" w:sz="0" w:space="0" w:color="auto"/>
        <w:bottom w:val="none" w:sz="0" w:space="0" w:color="auto"/>
        <w:right w:val="none" w:sz="0" w:space="0" w:color="auto"/>
      </w:divBdr>
    </w:div>
    <w:div w:id="1869489630">
      <w:bodyDiv w:val="1"/>
      <w:marLeft w:val="0"/>
      <w:marRight w:val="0"/>
      <w:marTop w:val="0"/>
      <w:marBottom w:val="0"/>
      <w:divBdr>
        <w:top w:val="none" w:sz="0" w:space="0" w:color="auto"/>
        <w:left w:val="none" w:sz="0" w:space="0" w:color="auto"/>
        <w:bottom w:val="none" w:sz="0" w:space="0" w:color="auto"/>
        <w:right w:val="none" w:sz="0" w:space="0" w:color="auto"/>
      </w:divBdr>
    </w:div>
    <w:div w:id="204744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FF876-33B8-4B63-AC68-87D53650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Frederick (COMM)</dc:creator>
  <cp:keywords/>
  <dc:description/>
  <cp:lastModifiedBy>Andersen, Frederick (COMM)</cp:lastModifiedBy>
  <cp:revision>6</cp:revision>
  <cp:lastPrinted>2018-08-29T13:46:00Z</cp:lastPrinted>
  <dcterms:created xsi:type="dcterms:W3CDTF">2019-01-09T14:27:00Z</dcterms:created>
  <dcterms:modified xsi:type="dcterms:W3CDTF">2019-01-09T14:58:00Z</dcterms:modified>
</cp:coreProperties>
</file>