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446C" w14:textId="77777777" w:rsidR="00E46E57" w:rsidRPr="00E42BA2" w:rsidRDefault="00E46E57" w:rsidP="000C44F6">
      <w:pPr>
        <w:pStyle w:val="NoSpacing"/>
        <w:jc w:val="center"/>
        <w:rPr>
          <w:rFonts w:cs="Times New Roman"/>
          <w:b/>
          <w:sz w:val="20"/>
          <w:szCs w:val="20"/>
        </w:rPr>
      </w:pPr>
    </w:p>
    <w:p w14:paraId="0962C937" w14:textId="36C5BE17" w:rsidR="00E46E57" w:rsidRPr="00E42BA2" w:rsidRDefault="00E46E57" w:rsidP="000C44F6">
      <w:pPr>
        <w:pStyle w:val="NoSpacing"/>
        <w:jc w:val="center"/>
        <w:rPr>
          <w:rFonts w:cs="Times New Roman"/>
          <w:b/>
          <w:sz w:val="20"/>
          <w:szCs w:val="20"/>
        </w:rPr>
      </w:pPr>
      <w:r w:rsidRPr="00E42BA2">
        <w:rPr>
          <w:rFonts w:cs="Times New Roman"/>
          <w:b/>
          <w:sz w:val="20"/>
          <w:szCs w:val="20"/>
        </w:rPr>
        <w:t>REGULATORY GUIDANCE on Property and Casualty Statutory Statements of Actuarial Opinion, Actuarial Opinion Summaries, and Actuarial Reports for the Year 2018</w:t>
      </w:r>
    </w:p>
    <w:p w14:paraId="2DCDFEA0" w14:textId="77777777" w:rsidR="00E46E57" w:rsidRPr="00E42BA2" w:rsidRDefault="00E46E57" w:rsidP="000C44F6">
      <w:pPr>
        <w:pStyle w:val="NoSpacing"/>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proofErr w:type="gramStart"/>
      <w:r w:rsidRPr="00E42BA2">
        <w:rPr>
          <w:rFonts w:cs="Times New Roman"/>
          <w:sz w:val="20"/>
          <w:szCs w:val="20"/>
        </w:rPr>
        <w:t>of</w:t>
      </w:r>
      <w:proofErr w:type="gramEnd"/>
      <w:r w:rsidRPr="00E42BA2">
        <w:rPr>
          <w:rFonts w:cs="Times New Roman"/>
          <w:sz w:val="20"/>
          <w:szCs w:val="20"/>
        </w:rPr>
        <w:t xml:space="preserve">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77777777" w:rsidR="00E46E57" w:rsidRPr="006874A6"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t>
      </w:r>
      <w:proofErr w:type="spellStart"/>
      <w:r w:rsidRPr="006874A6">
        <w:rPr>
          <w:rFonts w:cs="Times New Roman"/>
          <w:sz w:val="20"/>
          <w:szCs w:val="20"/>
        </w:rPr>
        <w:t>workpapers</w:t>
      </w:r>
      <w:proofErr w:type="spellEnd"/>
      <w:r w:rsidRPr="006874A6">
        <w:rPr>
          <w:rFonts w:cs="Times New Roman"/>
          <w:sz w:val="20"/>
          <w:szCs w:val="20"/>
        </w:rPr>
        <w:t xml:space="preserve"> be consistent with relevant Actuarial Standards of Practice (ASOPs).</w:t>
      </w:r>
    </w:p>
    <w:p w14:paraId="44612B57" w14:textId="77777777" w:rsidR="00E46E57" w:rsidRPr="006874A6" w:rsidRDefault="00E46E57" w:rsidP="000C44F6">
      <w:pPr>
        <w:pStyle w:val="NoSpacing"/>
        <w:jc w:val="both"/>
        <w:rPr>
          <w:rFonts w:cs="Times New Roman"/>
          <w:sz w:val="20"/>
          <w:szCs w:val="20"/>
        </w:rPr>
      </w:pPr>
    </w:p>
    <w:p w14:paraId="5EC87688" w14:textId="77777777" w:rsidR="00E46E57" w:rsidRPr="006874A6" w:rsidRDefault="00E46E57" w:rsidP="000C44F6">
      <w:pPr>
        <w:pStyle w:val="NoSpacing"/>
        <w:jc w:val="both"/>
        <w:rPr>
          <w:rFonts w:cs="Times New Roman"/>
          <w:sz w:val="20"/>
          <w:szCs w:val="20"/>
        </w:rPr>
      </w:pPr>
      <w:r w:rsidRPr="006874A6">
        <w:rPr>
          <w:rFonts w:cs="Times New Roman"/>
          <w:sz w:val="20"/>
          <w:szCs w:val="20"/>
        </w:rPr>
        <w:t xml:space="preserve">There are changes to the </w:t>
      </w:r>
      <w:r w:rsidRPr="006874A6">
        <w:rPr>
          <w:rFonts w:cs="Times New Roman"/>
          <w:i/>
          <w:sz w:val="20"/>
          <w:szCs w:val="20"/>
        </w:rPr>
        <w:t>Instructions</w:t>
      </w:r>
      <w:r w:rsidRPr="006874A6">
        <w:rPr>
          <w:rFonts w:cs="Times New Roman"/>
          <w:sz w:val="20"/>
          <w:szCs w:val="20"/>
        </w:rPr>
        <w:t xml:space="preserve"> for 2018. The 2018 </w:t>
      </w:r>
      <w:r w:rsidRPr="006874A6">
        <w:rPr>
          <w:rFonts w:cs="Times New Roman"/>
          <w:i/>
          <w:sz w:val="20"/>
          <w:szCs w:val="20"/>
        </w:rPr>
        <w:t>Instructions</w:t>
      </w:r>
      <w:r w:rsidRPr="006874A6">
        <w:rPr>
          <w:rFonts w:cs="Times New Roman"/>
          <w:sz w:val="20"/>
          <w:szCs w:val="20"/>
        </w:rPr>
        <w:t xml:space="preserve">: </w:t>
      </w:r>
    </w:p>
    <w:p w14:paraId="4B7815A6" w14:textId="6C7E176C" w:rsidR="00E46E57" w:rsidRPr="006874A6" w:rsidRDefault="00E46E57" w:rsidP="000C44F6">
      <w:pPr>
        <w:pStyle w:val="NoSpacing"/>
        <w:numPr>
          <w:ilvl w:val="0"/>
          <w:numId w:val="23"/>
        </w:numPr>
        <w:jc w:val="both"/>
        <w:rPr>
          <w:rFonts w:cs="Times New Roman"/>
          <w:sz w:val="20"/>
          <w:szCs w:val="20"/>
        </w:rPr>
      </w:pPr>
      <w:r w:rsidRPr="006874A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6874A6">
        <w:rPr>
          <w:rFonts w:cs="Times New Roman"/>
          <w:sz w:val="20"/>
          <w:szCs w:val="20"/>
        </w:rPr>
        <w:t>I</w:t>
      </w:r>
      <w:r w:rsidRPr="006874A6">
        <w:rPr>
          <w:rFonts w:cs="Times New Roman"/>
          <w:sz w:val="20"/>
          <w:szCs w:val="20"/>
        </w:rPr>
        <w:t>tems 7 and 8</w:t>
      </w:r>
      <w:r w:rsidR="00302612" w:rsidRPr="006874A6">
        <w:rPr>
          <w:rFonts w:cs="Times New Roman"/>
          <w:sz w:val="20"/>
          <w:szCs w:val="20"/>
        </w:rPr>
        <w:t>,</w:t>
      </w:r>
    </w:p>
    <w:p w14:paraId="7608681E" w14:textId="1F948666" w:rsidR="00CE7EFA" w:rsidRPr="006874A6" w:rsidRDefault="00CE7EFA" w:rsidP="000C44F6">
      <w:pPr>
        <w:pStyle w:val="NoSpacing"/>
        <w:numPr>
          <w:ilvl w:val="0"/>
          <w:numId w:val="23"/>
        </w:numPr>
        <w:jc w:val="both"/>
        <w:rPr>
          <w:rFonts w:cs="Times New Roman"/>
          <w:sz w:val="20"/>
          <w:szCs w:val="20"/>
        </w:rPr>
      </w:pPr>
      <w:r w:rsidRPr="006874A6">
        <w:rPr>
          <w:rFonts w:cs="Times New Roman"/>
          <w:sz w:val="20"/>
          <w:szCs w:val="20"/>
        </w:rPr>
        <w:t>Add a reference to SSAP No. 65 in the definition of P&amp;C Long Duration Contracts,</w:t>
      </w:r>
    </w:p>
    <w:p w14:paraId="58E35DC4" w14:textId="107AC217" w:rsidR="00E46E57" w:rsidRPr="006874A6" w:rsidRDefault="00E46E57" w:rsidP="000C44F6">
      <w:pPr>
        <w:pStyle w:val="NoSpacing"/>
        <w:numPr>
          <w:ilvl w:val="0"/>
          <w:numId w:val="23"/>
        </w:numPr>
        <w:jc w:val="both"/>
        <w:rPr>
          <w:rFonts w:cs="Times New Roman"/>
          <w:sz w:val="20"/>
          <w:szCs w:val="20"/>
        </w:rPr>
      </w:pPr>
      <w:r w:rsidRPr="006874A6">
        <w:rPr>
          <w:rFonts w:cs="Times New Roman"/>
          <w:sz w:val="20"/>
          <w:szCs w:val="20"/>
        </w:rPr>
        <w:t>Include a new disclosure item on Exhibit B for net reserves associated with A&amp;H Long Duration Contracts</w:t>
      </w:r>
      <w:r w:rsidR="00302612" w:rsidRPr="006874A6">
        <w:rPr>
          <w:rFonts w:cs="Times New Roman"/>
          <w:sz w:val="20"/>
          <w:szCs w:val="20"/>
        </w:rPr>
        <w:t>,</w:t>
      </w:r>
      <w:r w:rsidRPr="006874A6">
        <w:rPr>
          <w:rFonts w:cs="Times New Roman"/>
          <w:sz w:val="20"/>
          <w:szCs w:val="20"/>
        </w:rPr>
        <w:t xml:space="preserve"> </w:t>
      </w:r>
    </w:p>
    <w:p w14:paraId="32CC235E" w14:textId="253060DD" w:rsidR="00D56332" w:rsidRPr="006874A6" w:rsidRDefault="00D56332" w:rsidP="000C44F6">
      <w:pPr>
        <w:pStyle w:val="NoSpacing"/>
        <w:numPr>
          <w:ilvl w:val="0"/>
          <w:numId w:val="23"/>
        </w:numPr>
        <w:jc w:val="both"/>
        <w:rPr>
          <w:rFonts w:cs="Times New Roman"/>
          <w:sz w:val="20"/>
          <w:szCs w:val="20"/>
        </w:rPr>
      </w:pPr>
      <w:r w:rsidRPr="006874A6">
        <w:rPr>
          <w:rFonts w:cs="Times New Roman"/>
          <w:sz w:val="20"/>
          <w:szCs w:val="20"/>
        </w:rPr>
        <w:t>State that the Actuarial Report should disclose all reserve amounts associated with A&amp;H Long Duration Contracts</w:t>
      </w:r>
      <w:r w:rsidR="00302612" w:rsidRPr="006874A6">
        <w:rPr>
          <w:rFonts w:cs="Times New Roman"/>
          <w:sz w:val="20"/>
          <w:szCs w:val="20"/>
        </w:rPr>
        <w:t>, and</w:t>
      </w:r>
    </w:p>
    <w:p w14:paraId="25910797" w14:textId="6C563F61" w:rsidR="00E46E57" w:rsidRPr="006874A6" w:rsidRDefault="00E46E57" w:rsidP="000C44F6">
      <w:pPr>
        <w:pStyle w:val="NoSpacing"/>
        <w:numPr>
          <w:ilvl w:val="0"/>
          <w:numId w:val="23"/>
        </w:numPr>
        <w:jc w:val="both"/>
        <w:rPr>
          <w:rFonts w:cs="Times New Roman"/>
          <w:sz w:val="20"/>
          <w:szCs w:val="20"/>
        </w:rPr>
      </w:pPr>
      <w:r w:rsidRPr="006874A6">
        <w:rPr>
          <w:rFonts w:cs="Times New Roman"/>
          <w:sz w:val="20"/>
          <w:szCs w:val="20"/>
        </w:rPr>
        <w:t xml:space="preserve">State that the Actuarial Report and </w:t>
      </w:r>
      <w:proofErr w:type="spellStart"/>
      <w:r w:rsidRPr="006874A6">
        <w:rPr>
          <w:rFonts w:cs="Times New Roman"/>
          <w:sz w:val="20"/>
          <w:szCs w:val="20"/>
        </w:rPr>
        <w:t>workpapers</w:t>
      </w:r>
      <w:proofErr w:type="spellEnd"/>
      <w:r w:rsidRPr="006874A6">
        <w:rPr>
          <w:rFonts w:cs="Times New Roman"/>
          <w:sz w:val="20"/>
          <w:szCs w:val="20"/>
        </w:rPr>
        <w:t xml:space="preserve"> summarizing the asset adequacy testing of long-term care contracts must be in compliance with </w:t>
      </w:r>
      <w:r w:rsidRPr="006874A6">
        <w:rPr>
          <w:rFonts w:cs="Times New Roman"/>
          <w:i/>
          <w:sz w:val="20"/>
          <w:szCs w:val="20"/>
        </w:rPr>
        <w:t>Actuarial Guideline LI – The Application of Asset Adequacy Testing to Long-Term Care Insurance Reserves</w:t>
      </w:r>
      <w:r w:rsidR="00F11835" w:rsidRPr="006874A6">
        <w:rPr>
          <w:rFonts w:cs="Times New Roman"/>
          <w:i/>
          <w:sz w:val="20"/>
          <w:szCs w:val="20"/>
        </w:rPr>
        <w:t xml:space="preserve"> </w:t>
      </w:r>
      <w:r w:rsidR="00B86254" w:rsidRPr="006874A6">
        <w:rPr>
          <w:rFonts w:cs="Times New Roman"/>
          <w:sz w:val="20"/>
          <w:szCs w:val="20"/>
        </w:rPr>
        <w:t xml:space="preserve">(AG 51) </w:t>
      </w:r>
      <w:r w:rsidR="00F11835" w:rsidRPr="006874A6">
        <w:rPr>
          <w:rFonts w:cs="Times New Roman"/>
          <w:sz w:val="20"/>
          <w:szCs w:val="20"/>
        </w:rPr>
        <w:t xml:space="preserve">of the </w:t>
      </w:r>
      <w:r w:rsidR="00F11835" w:rsidRPr="006874A6">
        <w:rPr>
          <w:rFonts w:cs="Times New Roman"/>
          <w:i/>
          <w:sz w:val="20"/>
          <w:szCs w:val="20"/>
        </w:rPr>
        <w:t>Accounting Practices and Procedures Manual</w:t>
      </w:r>
      <w:r w:rsidR="00302612" w:rsidRPr="006874A6">
        <w:rPr>
          <w:rFonts w:cs="Times New Roman"/>
          <w:sz w:val="20"/>
          <w:szCs w:val="20"/>
        </w:rPr>
        <w:t>.</w:t>
      </w:r>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0" w:name="ref_TOC"/>
      <w:bookmarkStart w:id="1" w:name="aref_TOC"/>
      <w:r w:rsidRPr="006874A6">
        <w:rPr>
          <w:rFonts w:cs="Times New Roman"/>
          <w:b/>
          <w:sz w:val="20"/>
          <w:szCs w:val="20"/>
        </w:rPr>
        <w:br w:type="page"/>
      </w:r>
    </w:p>
    <w:p w14:paraId="30981205" w14:textId="77777777" w:rsidR="00E46E57" w:rsidRPr="006874A6" w:rsidRDefault="00E46E57" w:rsidP="000C44F6">
      <w:pPr>
        <w:pStyle w:val="NoSpacing"/>
        <w:rPr>
          <w:rFonts w:cs="Times New Roman"/>
          <w:b/>
          <w:sz w:val="20"/>
          <w:szCs w:val="20"/>
        </w:rPr>
      </w:pPr>
      <w:bookmarkStart w:id="2" w:name="aaaref_TOC"/>
      <w:r w:rsidRPr="006874A6">
        <w:rPr>
          <w:rFonts w:cs="Times New Roman"/>
          <w:b/>
          <w:sz w:val="20"/>
          <w:szCs w:val="20"/>
        </w:rPr>
        <w:lastRenderedPageBreak/>
        <w:t>Table of contents</w:t>
      </w:r>
    </w:p>
    <w:bookmarkEnd w:id="0"/>
    <w:bookmarkEnd w:id="1"/>
    <w:bookmarkEnd w:id="2"/>
    <w:p w14:paraId="54F81438" w14:textId="77777777" w:rsidR="00E46E57" w:rsidRPr="006874A6" w:rsidRDefault="00E46E57" w:rsidP="000C44F6">
      <w:pPr>
        <w:pStyle w:val="NoSpacing"/>
        <w:rPr>
          <w:rFonts w:cs="Times New Roman"/>
          <w:sz w:val="20"/>
          <w:szCs w:val="20"/>
        </w:rPr>
      </w:pPr>
    </w:p>
    <w:p w14:paraId="4C2C9058" w14:textId="1B67A1C1" w:rsidR="00E46E57" w:rsidRPr="006874A6" w:rsidRDefault="00E46E57" w:rsidP="000C44F6">
      <w:pPr>
        <w:pStyle w:val="NoSpacing"/>
        <w:tabs>
          <w:tab w:val="right" w:pos="9000"/>
        </w:tabs>
        <w:ind w:left="360" w:right="360" w:hanging="360"/>
        <w:rPr>
          <w:rFonts w:cs="Times New Roman"/>
          <w:sz w:val="20"/>
          <w:szCs w:val="20"/>
        </w:rPr>
      </w:pPr>
      <w:r w:rsidRPr="006874A6">
        <w:rPr>
          <w:rFonts w:cs="Times New Roman"/>
          <w:sz w:val="20"/>
          <w:szCs w:val="20"/>
        </w:rPr>
        <w:t xml:space="preserve">I. </w:t>
      </w:r>
      <w:r w:rsidRPr="006874A6">
        <w:rPr>
          <w:rFonts w:cs="Times New Roman"/>
          <w:sz w:val="20"/>
          <w:szCs w:val="20"/>
        </w:rPr>
        <w:tab/>
      </w:r>
      <w:hyperlink w:anchor="GenCom" w:history="1">
        <w:r w:rsidRPr="006874A6">
          <w:rPr>
            <w:rStyle w:val="Hyperlink"/>
            <w:rFonts w:cs="Times New Roman"/>
            <w:sz w:val="20"/>
            <w:szCs w:val="20"/>
          </w:rPr>
          <w:t>General comments</w:t>
        </w:r>
      </w:hyperlink>
      <w:r w:rsidRPr="006874A6">
        <w:rPr>
          <w:rFonts w:cs="Times New Roman"/>
          <w:sz w:val="20"/>
          <w:szCs w:val="20"/>
        </w:rPr>
        <w:tab/>
      </w:r>
      <w:r w:rsidRPr="006874A6">
        <w:rPr>
          <w:rFonts w:cs="Times New Roman"/>
          <w:sz w:val="20"/>
          <w:szCs w:val="20"/>
        </w:rPr>
        <w:fldChar w:fldCharType="begin"/>
      </w:r>
      <w:r w:rsidRPr="006874A6">
        <w:rPr>
          <w:rFonts w:cs="Times New Roman"/>
          <w:sz w:val="20"/>
          <w:szCs w:val="20"/>
        </w:rPr>
        <w:instrText xml:space="preserve"> PAGEREF _Ref491681721 </w:instrText>
      </w:r>
      <w:r w:rsidRPr="006874A6">
        <w:rPr>
          <w:rFonts w:cs="Times New Roman"/>
          <w:sz w:val="20"/>
          <w:szCs w:val="20"/>
        </w:rPr>
        <w:fldChar w:fldCharType="separate"/>
      </w:r>
      <w:r w:rsidR="00E41FF1" w:rsidRPr="006874A6">
        <w:rPr>
          <w:rFonts w:cs="Times New Roman"/>
          <w:noProof/>
          <w:sz w:val="20"/>
          <w:szCs w:val="20"/>
        </w:rPr>
        <w:t>3</w:t>
      </w:r>
      <w:r w:rsidRPr="006874A6">
        <w:rPr>
          <w:rFonts w:cs="Times New Roman"/>
          <w:sz w:val="20"/>
          <w:szCs w:val="20"/>
        </w:rPr>
        <w:fldChar w:fldCharType="end"/>
      </w:r>
    </w:p>
    <w:p w14:paraId="64AA5E4D" w14:textId="501E9019" w:rsidR="00E46E57" w:rsidRPr="006874A6" w:rsidRDefault="00E46E57" w:rsidP="000C44F6">
      <w:pPr>
        <w:pStyle w:val="NoSpacing"/>
        <w:tabs>
          <w:tab w:val="right" w:pos="9000"/>
        </w:tabs>
        <w:ind w:left="720" w:right="360" w:hanging="360"/>
        <w:rPr>
          <w:rFonts w:cs="Times New Roman"/>
          <w:sz w:val="20"/>
          <w:szCs w:val="20"/>
        </w:rPr>
      </w:pPr>
      <w:r w:rsidRPr="006874A6">
        <w:rPr>
          <w:rFonts w:cs="Times New Roman"/>
          <w:sz w:val="20"/>
          <w:szCs w:val="20"/>
        </w:rPr>
        <w:t xml:space="preserve">A. </w:t>
      </w:r>
      <w:r w:rsidRPr="006874A6">
        <w:rPr>
          <w:rFonts w:cs="Times New Roman"/>
          <w:sz w:val="20"/>
          <w:szCs w:val="20"/>
        </w:rPr>
        <w:tab/>
      </w:r>
      <w:hyperlink w:anchor="Reconc" w:history="1">
        <w:r w:rsidRPr="006874A6">
          <w:rPr>
            <w:rStyle w:val="Hyperlink"/>
            <w:rFonts w:cs="Times New Roman"/>
            <w:sz w:val="20"/>
            <w:szCs w:val="20"/>
          </w:rPr>
          <w:t>Reconciliation between documents</w:t>
        </w:r>
      </w:hyperlink>
      <w:r w:rsidRPr="006874A6">
        <w:rPr>
          <w:rFonts w:cs="Times New Roman"/>
          <w:sz w:val="20"/>
          <w:szCs w:val="20"/>
        </w:rPr>
        <w:tab/>
      </w:r>
      <w:r w:rsidRPr="006874A6">
        <w:rPr>
          <w:rFonts w:cs="Times New Roman"/>
          <w:sz w:val="20"/>
          <w:szCs w:val="20"/>
        </w:rPr>
        <w:fldChar w:fldCharType="begin"/>
      </w:r>
      <w:r w:rsidRPr="006874A6">
        <w:rPr>
          <w:rFonts w:cs="Times New Roman"/>
          <w:sz w:val="20"/>
          <w:szCs w:val="20"/>
        </w:rPr>
        <w:instrText xml:space="preserve"> PAGEREF _Ref491681782 \h </w:instrText>
      </w:r>
      <w:r w:rsidRPr="006874A6">
        <w:rPr>
          <w:rFonts w:cs="Times New Roman"/>
          <w:sz w:val="20"/>
          <w:szCs w:val="20"/>
        </w:rPr>
      </w:r>
      <w:r w:rsidRPr="006874A6">
        <w:rPr>
          <w:rFonts w:cs="Times New Roman"/>
          <w:sz w:val="20"/>
          <w:szCs w:val="20"/>
        </w:rPr>
        <w:fldChar w:fldCharType="separate"/>
      </w:r>
      <w:r w:rsidR="00E41FF1" w:rsidRPr="006874A6">
        <w:rPr>
          <w:rFonts w:cs="Times New Roman"/>
          <w:noProof/>
          <w:sz w:val="20"/>
          <w:szCs w:val="20"/>
        </w:rPr>
        <w:t>3</w:t>
      </w:r>
      <w:r w:rsidRPr="006874A6">
        <w:rPr>
          <w:rFonts w:cs="Times New Roman"/>
          <w:sz w:val="20"/>
          <w:szCs w:val="20"/>
        </w:rPr>
        <w:fldChar w:fldCharType="end"/>
      </w:r>
    </w:p>
    <w:p w14:paraId="76F0A41C" w14:textId="51891B36" w:rsidR="00E46E57" w:rsidRPr="006874A6" w:rsidRDefault="00E46E57" w:rsidP="000C44F6">
      <w:pPr>
        <w:pStyle w:val="NoSpacing"/>
        <w:tabs>
          <w:tab w:val="right" w:pos="9000"/>
        </w:tabs>
        <w:ind w:left="720" w:right="360" w:hanging="360"/>
        <w:rPr>
          <w:rFonts w:cs="Times New Roman"/>
          <w:i/>
          <w:sz w:val="20"/>
          <w:szCs w:val="20"/>
        </w:rPr>
      </w:pPr>
      <w:r w:rsidRPr="006874A6">
        <w:rPr>
          <w:rFonts w:cs="Times New Roman"/>
          <w:sz w:val="20"/>
          <w:szCs w:val="20"/>
        </w:rPr>
        <w:t xml:space="preserve">B. </w:t>
      </w:r>
      <w:r w:rsidRPr="006874A6">
        <w:rPr>
          <w:rFonts w:cs="Times New Roman"/>
          <w:sz w:val="20"/>
          <w:szCs w:val="20"/>
        </w:rPr>
        <w:tab/>
      </w:r>
      <w:hyperlink w:anchor="RoleofIllus" w:history="1">
        <w:r w:rsidRPr="006874A6">
          <w:rPr>
            <w:rStyle w:val="Hyperlink"/>
            <w:rFonts w:cs="Times New Roman"/>
            <w:sz w:val="20"/>
            <w:szCs w:val="20"/>
          </w:rPr>
          <w:t xml:space="preserve">Role of illustrative language in the </w:t>
        </w:r>
        <w:r w:rsidRPr="006874A6">
          <w:rPr>
            <w:rStyle w:val="Hyperlink"/>
            <w:rFonts w:cs="Times New Roman"/>
            <w:i/>
            <w:sz w:val="20"/>
            <w:szCs w:val="20"/>
          </w:rPr>
          <w:t>Instructions</w:t>
        </w:r>
      </w:hyperlink>
      <w:r w:rsidRPr="006874A6">
        <w:rPr>
          <w:rFonts w:cs="Times New Roman"/>
          <w:sz w:val="20"/>
          <w:szCs w:val="20"/>
        </w:rPr>
        <w:tab/>
      </w:r>
      <w:r w:rsidRPr="006874A6">
        <w:rPr>
          <w:rFonts w:cs="Times New Roman"/>
          <w:sz w:val="20"/>
          <w:szCs w:val="20"/>
        </w:rPr>
        <w:fldChar w:fldCharType="begin"/>
      </w:r>
      <w:r w:rsidRPr="006874A6">
        <w:rPr>
          <w:rFonts w:cs="Times New Roman"/>
          <w:sz w:val="20"/>
          <w:szCs w:val="20"/>
        </w:rPr>
        <w:instrText xml:space="preserve"> PAGEREF _Ref491681899 </w:instrText>
      </w:r>
      <w:r w:rsidRPr="006874A6">
        <w:rPr>
          <w:rFonts w:cs="Times New Roman"/>
          <w:sz w:val="20"/>
          <w:szCs w:val="20"/>
        </w:rPr>
        <w:fldChar w:fldCharType="separate"/>
      </w:r>
      <w:r w:rsidR="00E41FF1" w:rsidRPr="006874A6">
        <w:rPr>
          <w:rFonts w:cs="Times New Roman"/>
          <w:noProof/>
          <w:sz w:val="20"/>
          <w:szCs w:val="20"/>
        </w:rPr>
        <w:t>3</w:t>
      </w:r>
      <w:r w:rsidRPr="006874A6">
        <w:rPr>
          <w:rFonts w:cs="Times New Roman"/>
          <w:sz w:val="20"/>
          <w:szCs w:val="20"/>
        </w:rPr>
        <w:fldChar w:fldCharType="end"/>
      </w:r>
    </w:p>
    <w:p w14:paraId="08D4B4D8" w14:textId="735C7469" w:rsidR="00E46E57" w:rsidRPr="006874A6" w:rsidRDefault="00E46E57" w:rsidP="000C44F6">
      <w:pPr>
        <w:pStyle w:val="NoSpacing"/>
        <w:tabs>
          <w:tab w:val="right" w:pos="9000"/>
        </w:tabs>
        <w:ind w:left="720" w:right="360" w:hanging="360"/>
        <w:rPr>
          <w:rFonts w:cs="Times New Roman"/>
          <w:sz w:val="20"/>
          <w:szCs w:val="20"/>
        </w:rPr>
      </w:pPr>
      <w:r w:rsidRPr="006874A6">
        <w:rPr>
          <w:rFonts w:cs="Times New Roman"/>
          <w:sz w:val="20"/>
          <w:szCs w:val="20"/>
        </w:rPr>
        <w:t xml:space="preserve">C. </w:t>
      </w:r>
      <w:r w:rsidRPr="006874A6">
        <w:rPr>
          <w:rFonts w:cs="Times New Roman"/>
          <w:sz w:val="20"/>
          <w:szCs w:val="20"/>
        </w:rPr>
        <w:tab/>
      </w:r>
      <w:hyperlink w:anchor="Replacement" w:history="1">
        <w:r w:rsidRPr="006874A6">
          <w:rPr>
            <w:rStyle w:val="Hyperlink"/>
            <w:rFonts w:cs="Times New Roman"/>
            <w:sz w:val="20"/>
            <w:szCs w:val="20"/>
          </w:rPr>
          <w:t>Replacement of an Appointed Actuary</w:t>
        </w:r>
      </w:hyperlink>
      <w:r w:rsidRPr="006874A6">
        <w:rPr>
          <w:rFonts w:cs="Times New Roman"/>
          <w:sz w:val="20"/>
          <w:szCs w:val="20"/>
        </w:rPr>
        <w:tab/>
      </w:r>
      <w:r w:rsidRPr="006874A6">
        <w:rPr>
          <w:rFonts w:cs="Times New Roman"/>
          <w:sz w:val="20"/>
          <w:szCs w:val="20"/>
        </w:rPr>
        <w:fldChar w:fldCharType="begin"/>
      </w:r>
      <w:r w:rsidRPr="006874A6">
        <w:rPr>
          <w:rFonts w:cs="Times New Roman"/>
          <w:sz w:val="20"/>
          <w:szCs w:val="20"/>
        </w:rPr>
        <w:instrText xml:space="preserve"> PAGEREF _Ref491681906 </w:instrText>
      </w:r>
      <w:r w:rsidRPr="006874A6">
        <w:rPr>
          <w:rFonts w:cs="Times New Roman"/>
          <w:sz w:val="20"/>
          <w:szCs w:val="20"/>
        </w:rPr>
        <w:fldChar w:fldCharType="separate"/>
      </w:r>
      <w:r w:rsidR="00E41FF1" w:rsidRPr="006874A6">
        <w:rPr>
          <w:rFonts w:cs="Times New Roman"/>
          <w:noProof/>
          <w:sz w:val="20"/>
          <w:szCs w:val="20"/>
        </w:rPr>
        <w:t>3</w:t>
      </w:r>
      <w:r w:rsidRPr="006874A6">
        <w:rPr>
          <w:rFonts w:cs="Times New Roman"/>
          <w:sz w:val="20"/>
          <w:szCs w:val="20"/>
        </w:rPr>
        <w:fldChar w:fldCharType="end"/>
      </w:r>
    </w:p>
    <w:p w14:paraId="632A80E2" w14:textId="177FE12C" w:rsidR="00E46E57" w:rsidRPr="006874A6" w:rsidRDefault="006B3018" w:rsidP="000C44F6">
      <w:pPr>
        <w:pStyle w:val="NoSpacing"/>
        <w:numPr>
          <w:ilvl w:val="0"/>
          <w:numId w:val="16"/>
        </w:numPr>
        <w:tabs>
          <w:tab w:val="right" w:pos="9000"/>
        </w:tabs>
        <w:ind w:right="360"/>
        <w:rPr>
          <w:rFonts w:cs="Times New Roman"/>
          <w:sz w:val="20"/>
          <w:szCs w:val="20"/>
        </w:rPr>
      </w:pPr>
      <w:hyperlink w:anchor="ReportingtoBOD" w:history="1">
        <w:r w:rsidR="00E46E57" w:rsidRPr="006874A6">
          <w:rPr>
            <w:rStyle w:val="Hyperlink"/>
            <w:rFonts w:cs="Times New Roman"/>
            <w:sz w:val="20"/>
            <w:szCs w:val="20"/>
          </w:rPr>
          <w:t>Reporting to the Board of Directors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_Ref491681919 </w:instrText>
      </w:r>
      <w:r w:rsidR="00E46E57" w:rsidRPr="006874A6">
        <w:rPr>
          <w:rFonts w:cs="Times New Roman"/>
          <w:sz w:val="20"/>
          <w:szCs w:val="20"/>
        </w:rPr>
        <w:fldChar w:fldCharType="separate"/>
      </w:r>
      <w:r w:rsidR="00E41FF1" w:rsidRPr="006874A6">
        <w:rPr>
          <w:rFonts w:cs="Times New Roman"/>
          <w:noProof/>
          <w:sz w:val="20"/>
          <w:szCs w:val="20"/>
        </w:rPr>
        <w:t>4</w:t>
      </w:r>
      <w:r w:rsidR="00E46E57" w:rsidRPr="006874A6">
        <w:rPr>
          <w:rFonts w:cs="Times New Roman"/>
          <w:sz w:val="20"/>
          <w:szCs w:val="20"/>
        </w:rPr>
        <w:fldChar w:fldCharType="end"/>
      </w:r>
    </w:p>
    <w:p w14:paraId="709F43B4" w14:textId="09D5C7E5" w:rsidR="00E46E57" w:rsidRPr="006874A6" w:rsidRDefault="006B3018" w:rsidP="000C44F6">
      <w:pPr>
        <w:pStyle w:val="NoSpacing"/>
        <w:numPr>
          <w:ilvl w:val="0"/>
          <w:numId w:val="16"/>
        </w:numPr>
        <w:tabs>
          <w:tab w:val="right" w:pos="9000"/>
        </w:tabs>
        <w:ind w:right="360"/>
        <w:rPr>
          <w:rFonts w:cs="Times New Roman"/>
          <w:sz w:val="20"/>
          <w:szCs w:val="20"/>
        </w:rPr>
      </w:pPr>
      <w:hyperlink w:anchor="Reqsforpooled" w:history="1">
        <w:r w:rsidR="00E46E57" w:rsidRPr="006874A6">
          <w:rPr>
            <w:rStyle w:val="Hyperlink"/>
            <w:rFonts w:cs="Times New Roman"/>
            <w:sz w:val="20"/>
            <w:szCs w:val="20"/>
          </w:rPr>
          <w:t>Requirements for pooled companies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_Ref491681926 </w:instrText>
      </w:r>
      <w:r w:rsidR="00E46E57" w:rsidRPr="006874A6">
        <w:rPr>
          <w:rFonts w:cs="Times New Roman"/>
          <w:sz w:val="20"/>
          <w:szCs w:val="20"/>
        </w:rPr>
        <w:fldChar w:fldCharType="separate"/>
      </w:r>
      <w:r w:rsidR="00E41FF1" w:rsidRPr="006874A6">
        <w:rPr>
          <w:rFonts w:cs="Times New Roman"/>
          <w:noProof/>
          <w:sz w:val="20"/>
          <w:szCs w:val="20"/>
        </w:rPr>
        <w:t>4</w:t>
      </w:r>
      <w:r w:rsidR="00E46E57" w:rsidRPr="006874A6">
        <w:rPr>
          <w:rFonts w:cs="Times New Roman"/>
          <w:sz w:val="20"/>
          <w:szCs w:val="20"/>
        </w:rPr>
        <w:fldChar w:fldCharType="end"/>
      </w:r>
    </w:p>
    <w:p w14:paraId="28F535EC" w14:textId="7E2F26EA" w:rsidR="00E46E57" w:rsidRPr="006874A6" w:rsidRDefault="006B3018" w:rsidP="000C44F6">
      <w:pPr>
        <w:pStyle w:val="NoSpacing"/>
        <w:numPr>
          <w:ilvl w:val="0"/>
          <w:numId w:val="16"/>
        </w:numPr>
        <w:tabs>
          <w:tab w:val="right" w:pos="9000"/>
        </w:tabs>
        <w:ind w:right="360"/>
        <w:rPr>
          <w:rFonts w:cs="Times New Roman"/>
          <w:sz w:val="20"/>
          <w:szCs w:val="20"/>
        </w:rPr>
      </w:pPr>
      <w:hyperlink w:anchor="Adversedev" w:history="1">
        <w:r w:rsidR="00E46E57" w:rsidRPr="006874A6">
          <w:rPr>
            <w:rStyle w:val="Hyperlink"/>
            <w:rFonts w:cs="Times New Roman"/>
            <w:sz w:val="20"/>
            <w:szCs w:val="20"/>
          </w:rPr>
          <w:t>Explanation of adverse development</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_Ref491681932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62225701" w14:textId="5B23C0C7" w:rsidR="00E46E57" w:rsidRPr="006874A6" w:rsidRDefault="006B3018" w:rsidP="000C44F6">
      <w:pPr>
        <w:pStyle w:val="ListParagraph"/>
        <w:numPr>
          <w:ilvl w:val="1"/>
          <w:numId w:val="16"/>
        </w:numPr>
        <w:tabs>
          <w:tab w:val="right" w:pos="9000"/>
        </w:tabs>
        <w:spacing w:line="240" w:lineRule="auto"/>
        <w:ind w:left="1080" w:right="720"/>
        <w:rPr>
          <w:rFonts w:cs="Times New Roman"/>
          <w:sz w:val="20"/>
          <w:szCs w:val="20"/>
        </w:rPr>
      </w:pPr>
      <w:hyperlink w:anchor="IRIS" w:history="1">
        <w:r w:rsidR="00E46E57" w:rsidRPr="006874A6">
          <w:rPr>
            <w:rStyle w:val="Hyperlink"/>
            <w:rFonts w:cs="Times New Roman"/>
            <w:sz w:val="20"/>
            <w:szCs w:val="20"/>
          </w:rPr>
          <w:t>Comments on unusual Insurance Regulatory Information System (IRIS) ratios in the Actuarial Opinion</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_Ref491681940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5A70AB03" w14:textId="05648993" w:rsidR="00E46E57" w:rsidRPr="006874A6" w:rsidRDefault="006B3018" w:rsidP="000C44F6">
      <w:pPr>
        <w:pStyle w:val="ListParagraph"/>
        <w:numPr>
          <w:ilvl w:val="1"/>
          <w:numId w:val="16"/>
        </w:numPr>
        <w:tabs>
          <w:tab w:val="right" w:pos="9000"/>
        </w:tabs>
        <w:spacing w:after="0" w:line="240" w:lineRule="auto"/>
        <w:ind w:left="1080" w:right="720"/>
        <w:rPr>
          <w:rFonts w:cs="Times New Roman"/>
          <w:sz w:val="20"/>
          <w:szCs w:val="20"/>
        </w:rPr>
      </w:pPr>
      <w:hyperlink w:anchor="AOSdev" w:history="1">
        <w:r w:rsidR="00E46E57" w:rsidRPr="006874A6">
          <w:rPr>
            <w:rStyle w:val="Hyperlink"/>
            <w:rFonts w:cs="Times New Roman"/>
            <w:sz w:val="20"/>
            <w:szCs w:val="20"/>
          </w:rPr>
          <w:t>Comments on persistent adverse development in the AOS</w:t>
        </w:r>
      </w:hyperlink>
      <w:r w:rsidR="00E46E57" w:rsidRPr="006874A6">
        <w:rPr>
          <w:rFonts w:cs="Times New Roman"/>
          <w:sz w:val="20"/>
          <w:szCs w:val="20"/>
        </w:rPr>
        <w:t xml:space="preserve"> </w:t>
      </w:r>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_Ref491681949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2F5D7047" w14:textId="4C87D4DF" w:rsidR="00E46E57" w:rsidRPr="006874A6" w:rsidRDefault="006B3018" w:rsidP="000C44F6">
      <w:pPr>
        <w:pStyle w:val="NoSpacing"/>
        <w:numPr>
          <w:ilvl w:val="0"/>
          <w:numId w:val="16"/>
        </w:numPr>
        <w:tabs>
          <w:tab w:val="right" w:pos="9000"/>
        </w:tabs>
        <w:ind w:right="720"/>
        <w:rPr>
          <w:rFonts w:cs="Times New Roman"/>
          <w:sz w:val="20"/>
          <w:szCs w:val="20"/>
        </w:rPr>
      </w:pPr>
      <w:hyperlink w:anchor="Revisions" w:history="1">
        <w:r w:rsidR="00E46E57" w:rsidRPr="006874A6">
          <w:rPr>
            <w:rStyle w:val="Hyperlink"/>
            <w:rFonts w:cs="Times New Roman"/>
            <w:sz w:val="20"/>
            <w:szCs w:val="20"/>
          </w:rPr>
          <w:t>Revisions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_Ref491681955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2EA913A2" w14:textId="65C187E5" w:rsidR="00E46E57" w:rsidRPr="006874A6" w:rsidRDefault="006B3018" w:rsidP="000C44F6">
      <w:pPr>
        <w:pStyle w:val="ListParagraph"/>
        <w:numPr>
          <w:ilvl w:val="0"/>
          <w:numId w:val="17"/>
        </w:numPr>
        <w:tabs>
          <w:tab w:val="right" w:pos="9000"/>
        </w:tabs>
        <w:spacing w:line="240" w:lineRule="auto"/>
        <w:ind w:right="720"/>
        <w:rPr>
          <w:rFonts w:cs="Times New Roman"/>
          <w:sz w:val="20"/>
          <w:szCs w:val="20"/>
        </w:rPr>
      </w:pPr>
      <w:hyperlink w:anchor="CommentsSAOandReport" w:history="1">
        <w:r w:rsidR="00E46E57" w:rsidRPr="006874A6">
          <w:rPr>
            <w:rStyle w:val="Hyperlink"/>
            <w:rFonts w:cs="Times New Roman"/>
            <w:sz w:val="20"/>
            <w:szCs w:val="20"/>
          </w:rPr>
          <w:t>Comments on Actuarial Opinion and Actuarial Report</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_Ref491681960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2762FE67" w14:textId="7F832546"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Reviewdate" w:history="1">
        <w:r w:rsidR="00E46E57" w:rsidRPr="006874A6">
          <w:rPr>
            <w:rStyle w:val="Hyperlink"/>
            <w:rFonts w:cs="Times New Roman"/>
            <w:sz w:val="20"/>
            <w:szCs w:val="20"/>
          </w:rPr>
          <w:t>Review date</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_Ref491681970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1BC67303" w14:textId="7AEC09F0"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Makinguseofanother" w:history="1">
        <w:r w:rsidR="00E46E57" w:rsidRPr="006874A6">
          <w:rPr>
            <w:rStyle w:val="Hyperlink"/>
            <w:rFonts w:cs="Times New Roman"/>
            <w:sz w:val="20"/>
            <w:szCs w:val="20"/>
          </w:rPr>
          <w:t>Making use of another’s work</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_Ref491681975 </w:instrText>
      </w:r>
      <w:r w:rsidR="00E46E57" w:rsidRPr="006874A6">
        <w:rPr>
          <w:rFonts w:cs="Times New Roman"/>
          <w:sz w:val="20"/>
          <w:szCs w:val="20"/>
        </w:rPr>
        <w:fldChar w:fldCharType="separate"/>
      </w:r>
      <w:r w:rsidR="00E41FF1" w:rsidRPr="006874A6">
        <w:rPr>
          <w:rFonts w:cs="Times New Roman"/>
          <w:noProof/>
          <w:sz w:val="20"/>
          <w:szCs w:val="20"/>
        </w:rPr>
        <w:t>5</w:t>
      </w:r>
      <w:r w:rsidR="00E46E57" w:rsidRPr="006874A6">
        <w:rPr>
          <w:rFonts w:cs="Times New Roman"/>
          <w:sz w:val="20"/>
          <w:szCs w:val="20"/>
        </w:rPr>
        <w:fldChar w:fldCharType="end"/>
      </w:r>
    </w:p>
    <w:p w14:paraId="2736F968" w14:textId="3F45261B"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PtsAandB" w:history="1">
        <w:r w:rsidR="00E46E57" w:rsidRPr="006874A6">
          <w:rPr>
            <w:rStyle w:val="Hyperlink"/>
            <w:rFonts w:cs="Times New Roman"/>
            <w:sz w:val="20"/>
            <w:szCs w:val="20"/>
          </w:rPr>
          <w:t>Points A and B of the Opinion paragraph when opinion type is other than reasonable</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_Ref491681981 </w:instrText>
      </w:r>
      <w:r w:rsidR="00E46E57" w:rsidRPr="006874A6">
        <w:rPr>
          <w:rFonts w:cs="Times New Roman"/>
          <w:sz w:val="20"/>
          <w:szCs w:val="20"/>
        </w:rPr>
        <w:fldChar w:fldCharType="separate"/>
      </w:r>
      <w:r w:rsidR="00E41FF1" w:rsidRPr="006874A6">
        <w:rPr>
          <w:rFonts w:cs="Times New Roman"/>
          <w:noProof/>
          <w:sz w:val="20"/>
          <w:szCs w:val="20"/>
        </w:rPr>
        <w:t>6</w:t>
      </w:r>
      <w:r w:rsidR="00E46E57" w:rsidRPr="006874A6">
        <w:rPr>
          <w:rFonts w:cs="Times New Roman"/>
          <w:sz w:val="20"/>
          <w:szCs w:val="20"/>
        </w:rPr>
        <w:fldChar w:fldCharType="end"/>
      </w:r>
    </w:p>
    <w:p w14:paraId="030AD0EB" w14:textId="04E7ECC4"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NetvsDandA" w:history="1">
        <w:r w:rsidR="00E46E57" w:rsidRPr="006874A6">
          <w:rPr>
            <w:rStyle w:val="Hyperlink"/>
            <w:rFonts w:cs="Times New Roman"/>
            <w:sz w:val="20"/>
            <w:szCs w:val="20"/>
          </w:rPr>
          <w:t>Conclusions on a net versus a direct and assumed basis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_Ref491681991 </w:instrText>
      </w:r>
      <w:r w:rsidR="00E46E57" w:rsidRPr="006874A6">
        <w:rPr>
          <w:rFonts w:cs="Times New Roman"/>
          <w:sz w:val="20"/>
          <w:szCs w:val="20"/>
        </w:rPr>
        <w:fldChar w:fldCharType="separate"/>
      </w:r>
      <w:r w:rsidR="00E41FF1" w:rsidRPr="006874A6">
        <w:rPr>
          <w:rFonts w:cs="Times New Roman"/>
          <w:noProof/>
          <w:sz w:val="20"/>
          <w:szCs w:val="20"/>
        </w:rPr>
        <w:t>6</w:t>
      </w:r>
      <w:r w:rsidR="00E46E57" w:rsidRPr="006874A6">
        <w:rPr>
          <w:rFonts w:cs="Times New Roman"/>
          <w:sz w:val="20"/>
          <w:szCs w:val="20"/>
        </w:rPr>
        <w:fldChar w:fldCharType="end"/>
      </w:r>
    </w:p>
    <w:p w14:paraId="50FD7B72" w14:textId="61DF7ED1"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UEPRLDC" w:history="1">
        <w:r w:rsidR="00E46E57" w:rsidRPr="006874A6">
          <w:rPr>
            <w:rStyle w:val="Hyperlink"/>
            <w:rFonts w:cs="Times New Roman"/>
            <w:sz w:val="20"/>
            <w:szCs w:val="20"/>
          </w:rPr>
          <w:t xml:space="preserve">Unearned premium for </w:t>
        </w:r>
        <w:r w:rsidR="00630AB4" w:rsidRPr="006874A6">
          <w:rPr>
            <w:rStyle w:val="Hyperlink"/>
            <w:rFonts w:cs="Times New Roman"/>
            <w:sz w:val="20"/>
            <w:szCs w:val="20"/>
          </w:rPr>
          <w:t>P&amp;C L</w:t>
        </w:r>
        <w:r w:rsidR="00E46E57" w:rsidRPr="006874A6">
          <w:rPr>
            <w:rStyle w:val="Hyperlink"/>
            <w:rFonts w:cs="Times New Roman"/>
            <w:sz w:val="20"/>
            <w:szCs w:val="20"/>
          </w:rPr>
          <w:t xml:space="preserve">ong </w:t>
        </w:r>
        <w:r w:rsidR="00630AB4" w:rsidRPr="006874A6">
          <w:rPr>
            <w:rStyle w:val="Hyperlink"/>
            <w:rFonts w:cs="Times New Roman"/>
            <w:sz w:val="20"/>
            <w:szCs w:val="20"/>
          </w:rPr>
          <w:t>D</w:t>
        </w:r>
        <w:r w:rsidR="00E46E57" w:rsidRPr="006874A6">
          <w:rPr>
            <w:rStyle w:val="Hyperlink"/>
            <w:rFonts w:cs="Times New Roman"/>
            <w:sz w:val="20"/>
            <w:szCs w:val="20"/>
          </w:rPr>
          <w:t xml:space="preserve">uration </w:t>
        </w:r>
        <w:r w:rsidR="00630AB4" w:rsidRPr="006874A6">
          <w:rPr>
            <w:rStyle w:val="Hyperlink"/>
            <w:rFonts w:cs="Times New Roman"/>
            <w:sz w:val="20"/>
            <w:szCs w:val="20"/>
          </w:rPr>
          <w:t>C</w:t>
        </w:r>
        <w:r w:rsidR="00E46E57" w:rsidRPr="006874A6">
          <w:rPr>
            <w:rStyle w:val="Hyperlink"/>
            <w:rFonts w:cs="Times New Roman"/>
            <w:sz w:val="20"/>
            <w:szCs w:val="20"/>
          </w:rPr>
          <w:t>ontracts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_Ref491681996 </w:instrText>
      </w:r>
      <w:r w:rsidR="00E46E57" w:rsidRPr="006874A6">
        <w:rPr>
          <w:rFonts w:cs="Times New Roman"/>
          <w:sz w:val="20"/>
          <w:szCs w:val="20"/>
        </w:rPr>
        <w:fldChar w:fldCharType="separate"/>
      </w:r>
      <w:r w:rsidR="00E41FF1" w:rsidRPr="006874A6">
        <w:rPr>
          <w:rFonts w:cs="Times New Roman"/>
          <w:noProof/>
          <w:sz w:val="20"/>
          <w:szCs w:val="20"/>
        </w:rPr>
        <w:t>6</w:t>
      </w:r>
      <w:r w:rsidR="00E46E57" w:rsidRPr="006874A6">
        <w:rPr>
          <w:rFonts w:cs="Times New Roman"/>
          <w:sz w:val="20"/>
          <w:szCs w:val="20"/>
        </w:rPr>
        <w:fldChar w:fldCharType="end"/>
      </w:r>
    </w:p>
    <w:p w14:paraId="2775A779" w14:textId="66FD30FF"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Otherpremiumreserves" w:history="1">
        <w:r w:rsidR="00E46E57" w:rsidRPr="006874A6">
          <w:rPr>
            <w:rStyle w:val="Hyperlink"/>
            <w:rFonts w:cs="Times New Roman"/>
            <w:sz w:val="20"/>
            <w:szCs w:val="20"/>
          </w:rPr>
          <w:t>Other premium reserve items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_Ref491682003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67A69C61" w14:textId="2E5FCACA"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RelComments" w:history="1">
        <w:r w:rsidR="00E46E57" w:rsidRPr="006874A6">
          <w:rPr>
            <w:rStyle w:val="Hyperlink"/>
            <w:rFonts w:cs="Times New Roman"/>
            <w:sz w:val="20"/>
            <w:szCs w:val="20"/>
          </w:rPr>
          <w:t>The importance of Relevant Comments paragraphs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_Ref491682012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7DCA23C1" w14:textId="366C67FE"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RMAD" w:history="1">
        <w:r w:rsidR="00E46E57" w:rsidRPr="006874A6">
          <w:rPr>
            <w:rStyle w:val="Hyperlink"/>
            <w:rFonts w:cs="Times New Roman"/>
            <w:sz w:val="20"/>
            <w:szCs w:val="20"/>
          </w:rPr>
          <w:t>Risk of Material Adverse Deviation</w:t>
        </w:r>
      </w:hyperlink>
      <w:r w:rsidR="00E46E57" w:rsidRPr="006874A6">
        <w:rPr>
          <w:rFonts w:cs="Times New Roman"/>
          <w:sz w:val="20"/>
          <w:szCs w:val="20"/>
        </w:rPr>
        <w:t xml:space="preserve"> </w:t>
      </w:r>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_Ref491682017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4ECAA03E" w14:textId="282EE2CD"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Norisks" w:history="1">
        <w:r w:rsidR="00E46E57" w:rsidRPr="006874A6">
          <w:rPr>
            <w:rStyle w:val="Hyperlink"/>
            <w:rFonts w:cs="Times New Roman"/>
            <w:sz w:val="20"/>
            <w:szCs w:val="20"/>
          </w:rPr>
          <w:t>No company-specific risk factors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_Ref491682023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4E72518D" w14:textId="394DCA38"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Mitigating" w:history="1">
        <w:r w:rsidR="00E46E57" w:rsidRPr="006874A6">
          <w:rPr>
            <w:rStyle w:val="Hyperlink"/>
            <w:rFonts w:cs="Times New Roman"/>
            <w:sz w:val="20"/>
            <w:szCs w:val="20"/>
          </w:rPr>
          <w:t>Mitigating factors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_Ref491682032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12AF5EB3" w14:textId="38AB59F9"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RMADconclusions" w:history="1">
        <w:r w:rsidR="00E46E57" w:rsidRPr="006874A6">
          <w:rPr>
            <w:rStyle w:val="Hyperlink"/>
            <w:rFonts w:cs="Times New Roman"/>
            <w:sz w:val="20"/>
            <w:szCs w:val="20"/>
          </w:rPr>
          <w:t>Consideration of carried reserves, materiality standard, and reserve range when making RMAD conclusion</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_Ref491682038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6CD0AFA6" w14:textId="565246B1"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MatStdforpool" w:history="1">
        <w:r w:rsidR="00E46E57" w:rsidRPr="006874A6">
          <w:rPr>
            <w:rStyle w:val="Hyperlink"/>
            <w:rFonts w:cs="Times New Roman"/>
            <w:sz w:val="20"/>
            <w:szCs w:val="20"/>
          </w:rPr>
          <w:t>Materiality standards for intercompany pool members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_Ref491682044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1CEF5D1B" w14:textId="1114B3AA"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UseofReport" w:history="1">
        <w:r w:rsidR="00E46E57" w:rsidRPr="006874A6">
          <w:rPr>
            <w:rStyle w:val="Hyperlink"/>
            <w:rFonts w:cs="Times New Roman"/>
            <w:sz w:val="20"/>
            <w:szCs w:val="20"/>
          </w:rPr>
          <w:t>Regulators’ use of the Actuarial Report</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_Ref491682049 </w:instrText>
      </w:r>
      <w:r w:rsidR="00E46E57" w:rsidRPr="006874A6">
        <w:rPr>
          <w:rFonts w:cs="Times New Roman"/>
          <w:sz w:val="20"/>
          <w:szCs w:val="20"/>
        </w:rPr>
        <w:fldChar w:fldCharType="separate"/>
      </w:r>
      <w:r w:rsidR="00E41FF1" w:rsidRPr="006874A6">
        <w:rPr>
          <w:rFonts w:cs="Times New Roman"/>
          <w:noProof/>
          <w:sz w:val="20"/>
          <w:szCs w:val="20"/>
        </w:rPr>
        <w:t>7</w:t>
      </w:r>
      <w:r w:rsidR="00E46E57" w:rsidRPr="006874A6">
        <w:rPr>
          <w:rFonts w:cs="Times New Roman"/>
          <w:sz w:val="20"/>
          <w:szCs w:val="20"/>
        </w:rPr>
        <w:fldChar w:fldCharType="end"/>
      </w:r>
    </w:p>
    <w:p w14:paraId="25D39A92" w14:textId="61E429A3"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SchP" w:history="1">
        <w:r w:rsidR="00E46E57" w:rsidRPr="006874A6">
          <w:rPr>
            <w:rStyle w:val="Hyperlink"/>
            <w:rFonts w:cs="Times New Roman"/>
            <w:sz w:val="20"/>
            <w:szCs w:val="20"/>
          </w:rPr>
          <w:t>Schedule P reconciliation</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_Ref491682057 </w:instrText>
      </w:r>
      <w:r w:rsidR="00E46E57" w:rsidRPr="006874A6">
        <w:rPr>
          <w:rFonts w:cs="Times New Roman"/>
          <w:sz w:val="20"/>
          <w:szCs w:val="20"/>
        </w:rPr>
        <w:fldChar w:fldCharType="separate"/>
      </w:r>
      <w:r w:rsidR="00E41FF1" w:rsidRPr="006874A6">
        <w:rPr>
          <w:rFonts w:cs="Times New Roman"/>
          <w:noProof/>
          <w:sz w:val="20"/>
          <w:szCs w:val="20"/>
        </w:rPr>
        <w:t>8</w:t>
      </w:r>
      <w:r w:rsidR="00E46E57" w:rsidRPr="006874A6">
        <w:rPr>
          <w:rFonts w:cs="Times New Roman"/>
          <w:sz w:val="20"/>
          <w:szCs w:val="20"/>
        </w:rPr>
        <w:fldChar w:fldCharType="end"/>
      </w:r>
    </w:p>
    <w:p w14:paraId="41DD8AA3" w14:textId="6A49F02E"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ChangeEstimates" w:history="1">
        <w:r w:rsidR="00E46E57" w:rsidRPr="006874A6">
          <w:rPr>
            <w:rStyle w:val="Hyperlink"/>
            <w:rFonts w:cs="Times New Roman"/>
            <w:sz w:val="20"/>
            <w:szCs w:val="20"/>
          </w:rPr>
          <w:t>Change in estimates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_Ref491682062 </w:instrText>
      </w:r>
      <w:r w:rsidR="00E46E57" w:rsidRPr="006874A6">
        <w:rPr>
          <w:rFonts w:cs="Times New Roman"/>
          <w:sz w:val="20"/>
          <w:szCs w:val="20"/>
        </w:rPr>
        <w:fldChar w:fldCharType="separate"/>
      </w:r>
      <w:r w:rsidR="00E41FF1" w:rsidRPr="006874A6">
        <w:rPr>
          <w:rFonts w:cs="Times New Roman"/>
          <w:noProof/>
          <w:sz w:val="20"/>
          <w:szCs w:val="20"/>
        </w:rPr>
        <w:t>8</w:t>
      </w:r>
      <w:r w:rsidR="00E46E57" w:rsidRPr="006874A6">
        <w:rPr>
          <w:rFonts w:cs="Times New Roman"/>
          <w:sz w:val="20"/>
          <w:szCs w:val="20"/>
        </w:rPr>
        <w:fldChar w:fldCharType="end"/>
      </w:r>
    </w:p>
    <w:p w14:paraId="6B1C6082" w14:textId="7D853D70"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Narrative" w:history="1">
        <w:r w:rsidR="00E46E57" w:rsidRPr="006874A6">
          <w:rPr>
            <w:rStyle w:val="Hyperlink"/>
            <w:rFonts w:cs="Times New Roman"/>
            <w:sz w:val="20"/>
            <w:szCs w:val="20"/>
          </w:rPr>
          <w:t>Narrative</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_Ref491682066 </w:instrText>
      </w:r>
      <w:r w:rsidR="00E46E57" w:rsidRPr="006874A6">
        <w:rPr>
          <w:rFonts w:cs="Times New Roman"/>
          <w:sz w:val="20"/>
          <w:szCs w:val="20"/>
        </w:rPr>
        <w:fldChar w:fldCharType="separate"/>
      </w:r>
      <w:r w:rsidR="00E41FF1" w:rsidRPr="006874A6">
        <w:rPr>
          <w:rFonts w:cs="Times New Roman"/>
          <w:noProof/>
          <w:sz w:val="20"/>
          <w:szCs w:val="20"/>
        </w:rPr>
        <w:t>8</w:t>
      </w:r>
      <w:r w:rsidR="00E46E57" w:rsidRPr="006874A6">
        <w:rPr>
          <w:rFonts w:cs="Times New Roman"/>
          <w:sz w:val="20"/>
          <w:szCs w:val="20"/>
        </w:rPr>
        <w:fldChar w:fldCharType="end"/>
      </w:r>
    </w:p>
    <w:p w14:paraId="3AAF5E80" w14:textId="4EBB508F"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Assumptions" w:history="1">
        <w:r w:rsidR="00E46E57" w:rsidRPr="006874A6">
          <w:rPr>
            <w:rStyle w:val="Hyperlink"/>
            <w:rFonts w:cs="Times New Roman"/>
            <w:sz w:val="20"/>
            <w:szCs w:val="20"/>
          </w:rPr>
          <w:t>Support for assumptions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_Ref491682071 </w:instrText>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74C93754" w14:textId="582273DD" w:rsidR="00E46E57" w:rsidRPr="006874A6" w:rsidRDefault="006B3018" w:rsidP="000C44F6">
      <w:pPr>
        <w:pStyle w:val="ListParagraph"/>
        <w:numPr>
          <w:ilvl w:val="1"/>
          <w:numId w:val="18"/>
        </w:numPr>
        <w:tabs>
          <w:tab w:val="right" w:pos="9000"/>
        </w:tabs>
        <w:spacing w:line="240" w:lineRule="auto"/>
        <w:ind w:left="1080" w:right="720"/>
        <w:rPr>
          <w:rFonts w:cs="Times New Roman"/>
          <w:sz w:val="20"/>
          <w:szCs w:val="20"/>
        </w:rPr>
      </w:pPr>
      <w:hyperlink w:anchor="RollForward" w:history="1">
        <w:r w:rsidR="00E46E57" w:rsidRPr="006874A6">
          <w:rPr>
            <w:rStyle w:val="Hyperlink"/>
            <w:rFonts w:cs="Times New Roman"/>
            <w:sz w:val="20"/>
            <w:szCs w:val="20"/>
          </w:rPr>
          <w:t>Support for roll forward analyses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_Ref491682076 </w:instrText>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665C81C2" w14:textId="3F5C76B6" w:rsidR="00E46E57" w:rsidRPr="006874A6" w:rsidRDefault="006B3018" w:rsidP="000C44F6">
      <w:pPr>
        <w:pStyle w:val="ListParagraph"/>
        <w:numPr>
          <w:ilvl w:val="0"/>
          <w:numId w:val="18"/>
        </w:numPr>
        <w:tabs>
          <w:tab w:val="right" w:pos="9000"/>
        </w:tabs>
        <w:spacing w:line="240" w:lineRule="auto"/>
        <w:ind w:right="720"/>
        <w:rPr>
          <w:rFonts w:cs="Times New Roman"/>
          <w:sz w:val="20"/>
          <w:szCs w:val="20"/>
        </w:rPr>
      </w:pPr>
      <w:hyperlink w:anchor="AandB" w:history="1">
        <w:r w:rsidR="00E46E57" w:rsidRPr="006874A6">
          <w:rPr>
            <w:rStyle w:val="Hyperlink"/>
            <w:rFonts w:cs="Times New Roman"/>
            <w:sz w:val="20"/>
            <w:szCs w:val="20"/>
          </w:rPr>
          <w:t>Exhibits A and B</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_Ref491682081 </w:instrText>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05EACD37" w14:textId="7840E6C1" w:rsidR="00E46E57" w:rsidRPr="006874A6" w:rsidRDefault="006B3018" w:rsidP="000C44F6">
      <w:pPr>
        <w:pStyle w:val="ListParagraph"/>
        <w:numPr>
          <w:ilvl w:val="1"/>
          <w:numId w:val="18"/>
        </w:numPr>
        <w:tabs>
          <w:tab w:val="right" w:pos="9000"/>
        </w:tabs>
        <w:spacing w:line="240" w:lineRule="auto"/>
        <w:ind w:right="720"/>
        <w:rPr>
          <w:rFonts w:cs="Times New Roman"/>
          <w:sz w:val="20"/>
          <w:szCs w:val="20"/>
        </w:rPr>
      </w:pPr>
      <w:hyperlink w:anchor="DataCapture" w:history="1">
        <w:r w:rsidR="00E46E57" w:rsidRPr="006874A6">
          <w:rPr>
            <w:rStyle w:val="Hyperlink"/>
            <w:rFonts w:cs="Times New Roman"/>
            <w:sz w:val="20"/>
            <w:szCs w:val="20"/>
          </w:rPr>
          <w:t>“Data capture format”</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_Ref491682086 </w:instrText>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1BCF7360" w14:textId="1E3B887D" w:rsidR="00E46E57" w:rsidRPr="006874A6" w:rsidRDefault="006B3018" w:rsidP="000C44F6">
      <w:pPr>
        <w:pStyle w:val="ListParagraph"/>
        <w:numPr>
          <w:ilvl w:val="1"/>
          <w:numId w:val="18"/>
        </w:numPr>
        <w:tabs>
          <w:tab w:val="right" w:pos="9000"/>
        </w:tabs>
        <w:spacing w:line="240" w:lineRule="auto"/>
        <w:ind w:right="720"/>
        <w:rPr>
          <w:rFonts w:cs="Times New Roman"/>
          <w:sz w:val="20"/>
          <w:szCs w:val="20"/>
        </w:rPr>
      </w:pPr>
      <w:hyperlink w:anchor="ScopeExhB12" w:history="1">
        <w:r w:rsidR="00E46E57" w:rsidRPr="006874A6">
          <w:rPr>
            <w:rStyle w:val="Hyperlink"/>
            <w:rFonts w:cs="Times New Roman"/>
            <w:sz w:val="20"/>
            <w:szCs w:val="20"/>
          </w:rPr>
          <w:t>Scope of Exhibit B, Item 12</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_Ref491682097 </w:instrText>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0089ECCA" w14:textId="47DA16B9" w:rsidR="00E46E57" w:rsidRPr="006874A6" w:rsidRDefault="006B3018" w:rsidP="000C44F6">
      <w:pPr>
        <w:pStyle w:val="ListParagraph"/>
        <w:numPr>
          <w:ilvl w:val="1"/>
          <w:numId w:val="18"/>
        </w:numPr>
        <w:tabs>
          <w:tab w:val="right" w:pos="9000"/>
        </w:tabs>
        <w:spacing w:line="240" w:lineRule="auto"/>
        <w:ind w:right="720"/>
        <w:rPr>
          <w:rFonts w:cs="Times New Roman"/>
          <w:sz w:val="20"/>
          <w:szCs w:val="20"/>
        </w:rPr>
      </w:pPr>
      <w:hyperlink w:anchor="ScopeExhB13" w:history="1">
        <w:r w:rsidR="00E46E57" w:rsidRPr="006874A6">
          <w:rPr>
            <w:rStyle w:val="Hyperlink"/>
            <w:rFonts w:cs="Times New Roman"/>
            <w:sz w:val="20"/>
            <w:szCs w:val="20"/>
          </w:rPr>
          <w:t>Exhibit B, Item 13</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_Ref492387985 \h </w:instrText>
      </w:r>
      <w:r w:rsidR="00E46E57" w:rsidRPr="006874A6">
        <w:rPr>
          <w:rFonts w:cs="Times New Roman"/>
          <w:sz w:val="20"/>
          <w:szCs w:val="20"/>
        </w:rPr>
      </w:r>
      <w:r w:rsidR="00E46E57" w:rsidRPr="006874A6">
        <w:rPr>
          <w:rFonts w:cs="Times New Roman"/>
          <w:sz w:val="20"/>
          <w:szCs w:val="20"/>
        </w:rPr>
        <w:fldChar w:fldCharType="separate"/>
      </w:r>
      <w:r w:rsidR="00E41FF1" w:rsidRPr="006874A6">
        <w:rPr>
          <w:rFonts w:cs="Times New Roman"/>
          <w:noProof/>
          <w:sz w:val="20"/>
          <w:szCs w:val="20"/>
        </w:rPr>
        <w:t>9</w:t>
      </w:r>
      <w:r w:rsidR="00E46E57" w:rsidRPr="006874A6">
        <w:rPr>
          <w:rFonts w:cs="Times New Roman"/>
          <w:sz w:val="20"/>
          <w:szCs w:val="20"/>
        </w:rPr>
        <w:fldChar w:fldCharType="end"/>
      </w:r>
    </w:p>
    <w:p w14:paraId="2F4E0004" w14:textId="55E641B8" w:rsidR="00E46E57" w:rsidRPr="006874A6" w:rsidRDefault="006B3018" w:rsidP="000C44F6">
      <w:pPr>
        <w:pStyle w:val="ListParagraph"/>
        <w:numPr>
          <w:ilvl w:val="0"/>
          <w:numId w:val="17"/>
        </w:numPr>
        <w:tabs>
          <w:tab w:val="right" w:pos="9000"/>
        </w:tabs>
        <w:spacing w:line="240" w:lineRule="auto"/>
        <w:ind w:right="360"/>
        <w:rPr>
          <w:rFonts w:cs="Times New Roman"/>
          <w:sz w:val="20"/>
          <w:szCs w:val="20"/>
        </w:rPr>
      </w:pPr>
      <w:hyperlink w:anchor="CommentsAOS" w:history="1">
        <w:r w:rsidR="00E46E57" w:rsidRPr="006874A6">
          <w:rPr>
            <w:rStyle w:val="Hyperlink"/>
            <w:rFonts w:cs="Times New Roman"/>
            <w:sz w:val="20"/>
            <w:szCs w:val="20"/>
          </w:rPr>
          <w:t>Comments on AOS</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_Ref491682105 </w:instrText>
      </w:r>
      <w:r w:rsidR="00E46E57" w:rsidRPr="006874A6">
        <w:rPr>
          <w:rFonts w:cs="Times New Roman"/>
          <w:sz w:val="20"/>
          <w:szCs w:val="20"/>
        </w:rPr>
        <w:fldChar w:fldCharType="separate"/>
      </w:r>
      <w:r w:rsidR="00E41FF1" w:rsidRPr="006874A6">
        <w:rPr>
          <w:rFonts w:cs="Times New Roman"/>
          <w:noProof/>
          <w:sz w:val="20"/>
          <w:szCs w:val="20"/>
        </w:rPr>
        <w:t>10</w:t>
      </w:r>
      <w:r w:rsidR="00E46E57" w:rsidRPr="006874A6">
        <w:rPr>
          <w:rFonts w:cs="Times New Roman"/>
          <w:sz w:val="20"/>
          <w:szCs w:val="20"/>
        </w:rPr>
        <w:fldChar w:fldCharType="end"/>
      </w:r>
    </w:p>
    <w:p w14:paraId="5E637397" w14:textId="6919FF6E" w:rsidR="00E46E57" w:rsidRPr="006874A6" w:rsidRDefault="006B3018" w:rsidP="00E3427E">
      <w:pPr>
        <w:pStyle w:val="ListParagraph"/>
        <w:numPr>
          <w:ilvl w:val="1"/>
          <w:numId w:val="17"/>
        </w:numPr>
        <w:tabs>
          <w:tab w:val="right" w:pos="9000"/>
        </w:tabs>
        <w:spacing w:line="240" w:lineRule="auto"/>
        <w:ind w:left="720" w:right="360"/>
        <w:rPr>
          <w:rFonts w:cs="Times New Roman"/>
          <w:sz w:val="20"/>
          <w:szCs w:val="20"/>
        </w:rPr>
      </w:pPr>
      <w:hyperlink w:anchor="Confidentiality" w:history="1">
        <w:r w:rsidR="00E46E57" w:rsidRPr="006874A6">
          <w:rPr>
            <w:rStyle w:val="Hyperlink"/>
            <w:rFonts w:cs="Times New Roman"/>
            <w:sz w:val="20"/>
            <w:szCs w:val="20"/>
          </w:rPr>
          <w:t>Confidentiality</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Confidentiality </w:instrText>
      </w:r>
      <w:r w:rsidR="00E46E57" w:rsidRPr="006874A6">
        <w:rPr>
          <w:rFonts w:cs="Times New Roman"/>
          <w:sz w:val="20"/>
          <w:szCs w:val="20"/>
        </w:rPr>
        <w:fldChar w:fldCharType="separate"/>
      </w:r>
      <w:r w:rsidR="00E41FF1" w:rsidRPr="006874A6">
        <w:rPr>
          <w:rFonts w:cs="Times New Roman"/>
          <w:noProof/>
          <w:sz w:val="20"/>
          <w:szCs w:val="20"/>
        </w:rPr>
        <w:t>10</w:t>
      </w:r>
      <w:r w:rsidR="00E46E57" w:rsidRPr="006874A6">
        <w:rPr>
          <w:rFonts w:cs="Times New Roman"/>
          <w:sz w:val="20"/>
          <w:szCs w:val="20"/>
        </w:rPr>
        <w:fldChar w:fldCharType="end"/>
      </w:r>
    </w:p>
    <w:p w14:paraId="28565567" w14:textId="4CFFDE61" w:rsidR="00E46E57" w:rsidRPr="006874A6" w:rsidRDefault="006B3018" w:rsidP="00E3427E">
      <w:pPr>
        <w:pStyle w:val="ListParagraph"/>
        <w:numPr>
          <w:ilvl w:val="1"/>
          <w:numId w:val="17"/>
        </w:numPr>
        <w:tabs>
          <w:tab w:val="right" w:pos="9000"/>
        </w:tabs>
        <w:spacing w:line="240" w:lineRule="auto"/>
        <w:ind w:left="720" w:right="360"/>
        <w:rPr>
          <w:rFonts w:cs="Times New Roman"/>
          <w:sz w:val="20"/>
          <w:szCs w:val="20"/>
        </w:rPr>
      </w:pPr>
      <w:hyperlink w:anchor="StateDiffs" w:history="1">
        <w:r w:rsidR="00E46E57" w:rsidRPr="006874A6">
          <w:rPr>
            <w:rStyle w:val="Hyperlink"/>
            <w:rFonts w:cs="Times New Roman"/>
            <w:sz w:val="20"/>
            <w:szCs w:val="20"/>
          </w:rPr>
          <w:t>Different requirements by state</w:t>
        </w:r>
      </w:hyperlink>
      <w:r w:rsidR="00E46E57" w:rsidRPr="006874A6">
        <w:rPr>
          <w:rFonts w:cs="Times New Roman"/>
          <w:sz w:val="20"/>
          <w:szCs w:val="20"/>
        </w:rPr>
        <w:tab/>
      </w:r>
      <w:r w:rsidR="00E46E57" w:rsidRPr="006874A6">
        <w:rPr>
          <w:rFonts w:cs="Times New Roman"/>
          <w:sz w:val="20"/>
          <w:szCs w:val="20"/>
        </w:rPr>
        <w:fldChar w:fldCharType="begin"/>
      </w:r>
      <w:r w:rsidR="00E46E57" w:rsidRPr="006874A6">
        <w:rPr>
          <w:rFonts w:cs="Times New Roman"/>
          <w:sz w:val="20"/>
          <w:szCs w:val="20"/>
        </w:rPr>
        <w:instrText xml:space="preserve"> PAGEREF  StateDiffs </w:instrText>
      </w:r>
      <w:r w:rsidR="00E46E57" w:rsidRPr="006874A6">
        <w:rPr>
          <w:rFonts w:cs="Times New Roman"/>
          <w:sz w:val="20"/>
          <w:szCs w:val="20"/>
        </w:rPr>
        <w:fldChar w:fldCharType="separate"/>
      </w:r>
      <w:r w:rsidR="00E41FF1" w:rsidRPr="006874A6">
        <w:rPr>
          <w:rFonts w:cs="Times New Roman"/>
          <w:noProof/>
          <w:sz w:val="20"/>
          <w:szCs w:val="20"/>
        </w:rPr>
        <w:t>10</w:t>
      </w:r>
      <w:r w:rsidR="00E46E57" w:rsidRPr="006874A6">
        <w:rPr>
          <w:rFonts w:cs="Times New Roman"/>
          <w:sz w:val="20"/>
          <w:szCs w:val="20"/>
        </w:rPr>
        <w:fldChar w:fldCharType="end"/>
      </w:r>
    </w:p>
    <w:p w14:paraId="783354DF" w14:textId="00C569DC" w:rsidR="00E46E57" w:rsidRPr="006874A6" w:rsidRDefault="006B3018" w:rsidP="00E3427E">
      <w:pPr>
        <w:pStyle w:val="ListParagraph"/>
        <w:numPr>
          <w:ilvl w:val="1"/>
          <w:numId w:val="17"/>
        </w:numPr>
        <w:tabs>
          <w:tab w:val="right" w:pos="9000"/>
        </w:tabs>
        <w:spacing w:line="240" w:lineRule="auto"/>
        <w:ind w:left="720" w:right="360"/>
        <w:rPr>
          <w:rStyle w:val="Hyperlink"/>
          <w:rFonts w:cs="Times New Roman"/>
          <w:color w:val="auto"/>
          <w:sz w:val="20"/>
          <w:szCs w:val="20"/>
          <w:u w:val="none"/>
        </w:rPr>
      </w:pPr>
      <w:hyperlink w:anchor="Format" w:history="1">
        <w:r w:rsidR="00E46E57" w:rsidRPr="006874A6">
          <w:rPr>
            <w:rStyle w:val="Hyperlink"/>
            <w:rFonts w:cs="Times New Roman"/>
            <w:sz w:val="20"/>
            <w:szCs w:val="20"/>
          </w:rPr>
          <w:t>Format</w:t>
        </w:r>
      </w:hyperlink>
      <w:r w:rsidR="00E46E57" w:rsidRPr="006874A6">
        <w:rPr>
          <w:rStyle w:val="Hyperlink"/>
          <w:rFonts w:cs="Times New Roman"/>
          <w:sz w:val="20"/>
          <w:szCs w:val="20"/>
          <w:u w:val="none"/>
        </w:rPr>
        <w:tab/>
      </w:r>
      <w:r w:rsidR="00AD4A03" w:rsidRPr="006874A6">
        <w:rPr>
          <w:rStyle w:val="Hyperlink"/>
          <w:rFonts w:cs="Times New Roman"/>
          <w:sz w:val="20"/>
          <w:szCs w:val="20"/>
          <w:u w:val="none"/>
        </w:rPr>
        <w:fldChar w:fldCharType="begin"/>
      </w:r>
      <w:r w:rsidR="00AD4A03" w:rsidRPr="006874A6">
        <w:rPr>
          <w:rStyle w:val="Hyperlink"/>
          <w:rFonts w:cs="Times New Roman"/>
          <w:sz w:val="20"/>
          <w:szCs w:val="20"/>
          <w:u w:val="none"/>
        </w:rPr>
        <w:instrText xml:space="preserve"> PAGEREF _Ref491682121 \h </w:instrText>
      </w:r>
      <w:r w:rsidR="00AD4A03" w:rsidRPr="006874A6">
        <w:rPr>
          <w:rStyle w:val="Hyperlink"/>
          <w:rFonts w:cs="Times New Roman"/>
          <w:sz w:val="20"/>
          <w:szCs w:val="20"/>
          <w:u w:val="none"/>
        </w:rPr>
      </w:r>
      <w:r w:rsidR="00AD4A03" w:rsidRPr="006874A6">
        <w:rPr>
          <w:rStyle w:val="Hyperlink"/>
          <w:rFonts w:cs="Times New Roman"/>
          <w:sz w:val="20"/>
          <w:szCs w:val="20"/>
          <w:u w:val="none"/>
        </w:rPr>
        <w:fldChar w:fldCharType="separate"/>
      </w:r>
      <w:r w:rsidR="00E41FF1" w:rsidRPr="006874A6">
        <w:rPr>
          <w:rStyle w:val="Hyperlink"/>
          <w:rFonts w:cs="Times New Roman"/>
          <w:noProof/>
          <w:sz w:val="20"/>
          <w:szCs w:val="20"/>
          <w:u w:val="none"/>
        </w:rPr>
        <w:t>11</w:t>
      </w:r>
      <w:r w:rsidR="00AD4A03" w:rsidRPr="006874A6">
        <w:rPr>
          <w:rStyle w:val="Hyperlink"/>
          <w:rFonts w:cs="Times New Roman"/>
          <w:sz w:val="20"/>
          <w:szCs w:val="20"/>
          <w:u w:val="none"/>
        </w:rPr>
        <w:fldChar w:fldCharType="end"/>
      </w:r>
    </w:p>
    <w:p w14:paraId="2A7C24CF" w14:textId="6FE7C9C3" w:rsidR="000E5F16" w:rsidRPr="006874A6" w:rsidRDefault="006B3018" w:rsidP="000E5F16">
      <w:pPr>
        <w:pStyle w:val="ListParagraph"/>
        <w:numPr>
          <w:ilvl w:val="0"/>
          <w:numId w:val="17"/>
        </w:numPr>
        <w:tabs>
          <w:tab w:val="right" w:pos="9000"/>
        </w:tabs>
        <w:spacing w:line="240" w:lineRule="auto"/>
        <w:ind w:right="360"/>
        <w:rPr>
          <w:rFonts w:cs="Times New Roman"/>
          <w:sz w:val="20"/>
          <w:szCs w:val="20"/>
        </w:rPr>
      </w:pPr>
      <w:hyperlink w:anchor="AG51" w:history="1">
        <w:r w:rsidR="000E5F16" w:rsidRPr="006874A6">
          <w:rPr>
            <w:rStyle w:val="Hyperlink"/>
            <w:rFonts w:cs="Times New Roman"/>
            <w:sz w:val="20"/>
            <w:szCs w:val="20"/>
          </w:rPr>
          <w:t>AG 51</w:t>
        </w:r>
      </w:hyperlink>
      <w:r w:rsidR="00AD4A03" w:rsidRPr="006874A6">
        <w:rPr>
          <w:rStyle w:val="Hyperlink"/>
          <w:rFonts w:cs="Times New Roman"/>
          <w:sz w:val="20"/>
          <w:szCs w:val="20"/>
          <w:u w:val="none"/>
        </w:rPr>
        <w:tab/>
      </w:r>
      <w:r w:rsidR="00AD4A03" w:rsidRPr="006874A6">
        <w:rPr>
          <w:rStyle w:val="Hyperlink"/>
          <w:rFonts w:cs="Times New Roman"/>
          <w:sz w:val="20"/>
          <w:szCs w:val="20"/>
        </w:rPr>
        <w:fldChar w:fldCharType="begin"/>
      </w:r>
      <w:r w:rsidR="00AD4A03" w:rsidRPr="006874A6">
        <w:rPr>
          <w:rStyle w:val="Hyperlink"/>
          <w:rFonts w:cs="Times New Roman"/>
          <w:sz w:val="20"/>
          <w:szCs w:val="20"/>
        </w:rPr>
        <w:instrText xml:space="preserve"> PAGEREF AG51 \h </w:instrText>
      </w:r>
      <w:r w:rsidR="00AD4A03" w:rsidRPr="006874A6">
        <w:rPr>
          <w:rStyle w:val="Hyperlink"/>
          <w:rFonts w:cs="Times New Roman"/>
          <w:sz w:val="20"/>
          <w:szCs w:val="20"/>
        </w:rPr>
      </w:r>
      <w:r w:rsidR="00AD4A03" w:rsidRPr="006874A6">
        <w:rPr>
          <w:rStyle w:val="Hyperlink"/>
          <w:rFonts w:cs="Times New Roman"/>
          <w:sz w:val="20"/>
          <w:szCs w:val="20"/>
        </w:rPr>
        <w:fldChar w:fldCharType="separate"/>
      </w:r>
      <w:r w:rsidR="00E41FF1" w:rsidRPr="006874A6">
        <w:rPr>
          <w:rStyle w:val="Hyperlink"/>
          <w:rFonts w:cs="Times New Roman"/>
          <w:noProof/>
          <w:sz w:val="20"/>
          <w:szCs w:val="20"/>
        </w:rPr>
        <w:t>11</w:t>
      </w:r>
      <w:r w:rsidR="00AD4A03" w:rsidRPr="006874A6">
        <w:rPr>
          <w:rStyle w:val="Hyperlink"/>
          <w:rFonts w:cs="Times New Roman"/>
          <w:sz w:val="20"/>
          <w:szCs w:val="20"/>
        </w:rPr>
        <w:fldChar w:fldCharType="end"/>
      </w:r>
    </w:p>
    <w:p w14:paraId="644BF967" w14:textId="77777777" w:rsidR="00E46E57" w:rsidRPr="006874A6" w:rsidRDefault="00E46E57" w:rsidP="00E3427E">
      <w:pPr>
        <w:pStyle w:val="NoSpacing"/>
        <w:ind w:left="360"/>
        <w:rPr>
          <w:rFonts w:cs="Times New Roman"/>
          <w:sz w:val="20"/>
          <w:szCs w:val="20"/>
        </w:rPr>
      </w:pPr>
    </w:p>
    <w:p w14:paraId="51ABD123" w14:textId="77777777" w:rsidR="00E46E57" w:rsidRPr="006874A6" w:rsidRDefault="00E46E57" w:rsidP="00E3427E">
      <w:pPr>
        <w:pStyle w:val="NoSpacing"/>
        <w:ind w:left="360"/>
        <w:rPr>
          <w:rFonts w:cs="Times New Roman"/>
          <w:sz w:val="20"/>
          <w:szCs w:val="20"/>
        </w:rPr>
      </w:pPr>
    </w:p>
    <w:p w14:paraId="47831B0F"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3" w:name="GenCom"/>
    <w:p w14:paraId="0BB1E525" w14:textId="77777777" w:rsidR="00E46E57" w:rsidRPr="006874A6" w:rsidRDefault="00E46E57" w:rsidP="00E3427E">
      <w:pPr>
        <w:pStyle w:val="NoSpacing"/>
        <w:numPr>
          <w:ilvl w:val="0"/>
          <w:numId w:val="1"/>
        </w:numPr>
        <w:rPr>
          <w:rFonts w:cs="Times New Roman"/>
          <w:sz w:val="20"/>
          <w:szCs w:val="20"/>
        </w:rPr>
      </w:pPr>
      <w:r w:rsidRPr="006874A6">
        <w:lastRenderedPageBreak/>
        <w:fldChar w:fldCharType="begin"/>
      </w:r>
      <w:r w:rsidRPr="006874A6">
        <w:rPr>
          <w:sz w:val="20"/>
          <w:szCs w:val="20"/>
        </w:rPr>
        <w:instrText xml:space="preserve"> HYPERLINK \l "aaaref_TOC" </w:instrText>
      </w:r>
      <w:r w:rsidRPr="006874A6">
        <w:fldChar w:fldCharType="separate"/>
      </w:r>
      <w:bookmarkStart w:id="4" w:name="_Ref491681721"/>
      <w:r w:rsidRPr="006874A6">
        <w:rPr>
          <w:rStyle w:val="Hyperlink"/>
          <w:rFonts w:cs="Times New Roman"/>
          <w:sz w:val="20"/>
          <w:szCs w:val="20"/>
        </w:rPr>
        <w:t>General comments</w:t>
      </w:r>
      <w:bookmarkEnd w:id="4"/>
      <w:r w:rsidRPr="006874A6">
        <w:rPr>
          <w:rStyle w:val="Hyperlink"/>
          <w:rFonts w:cs="Times New Roman"/>
          <w:sz w:val="20"/>
          <w:szCs w:val="20"/>
        </w:rPr>
        <w:fldChar w:fldCharType="end"/>
      </w:r>
    </w:p>
    <w:bookmarkEnd w:id="3"/>
    <w:p w14:paraId="42B075FD" w14:textId="77777777" w:rsidR="00E46E57" w:rsidRPr="006874A6" w:rsidRDefault="00E46E57" w:rsidP="00E3427E">
      <w:pPr>
        <w:pStyle w:val="NoSpacing"/>
        <w:rPr>
          <w:rFonts w:cs="Times New Roman"/>
          <w:sz w:val="20"/>
          <w:szCs w:val="20"/>
        </w:rPr>
      </w:pPr>
    </w:p>
    <w:bookmarkStart w:id="5" w:name="Reconc"/>
    <w:p w14:paraId="06AB3192" w14:textId="77777777" w:rsidR="00E46E57" w:rsidRPr="006874A6" w:rsidRDefault="00E46E57" w:rsidP="00E3427E">
      <w:pPr>
        <w:pStyle w:val="NoSpacing"/>
        <w:numPr>
          <w:ilvl w:val="0"/>
          <w:numId w:val="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6" w:name="_Ref491681782"/>
      <w:r w:rsidRPr="006874A6">
        <w:rPr>
          <w:rStyle w:val="Hyperlink"/>
          <w:rFonts w:cs="Times New Roman"/>
          <w:sz w:val="20"/>
          <w:szCs w:val="20"/>
        </w:rPr>
        <w:t>Reconciliation between documents</w:t>
      </w:r>
      <w:bookmarkEnd w:id="6"/>
      <w:r w:rsidRPr="006874A6">
        <w:rPr>
          <w:rFonts w:cs="Times New Roman"/>
          <w:sz w:val="20"/>
          <w:szCs w:val="20"/>
        </w:rPr>
        <w:fldChar w:fldCharType="end"/>
      </w:r>
    </w:p>
    <w:bookmarkEnd w:id="5"/>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bookmarkStart w:id="7" w:name="RoleofIllus"/>
    <w:p w14:paraId="20B4E7A9" w14:textId="77777777" w:rsidR="00E46E57" w:rsidRPr="006874A6" w:rsidRDefault="00E46E57" w:rsidP="00E3427E">
      <w:pPr>
        <w:pStyle w:val="NoSpacing"/>
        <w:numPr>
          <w:ilvl w:val="0"/>
          <w:numId w:val="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8" w:name="_Ref491681899"/>
      <w:r w:rsidRPr="006874A6">
        <w:rPr>
          <w:rStyle w:val="Hyperlink"/>
          <w:rFonts w:cs="Times New Roman"/>
          <w:sz w:val="20"/>
          <w:szCs w:val="20"/>
        </w:rPr>
        <w:t xml:space="preserve">Role of illustrative language in the </w:t>
      </w:r>
      <w:r w:rsidRPr="006874A6">
        <w:rPr>
          <w:rStyle w:val="Hyperlink"/>
          <w:rFonts w:cs="Times New Roman"/>
          <w:i/>
          <w:sz w:val="20"/>
          <w:szCs w:val="20"/>
        </w:rPr>
        <w:t>Instructions</w:t>
      </w:r>
      <w:bookmarkEnd w:id="8"/>
      <w:r w:rsidRPr="006874A6">
        <w:rPr>
          <w:rFonts w:cs="Times New Roman"/>
          <w:sz w:val="20"/>
          <w:szCs w:val="20"/>
        </w:rPr>
        <w:fldChar w:fldCharType="end"/>
      </w:r>
    </w:p>
    <w:bookmarkEnd w:id="7"/>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77777777" w:rsidR="00E46E57" w:rsidRPr="006874A6" w:rsidRDefault="00E46E57" w:rsidP="00E3427E">
      <w:pPr>
        <w:pStyle w:val="NoSpacing"/>
        <w:rPr>
          <w:rFonts w:cs="Times New Roman"/>
          <w:sz w:val="20"/>
          <w:szCs w:val="20"/>
        </w:rPr>
      </w:pPr>
    </w:p>
    <w:bookmarkStart w:id="9" w:name="Replacement"/>
    <w:p w14:paraId="54DB68F0" w14:textId="77777777" w:rsidR="00E46E57" w:rsidRPr="006874A6" w:rsidRDefault="00E46E57" w:rsidP="00E3427E">
      <w:pPr>
        <w:pStyle w:val="NoSpacing"/>
        <w:numPr>
          <w:ilvl w:val="0"/>
          <w:numId w:val="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10" w:name="_Ref491681906"/>
      <w:r w:rsidRPr="006874A6">
        <w:rPr>
          <w:rStyle w:val="Hyperlink"/>
          <w:rFonts w:cs="Times New Roman"/>
          <w:sz w:val="20"/>
          <w:szCs w:val="20"/>
        </w:rPr>
        <w:t>Replacement of an Appointed Actuary</w:t>
      </w:r>
      <w:bookmarkEnd w:id="10"/>
      <w:r w:rsidRPr="006874A6">
        <w:rPr>
          <w:rFonts w:cs="Times New Roman"/>
          <w:sz w:val="20"/>
          <w:szCs w:val="20"/>
        </w:rPr>
        <w:fldChar w:fldCharType="end"/>
      </w:r>
    </w:p>
    <w:bookmarkEnd w:id="9"/>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both of these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Regarding the disagreements referenced in step 2 above, regulators understand that there may be disagreements between the Appointed Actuary and the insurer during the course of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during the course of the Appointed Actuary’s work.</w:t>
      </w:r>
    </w:p>
    <w:p w14:paraId="0D94063E" w14:textId="77777777" w:rsidR="00E46E57" w:rsidRPr="006874A6" w:rsidRDefault="00E46E57" w:rsidP="00E3427E">
      <w:pPr>
        <w:pStyle w:val="NoSpacing"/>
        <w:rPr>
          <w:rFonts w:cs="Times New Roman"/>
          <w:sz w:val="20"/>
          <w:szCs w:val="20"/>
        </w:rPr>
      </w:pPr>
    </w:p>
    <w:p w14:paraId="02C02CE8"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11" w:name="ReportingtoBOD"/>
    <w:p w14:paraId="21876320" w14:textId="77777777" w:rsidR="00E46E57" w:rsidRPr="006874A6" w:rsidRDefault="00E46E57" w:rsidP="00E3427E">
      <w:pPr>
        <w:pStyle w:val="NoSpacing"/>
        <w:numPr>
          <w:ilvl w:val="0"/>
          <w:numId w:val="2"/>
        </w:numPr>
        <w:rPr>
          <w:rFonts w:cs="Times New Roman"/>
          <w:sz w:val="20"/>
          <w:szCs w:val="20"/>
        </w:rPr>
      </w:pPr>
      <w:r w:rsidRPr="006874A6">
        <w:lastRenderedPageBreak/>
        <w:fldChar w:fldCharType="begin"/>
      </w:r>
      <w:r w:rsidRPr="006874A6">
        <w:rPr>
          <w:sz w:val="20"/>
          <w:szCs w:val="20"/>
        </w:rPr>
        <w:instrText xml:space="preserve"> HYPERLINK \l "aaaref_TOC" </w:instrText>
      </w:r>
      <w:r w:rsidRPr="006874A6">
        <w:fldChar w:fldCharType="separate"/>
      </w:r>
      <w:bookmarkStart w:id="12" w:name="_Ref491681919"/>
      <w:r w:rsidRPr="006874A6">
        <w:rPr>
          <w:rStyle w:val="Hyperlink"/>
          <w:rFonts w:cs="Times New Roman"/>
          <w:sz w:val="20"/>
          <w:szCs w:val="20"/>
        </w:rPr>
        <w:t>Reporting to the Board of Directors</w:t>
      </w:r>
      <w:bookmarkEnd w:id="12"/>
      <w:r w:rsidRPr="006874A6">
        <w:rPr>
          <w:rStyle w:val="Hyperlink"/>
          <w:rFonts w:cs="Times New Roman"/>
          <w:sz w:val="20"/>
          <w:szCs w:val="20"/>
        </w:rPr>
        <w:fldChar w:fldCharType="end"/>
      </w:r>
      <w:bookmarkEnd w:id="11"/>
      <w:r w:rsidRPr="006874A6">
        <w:rPr>
          <w:rFonts w:cs="Times New Roman"/>
          <w:sz w:val="20"/>
          <w:szCs w:val="20"/>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manner in which the Appointed Actuary presented the required information. This may be done in a form of the Appointed Actuary’s choosing, including, but not limited to, an executive summary or PowerPoint presentation. The Working Group strongly encourages the Appointed Actuary to present his or her analysis in person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07B3169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p>
    <w:p w14:paraId="7C76C09F" w14:textId="77777777" w:rsidR="00E46E57" w:rsidRPr="006874A6" w:rsidRDefault="00E46E57" w:rsidP="00E3427E">
      <w:pPr>
        <w:pStyle w:val="NoSpacing"/>
        <w:rPr>
          <w:rFonts w:cs="Times New Roman"/>
          <w:sz w:val="20"/>
          <w:szCs w:val="20"/>
        </w:rPr>
      </w:pPr>
    </w:p>
    <w:bookmarkStart w:id="13" w:name="Reqsforpooled"/>
    <w:p w14:paraId="72C89A2E" w14:textId="77777777" w:rsidR="00E46E57" w:rsidRPr="006874A6" w:rsidRDefault="00E46E57" w:rsidP="00E3427E">
      <w:pPr>
        <w:pStyle w:val="NoSpacing"/>
        <w:numPr>
          <w:ilvl w:val="0"/>
          <w:numId w:val="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14" w:name="_Ref491681926"/>
      <w:r w:rsidRPr="006874A6">
        <w:rPr>
          <w:rStyle w:val="Hyperlink"/>
          <w:rFonts w:cs="Times New Roman"/>
          <w:sz w:val="20"/>
          <w:szCs w:val="20"/>
        </w:rPr>
        <w:t>Requirements for pooled companies</w:t>
      </w:r>
      <w:bookmarkEnd w:id="14"/>
      <w:r w:rsidRPr="006874A6">
        <w:rPr>
          <w:rFonts w:cs="Times New Roman"/>
          <w:sz w:val="20"/>
          <w:szCs w:val="20"/>
        </w:rPr>
        <w:fldChar w:fldCharType="end"/>
      </w:r>
    </w:p>
    <w:bookmarkEnd w:id="13"/>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E3427E">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E3427E">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E3427E">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E3427E">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E3427E">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E3427E">
      <w:pPr>
        <w:pStyle w:val="NoSpacing"/>
        <w:jc w:val="both"/>
        <w:rPr>
          <w:rFonts w:cs="Times New Roman"/>
          <w:sz w:val="20"/>
          <w:szCs w:val="20"/>
        </w:rPr>
      </w:pPr>
    </w:p>
    <w:p w14:paraId="4A0AB6D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E3427E">
      <w:pPr>
        <w:pStyle w:val="NoSpacing"/>
        <w:numPr>
          <w:ilvl w:val="0"/>
          <w:numId w:val="5"/>
        </w:numPr>
        <w:jc w:val="both"/>
        <w:rPr>
          <w:rFonts w:cs="Times New Roman"/>
          <w:sz w:val="20"/>
          <w:szCs w:val="20"/>
        </w:rPr>
      </w:pPr>
      <w:r w:rsidRPr="006874A6">
        <w:rPr>
          <w:rFonts w:cs="Times New Roman"/>
          <w:sz w:val="20"/>
          <w:szCs w:val="20"/>
        </w:rPr>
        <w:t>Text of the Actuarial Opinion should be similar to that of the lead company</w:t>
      </w:r>
    </w:p>
    <w:p w14:paraId="2D84DAC0" w14:textId="77777777" w:rsidR="00E46E57" w:rsidRPr="006874A6" w:rsidRDefault="00E46E57" w:rsidP="00E3427E">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E3427E">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E3427E">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E3427E">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E3427E">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74DA12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p>
    <w:p w14:paraId="6D125610" w14:textId="77777777" w:rsidR="00E46E57" w:rsidRPr="006874A6" w:rsidRDefault="00E46E57" w:rsidP="00E3427E">
      <w:pPr>
        <w:pStyle w:val="NoSpacing"/>
        <w:ind w:left="360"/>
        <w:rPr>
          <w:rFonts w:cs="Times New Roman"/>
          <w:sz w:val="20"/>
          <w:szCs w:val="20"/>
        </w:rPr>
      </w:pPr>
    </w:p>
    <w:p w14:paraId="737CA36A"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15" w:name="Adversedev"/>
    <w:p w14:paraId="0F96003D" w14:textId="77777777" w:rsidR="00E46E57" w:rsidRPr="006874A6" w:rsidRDefault="00E46E57" w:rsidP="00E3427E">
      <w:pPr>
        <w:pStyle w:val="NoSpacing"/>
        <w:numPr>
          <w:ilvl w:val="0"/>
          <w:numId w:val="2"/>
        </w:numPr>
        <w:rPr>
          <w:rFonts w:cs="Times New Roman"/>
          <w:sz w:val="20"/>
          <w:szCs w:val="20"/>
        </w:rPr>
      </w:pPr>
      <w:r w:rsidRPr="006874A6">
        <w:lastRenderedPageBreak/>
        <w:fldChar w:fldCharType="begin"/>
      </w:r>
      <w:r w:rsidRPr="006874A6">
        <w:rPr>
          <w:sz w:val="20"/>
          <w:szCs w:val="20"/>
        </w:rPr>
        <w:instrText xml:space="preserve"> HYPERLINK \l "aaaref_TOC" </w:instrText>
      </w:r>
      <w:r w:rsidRPr="006874A6">
        <w:fldChar w:fldCharType="separate"/>
      </w:r>
      <w:bookmarkStart w:id="16" w:name="_Ref491681932"/>
      <w:r w:rsidRPr="006874A6">
        <w:rPr>
          <w:rStyle w:val="Hyperlink"/>
          <w:rFonts w:cs="Times New Roman"/>
          <w:sz w:val="20"/>
          <w:szCs w:val="20"/>
        </w:rPr>
        <w:t>Explanation of adverse development</w:t>
      </w:r>
      <w:bookmarkEnd w:id="16"/>
      <w:r w:rsidRPr="006874A6">
        <w:rPr>
          <w:rStyle w:val="Hyperlink"/>
          <w:rFonts w:cs="Times New Roman"/>
          <w:sz w:val="20"/>
          <w:szCs w:val="20"/>
        </w:rPr>
        <w:fldChar w:fldCharType="end"/>
      </w:r>
    </w:p>
    <w:bookmarkEnd w:id="15"/>
    <w:p w14:paraId="0893D8D7" w14:textId="77777777" w:rsidR="00E46E57" w:rsidRPr="006874A6" w:rsidRDefault="00E46E57" w:rsidP="00E3427E">
      <w:pPr>
        <w:pStyle w:val="NoSpacing"/>
        <w:ind w:left="360"/>
        <w:rPr>
          <w:rFonts w:cs="Times New Roman"/>
          <w:sz w:val="20"/>
          <w:szCs w:val="20"/>
        </w:rPr>
      </w:pPr>
    </w:p>
    <w:bookmarkStart w:id="17" w:name="IRIS"/>
    <w:p w14:paraId="2AF257D2" w14:textId="77777777" w:rsidR="00E46E57" w:rsidRPr="006874A6" w:rsidRDefault="00E46E57" w:rsidP="00E3427E">
      <w:pPr>
        <w:pStyle w:val="NoSpacing"/>
        <w:numPr>
          <w:ilvl w:val="0"/>
          <w:numId w:val="8"/>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18" w:name="_Ref491681940"/>
      <w:r w:rsidRPr="006874A6">
        <w:rPr>
          <w:rStyle w:val="Hyperlink"/>
          <w:rFonts w:cs="Times New Roman"/>
          <w:sz w:val="20"/>
          <w:szCs w:val="20"/>
        </w:rPr>
        <w:t>Comments on unusual Insurance Regulatory Information System (IRIS) ratios in the Actuarial Opinion</w:t>
      </w:r>
      <w:bookmarkEnd w:id="18"/>
      <w:r w:rsidRPr="006874A6">
        <w:rPr>
          <w:rFonts w:cs="Times New Roman"/>
          <w:sz w:val="20"/>
          <w:szCs w:val="20"/>
        </w:rPr>
        <w:fldChar w:fldCharType="end"/>
      </w:r>
    </w:p>
    <w:bookmarkEnd w:id="17"/>
    <w:p w14:paraId="2E1FD11B" w14:textId="77777777" w:rsidR="00E46E57" w:rsidRPr="006874A6" w:rsidRDefault="00E46E57" w:rsidP="00E3427E">
      <w:pPr>
        <w:pStyle w:val="NoSpacing"/>
        <w:rPr>
          <w:rFonts w:cs="Times New Roman"/>
          <w:sz w:val="20"/>
          <w:szCs w:val="20"/>
        </w:rPr>
      </w:pPr>
    </w:p>
    <w:p w14:paraId="15A5CD0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E3427E">
      <w:pPr>
        <w:pStyle w:val="NoSpacing"/>
        <w:ind w:left="360"/>
        <w:rPr>
          <w:rFonts w:cs="Times New Roman"/>
          <w:sz w:val="20"/>
          <w:szCs w:val="20"/>
        </w:rPr>
      </w:pPr>
    </w:p>
    <w:bookmarkStart w:id="19" w:name="AOSdev"/>
    <w:p w14:paraId="5AC47969" w14:textId="77777777" w:rsidR="00E46E57" w:rsidRPr="006874A6" w:rsidRDefault="00E46E57" w:rsidP="00E3427E">
      <w:pPr>
        <w:pStyle w:val="NoSpacing"/>
        <w:numPr>
          <w:ilvl w:val="0"/>
          <w:numId w:val="8"/>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20" w:name="_Ref491681949"/>
      <w:r w:rsidRPr="006874A6">
        <w:rPr>
          <w:rStyle w:val="Hyperlink"/>
          <w:rFonts w:cs="Times New Roman"/>
          <w:sz w:val="20"/>
          <w:szCs w:val="20"/>
        </w:rPr>
        <w:t>Comments on persistent adverse development in the AOS</w:t>
      </w:r>
      <w:bookmarkEnd w:id="20"/>
      <w:r w:rsidRPr="006874A6">
        <w:rPr>
          <w:rFonts w:cs="Times New Roman"/>
          <w:sz w:val="20"/>
          <w:szCs w:val="20"/>
        </w:rPr>
        <w:fldChar w:fldCharType="end"/>
      </w:r>
      <w:r w:rsidRPr="006874A6">
        <w:rPr>
          <w:rFonts w:cs="Times New Roman"/>
          <w:sz w:val="20"/>
          <w:szCs w:val="20"/>
        </w:rPr>
        <w:t xml:space="preserve"> </w:t>
      </w:r>
    </w:p>
    <w:bookmarkEnd w:id="19"/>
    <w:p w14:paraId="3E7289A3" w14:textId="77777777" w:rsidR="00E46E57" w:rsidRPr="006874A6" w:rsidRDefault="00E46E57" w:rsidP="00E3427E">
      <w:pPr>
        <w:pStyle w:val="NoSpacing"/>
        <w:ind w:left="720"/>
        <w:rPr>
          <w:rFonts w:cs="Times New Roman"/>
          <w:sz w:val="20"/>
          <w:szCs w:val="20"/>
        </w:rPr>
      </w:pPr>
    </w:p>
    <w:p w14:paraId="4B16F98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E3427E">
      <w:pPr>
        <w:pStyle w:val="NoSpacing"/>
        <w:numPr>
          <w:ilvl w:val="0"/>
          <w:numId w:val="14"/>
        </w:numPr>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E3427E">
      <w:pPr>
        <w:pStyle w:val="NoSpacing"/>
        <w:numPr>
          <w:ilvl w:val="0"/>
          <w:numId w:val="14"/>
        </w:numPr>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E3427E">
      <w:pPr>
        <w:pStyle w:val="NoSpacing"/>
        <w:numPr>
          <w:ilvl w:val="0"/>
          <w:numId w:val="14"/>
        </w:numPr>
        <w:jc w:val="both"/>
        <w:rPr>
          <w:rFonts w:cs="Times New Roman"/>
          <w:sz w:val="20"/>
          <w:szCs w:val="20"/>
        </w:rPr>
      </w:pPr>
      <w:r w:rsidRPr="006874A6">
        <w:rPr>
          <w:rFonts w:cs="Times New Roman"/>
          <w:sz w:val="20"/>
          <w:szCs w:val="20"/>
        </w:rPr>
        <w:t>Is development related to specific and identifiable situations that are unique to the company?</w:t>
      </w:r>
    </w:p>
    <w:p w14:paraId="278EFBFD" w14:textId="77777777" w:rsidR="00E46E57" w:rsidRPr="006874A6" w:rsidRDefault="00E46E57" w:rsidP="00E3427E">
      <w:pPr>
        <w:pStyle w:val="NoSpacing"/>
        <w:numPr>
          <w:ilvl w:val="0"/>
          <w:numId w:val="14"/>
        </w:numPr>
        <w:jc w:val="both"/>
        <w:rPr>
          <w:rFonts w:cs="Times New Roman"/>
          <w:sz w:val="20"/>
          <w:szCs w:val="20"/>
        </w:rPr>
      </w:pPr>
      <w:r w:rsidRPr="006874A6">
        <w:rPr>
          <w:rFonts w:cs="Times New Roman"/>
          <w:sz w:val="20"/>
          <w:szCs w:val="20"/>
        </w:rPr>
        <w:t>Does the development or the reasons for development differ depending on the individual calendar or accident years?</w:t>
      </w:r>
    </w:p>
    <w:p w14:paraId="3365D813" w14:textId="77777777" w:rsidR="00E46E57" w:rsidRPr="006874A6" w:rsidRDefault="00E46E57" w:rsidP="00E3427E">
      <w:pPr>
        <w:pStyle w:val="NoSpacing"/>
        <w:rPr>
          <w:rFonts w:cs="Times New Roman"/>
          <w:sz w:val="20"/>
          <w:szCs w:val="20"/>
        </w:rPr>
      </w:pPr>
    </w:p>
    <w:bookmarkStart w:id="21" w:name="Revisions"/>
    <w:p w14:paraId="651F2F76" w14:textId="77777777" w:rsidR="00E46E57" w:rsidRPr="006874A6" w:rsidRDefault="00E46E57" w:rsidP="00E3427E">
      <w:pPr>
        <w:pStyle w:val="NoSpacing"/>
        <w:numPr>
          <w:ilvl w:val="0"/>
          <w:numId w:val="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22" w:name="_Ref491681955"/>
      <w:r w:rsidRPr="006874A6">
        <w:rPr>
          <w:rStyle w:val="Hyperlink"/>
          <w:rFonts w:cs="Times New Roman"/>
          <w:sz w:val="20"/>
          <w:szCs w:val="20"/>
        </w:rPr>
        <w:t>Revisions</w:t>
      </w:r>
      <w:bookmarkEnd w:id="22"/>
      <w:r w:rsidRPr="006874A6">
        <w:rPr>
          <w:rFonts w:cs="Times New Roman"/>
          <w:sz w:val="20"/>
          <w:szCs w:val="20"/>
        </w:rPr>
        <w:fldChar w:fldCharType="end"/>
      </w:r>
    </w:p>
    <w:bookmarkEnd w:id="21"/>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bookmarkStart w:id="23" w:name="CommentsSAOandReport"/>
    <w:p w14:paraId="36433A6C" w14:textId="77777777" w:rsidR="00E46E57" w:rsidRPr="006874A6" w:rsidRDefault="00E46E57" w:rsidP="00E3427E">
      <w:pPr>
        <w:pStyle w:val="NoSpacing"/>
        <w:numPr>
          <w:ilvl w:val="0"/>
          <w:numId w:val="1"/>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24" w:name="_Ref491681960"/>
      <w:r w:rsidRPr="006874A6">
        <w:rPr>
          <w:rStyle w:val="Hyperlink"/>
          <w:rFonts w:cs="Times New Roman"/>
          <w:sz w:val="20"/>
          <w:szCs w:val="20"/>
        </w:rPr>
        <w:t>Comments on Actuarial Opinion and Actuarial Report</w:t>
      </w:r>
      <w:bookmarkEnd w:id="24"/>
      <w:r w:rsidRPr="006874A6">
        <w:rPr>
          <w:rFonts w:cs="Times New Roman"/>
          <w:sz w:val="20"/>
          <w:szCs w:val="20"/>
        </w:rPr>
        <w:fldChar w:fldCharType="end"/>
      </w:r>
    </w:p>
    <w:bookmarkEnd w:id="23"/>
    <w:p w14:paraId="4C250232" w14:textId="77777777" w:rsidR="00E46E57" w:rsidRPr="006874A6" w:rsidRDefault="00E46E57" w:rsidP="00E3427E">
      <w:pPr>
        <w:pStyle w:val="NoSpacing"/>
        <w:rPr>
          <w:rFonts w:cs="Times New Roman"/>
          <w:sz w:val="20"/>
          <w:szCs w:val="20"/>
        </w:rPr>
      </w:pPr>
    </w:p>
    <w:bookmarkStart w:id="25" w:name="Reviewdate"/>
    <w:p w14:paraId="42D22483"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26" w:name="_Ref491681970"/>
      <w:r w:rsidRPr="006874A6">
        <w:rPr>
          <w:rStyle w:val="Hyperlink"/>
          <w:rFonts w:cs="Times New Roman"/>
          <w:sz w:val="20"/>
          <w:szCs w:val="20"/>
        </w:rPr>
        <w:t>Review date</w:t>
      </w:r>
      <w:bookmarkEnd w:id="26"/>
      <w:r w:rsidRPr="006874A6">
        <w:rPr>
          <w:rFonts w:cs="Times New Roman"/>
          <w:sz w:val="20"/>
          <w:szCs w:val="20"/>
        </w:rPr>
        <w:fldChar w:fldCharType="end"/>
      </w:r>
    </w:p>
    <w:bookmarkEnd w:id="25"/>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bookmarkStart w:id="27" w:name="Makinguseofanother"/>
    <w:p w14:paraId="70E334A7"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28" w:name="_Ref491681975"/>
      <w:r w:rsidRPr="006874A6">
        <w:rPr>
          <w:rStyle w:val="Hyperlink"/>
          <w:rFonts w:cs="Times New Roman"/>
          <w:sz w:val="20"/>
          <w:szCs w:val="20"/>
        </w:rPr>
        <w:t>Making use of another’s work</w:t>
      </w:r>
      <w:bookmarkEnd w:id="28"/>
      <w:r w:rsidRPr="006874A6">
        <w:rPr>
          <w:rFonts w:cs="Times New Roman"/>
          <w:sz w:val="20"/>
          <w:szCs w:val="20"/>
        </w:rPr>
        <w:fldChar w:fldCharType="end"/>
      </w:r>
    </w:p>
    <w:bookmarkEnd w:id="27"/>
    <w:p w14:paraId="5767E9D2" w14:textId="77777777" w:rsidR="00E46E57" w:rsidRPr="006874A6" w:rsidRDefault="00E46E57" w:rsidP="00E3427E">
      <w:pPr>
        <w:pStyle w:val="NoSpacing"/>
        <w:rPr>
          <w:rFonts w:cs="Times New Roman"/>
          <w:sz w:val="20"/>
          <w:szCs w:val="20"/>
        </w:rPr>
      </w:pPr>
    </w:p>
    <w:p w14:paraId="48820092"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E3427E">
      <w:pPr>
        <w:pStyle w:val="NoSpacing"/>
        <w:numPr>
          <w:ilvl w:val="0"/>
          <w:numId w:val="7"/>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E3427E">
      <w:pPr>
        <w:pStyle w:val="NoSpacing"/>
        <w:numPr>
          <w:ilvl w:val="0"/>
          <w:numId w:val="7"/>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E3427E">
      <w:pPr>
        <w:pStyle w:val="NoSpacing"/>
        <w:numPr>
          <w:ilvl w:val="0"/>
          <w:numId w:val="7"/>
        </w:numPr>
        <w:jc w:val="both"/>
        <w:rPr>
          <w:rFonts w:cs="Times New Roman"/>
          <w:sz w:val="20"/>
          <w:szCs w:val="20"/>
        </w:rPr>
      </w:pPr>
      <w:r w:rsidRPr="006874A6">
        <w:rPr>
          <w:rFonts w:cs="Times New Roman"/>
          <w:sz w:val="20"/>
          <w:szCs w:val="20"/>
        </w:rPr>
        <w:lastRenderedPageBreak/>
        <w:t>The person’s credential(s), if the person is an actuary; and</w:t>
      </w:r>
    </w:p>
    <w:p w14:paraId="6CA75821" w14:textId="77777777" w:rsidR="00E46E57" w:rsidRPr="006874A6" w:rsidRDefault="00E46E57" w:rsidP="00E3427E">
      <w:pPr>
        <w:pStyle w:val="NoSpacing"/>
        <w:numPr>
          <w:ilvl w:val="0"/>
          <w:numId w:val="7"/>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4EFA595" w14:textId="77777777" w:rsidR="00E46E57" w:rsidRPr="006874A6" w:rsidRDefault="00E46E57" w:rsidP="00E3427E">
      <w:pPr>
        <w:pStyle w:val="NoSpacing"/>
        <w:ind w:left="360"/>
        <w:rPr>
          <w:rFonts w:cs="Times New Roman"/>
          <w:sz w:val="20"/>
          <w:szCs w:val="20"/>
        </w:rPr>
      </w:pPr>
    </w:p>
    <w:bookmarkStart w:id="29" w:name="PtsAandB"/>
    <w:p w14:paraId="18B0195A"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30" w:name="_Ref491681981"/>
      <w:r w:rsidRPr="006874A6">
        <w:rPr>
          <w:rStyle w:val="Hyperlink"/>
          <w:rFonts w:cs="Times New Roman"/>
          <w:sz w:val="20"/>
          <w:szCs w:val="20"/>
        </w:rPr>
        <w:t>Points A and B of the Opinion paragraph when opinion type is other than reasonable</w:t>
      </w:r>
      <w:bookmarkEnd w:id="30"/>
      <w:r w:rsidRPr="006874A6">
        <w:rPr>
          <w:rFonts w:cs="Times New Roman"/>
          <w:sz w:val="20"/>
          <w:szCs w:val="20"/>
        </w:rPr>
        <w:fldChar w:fldCharType="end"/>
      </w:r>
    </w:p>
    <w:bookmarkEnd w:id="29"/>
    <w:p w14:paraId="36C94B77" w14:textId="77777777" w:rsidR="00E46E57" w:rsidRPr="006874A6" w:rsidRDefault="00E46E57" w:rsidP="00E3427E">
      <w:pPr>
        <w:pStyle w:val="NoSpacing"/>
        <w:rPr>
          <w:rFonts w:cs="Times New Roman"/>
          <w:sz w:val="20"/>
          <w:szCs w:val="20"/>
        </w:rPr>
      </w:pPr>
    </w:p>
    <w:p w14:paraId="6360EFC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and principles)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bookmarkStart w:id="31" w:name="NetvsDandA"/>
    <w:p w14:paraId="4E74467E"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32" w:name="_Ref491681991"/>
      <w:r w:rsidRPr="006874A6">
        <w:rPr>
          <w:rStyle w:val="Hyperlink"/>
          <w:rFonts w:cs="Times New Roman"/>
          <w:sz w:val="20"/>
          <w:szCs w:val="20"/>
        </w:rPr>
        <w:t>Conclusions on a net versus a direct and assumed basis</w:t>
      </w:r>
      <w:bookmarkEnd w:id="32"/>
      <w:r w:rsidRPr="006874A6">
        <w:rPr>
          <w:rFonts w:cs="Times New Roman"/>
          <w:sz w:val="20"/>
          <w:szCs w:val="20"/>
        </w:rPr>
        <w:fldChar w:fldCharType="end"/>
      </w:r>
    </w:p>
    <w:bookmarkEnd w:id="31"/>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bookmarkStart w:id="33" w:name="UEPRLDC"/>
    <w:p w14:paraId="597A5318" w14:textId="3057D746"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34" w:name="_Ref491681996"/>
      <w:r w:rsidRPr="006874A6">
        <w:rPr>
          <w:rStyle w:val="Hyperlink"/>
          <w:rFonts w:cs="Times New Roman"/>
          <w:sz w:val="20"/>
          <w:szCs w:val="20"/>
        </w:rPr>
        <w:t xml:space="preserve">Unearned premium for </w:t>
      </w:r>
      <w:r w:rsidR="00630AB4" w:rsidRPr="006874A6">
        <w:rPr>
          <w:rStyle w:val="Hyperlink"/>
          <w:rFonts w:cs="Times New Roman"/>
          <w:sz w:val="20"/>
          <w:szCs w:val="20"/>
        </w:rPr>
        <w:t>P&amp;C L</w:t>
      </w:r>
      <w:r w:rsidRPr="006874A6">
        <w:rPr>
          <w:rStyle w:val="Hyperlink"/>
          <w:rFonts w:cs="Times New Roman"/>
          <w:sz w:val="20"/>
          <w:szCs w:val="20"/>
        </w:rPr>
        <w:t xml:space="preserve">ong </w:t>
      </w:r>
      <w:r w:rsidR="00630AB4" w:rsidRPr="006874A6">
        <w:rPr>
          <w:rStyle w:val="Hyperlink"/>
          <w:rFonts w:cs="Times New Roman"/>
          <w:sz w:val="20"/>
          <w:szCs w:val="20"/>
        </w:rPr>
        <w:t>D</w:t>
      </w:r>
      <w:r w:rsidRPr="006874A6">
        <w:rPr>
          <w:rStyle w:val="Hyperlink"/>
          <w:rFonts w:cs="Times New Roman"/>
          <w:sz w:val="20"/>
          <w:szCs w:val="20"/>
        </w:rPr>
        <w:t xml:space="preserve">uration </w:t>
      </w:r>
      <w:r w:rsidR="00630AB4" w:rsidRPr="006874A6">
        <w:rPr>
          <w:rStyle w:val="Hyperlink"/>
          <w:rFonts w:cs="Times New Roman"/>
          <w:sz w:val="20"/>
          <w:szCs w:val="20"/>
        </w:rPr>
        <w:t>C</w:t>
      </w:r>
      <w:r w:rsidRPr="006874A6">
        <w:rPr>
          <w:rStyle w:val="Hyperlink"/>
          <w:rFonts w:cs="Times New Roman"/>
          <w:sz w:val="20"/>
          <w:szCs w:val="20"/>
        </w:rPr>
        <w:t>ontracts</w:t>
      </w:r>
      <w:bookmarkEnd w:id="34"/>
      <w:r w:rsidRPr="006874A6">
        <w:rPr>
          <w:rFonts w:cs="Times New Roman"/>
          <w:sz w:val="20"/>
          <w:szCs w:val="20"/>
        </w:rPr>
        <w:fldChar w:fldCharType="end"/>
      </w:r>
    </w:p>
    <w:bookmarkEnd w:id="33"/>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429D5A6" w:rsidR="00E46E57" w:rsidRPr="006874A6"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0BB38041" w14:textId="77777777" w:rsidR="00E46E57" w:rsidRPr="006874A6" w:rsidRDefault="00E46E57" w:rsidP="00E3427E">
      <w:pPr>
        <w:pStyle w:val="NoSpacing"/>
        <w:ind w:left="360"/>
        <w:jc w:val="both"/>
        <w:rPr>
          <w:rFonts w:cs="Times New Roman"/>
          <w:sz w:val="20"/>
          <w:szCs w:val="20"/>
        </w:rPr>
      </w:pPr>
    </w:p>
    <w:p w14:paraId="64ED1718" w14:textId="77777777" w:rsidR="00AD4A03" w:rsidRPr="006874A6" w:rsidRDefault="00AD4A03">
      <w:pPr>
        <w:spacing w:after="160" w:line="259" w:lineRule="auto"/>
        <w:rPr>
          <w:rFonts w:cs="Times New Roman"/>
          <w:sz w:val="20"/>
          <w:szCs w:val="20"/>
        </w:rPr>
      </w:pPr>
      <w:bookmarkStart w:id="35" w:name="Otherpremiumreserves"/>
      <w:r w:rsidRPr="006874A6">
        <w:rPr>
          <w:rFonts w:cs="Times New Roman"/>
          <w:sz w:val="20"/>
          <w:szCs w:val="20"/>
        </w:rPr>
        <w:br w:type="page"/>
      </w:r>
    </w:p>
    <w:p w14:paraId="004BEB53" w14:textId="2BD35192" w:rsidR="00E46E57" w:rsidRPr="006874A6" w:rsidRDefault="006B3018" w:rsidP="00E3427E">
      <w:pPr>
        <w:pStyle w:val="NoSpacing"/>
        <w:numPr>
          <w:ilvl w:val="0"/>
          <w:numId w:val="6"/>
        </w:numPr>
        <w:rPr>
          <w:rFonts w:cs="Times New Roman"/>
          <w:sz w:val="20"/>
          <w:szCs w:val="20"/>
        </w:rPr>
      </w:pPr>
      <w:hyperlink w:anchor="aaaref_TOC" w:history="1">
        <w:bookmarkStart w:id="36" w:name="_Ref491682003"/>
        <w:r w:rsidR="00E46E57" w:rsidRPr="006874A6">
          <w:rPr>
            <w:rStyle w:val="Hyperlink"/>
            <w:rFonts w:cs="Times New Roman"/>
            <w:sz w:val="20"/>
            <w:szCs w:val="20"/>
          </w:rPr>
          <w:t>Other premium reserve items</w:t>
        </w:r>
        <w:bookmarkEnd w:id="36"/>
      </w:hyperlink>
    </w:p>
    <w:bookmarkEnd w:id="35"/>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r w:rsidRPr="006874A6">
        <w:rPr>
          <w:rFonts w:cs="Times New Roman"/>
          <w:sz w:val="20"/>
          <w:szCs w:val="20"/>
        </w:rPr>
        <w:t>With regard to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4A6DF95A" w14:textId="2A391ECD" w:rsidR="00E46E57" w:rsidRPr="006874A6" w:rsidRDefault="00E46E57" w:rsidP="00E3427E">
      <w:pPr>
        <w:pStyle w:val="NoSpacing"/>
        <w:ind w:left="360"/>
        <w:jc w:val="both"/>
        <w:rPr>
          <w:rFonts w:cs="Times New Roman"/>
          <w:sz w:val="20"/>
          <w:szCs w:val="20"/>
        </w:rPr>
      </w:pPr>
    </w:p>
    <w:p w14:paraId="7803D7D2" w14:textId="77777777" w:rsidR="00E46E57" w:rsidRPr="006874A6" w:rsidRDefault="00E46E57" w:rsidP="00E3427E">
      <w:pPr>
        <w:pStyle w:val="NoSpacing"/>
        <w:rPr>
          <w:rFonts w:cs="Times New Roman"/>
          <w:sz w:val="20"/>
          <w:szCs w:val="20"/>
        </w:rPr>
      </w:pPr>
    </w:p>
    <w:bookmarkStart w:id="37" w:name="RelComments"/>
    <w:p w14:paraId="467B833B"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38" w:name="_Ref491682012"/>
      <w:r w:rsidRPr="006874A6">
        <w:rPr>
          <w:rStyle w:val="Hyperlink"/>
          <w:rFonts w:cs="Times New Roman"/>
          <w:sz w:val="20"/>
          <w:szCs w:val="20"/>
        </w:rPr>
        <w:t>The importance of Relevant Comments paragraphs</w:t>
      </w:r>
      <w:bookmarkEnd w:id="38"/>
      <w:r w:rsidRPr="006874A6">
        <w:rPr>
          <w:rFonts w:cs="Times New Roman"/>
          <w:sz w:val="20"/>
          <w:szCs w:val="20"/>
        </w:rPr>
        <w:fldChar w:fldCharType="end"/>
      </w:r>
    </w:p>
    <w:bookmarkEnd w:id="37"/>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bookmarkStart w:id="39" w:name="RMAD"/>
    <w:p w14:paraId="4A917BF9" w14:textId="77777777" w:rsidR="00E46E57" w:rsidRPr="006874A6" w:rsidRDefault="00E46E57" w:rsidP="00E3427E">
      <w:pPr>
        <w:pStyle w:val="NoSpacing"/>
        <w:numPr>
          <w:ilvl w:val="0"/>
          <w:numId w:val="6"/>
        </w:numPr>
        <w:rPr>
          <w:rFonts w:cs="Times New Roman"/>
          <w:sz w:val="20"/>
          <w:szCs w:val="20"/>
        </w:rPr>
      </w:pPr>
      <w:r w:rsidRPr="006874A6">
        <w:fldChar w:fldCharType="begin"/>
      </w:r>
      <w:r w:rsidRPr="006874A6">
        <w:rPr>
          <w:sz w:val="20"/>
          <w:szCs w:val="20"/>
        </w:rPr>
        <w:instrText xml:space="preserve"> HYPERLINK \l "aaaref_TOC" </w:instrText>
      </w:r>
      <w:r w:rsidRPr="006874A6">
        <w:fldChar w:fldCharType="separate"/>
      </w:r>
      <w:bookmarkStart w:id="40" w:name="_Ref491682017"/>
      <w:r w:rsidRPr="006874A6">
        <w:rPr>
          <w:rStyle w:val="Hyperlink"/>
          <w:rFonts w:cs="Times New Roman"/>
          <w:sz w:val="20"/>
          <w:szCs w:val="20"/>
        </w:rPr>
        <w:t>Risk of Material Adverse Deviation</w:t>
      </w:r>
      <w:bookmarkEnd w:id="40"/>
      <w:r w:rsidRPr="006874A6">
        <w:rPr>
          <w:rStyle w:val="Hyperlink"/>
          <w:rFonts w:cs="Times New Roman"/>
          <w:sz w:val="20"/>
          <w:szCs w:val="20"/>
        </w:rPr>
        <w:fldChar w:fldCharType="end"/>
      </w:r>
      <w:r w:rsidRPr="006874A6">
        <w:rPr>
          <w:rFonts w:cs="Times New Roman"/>
          <w:sz w:val="20"/>
          <w:szCs w:val="20"/>
        </w:rPr>
        <w:t xml:space="preserve"> </w:t>
      </w:r>
    </w:p>
    <w:bookmarkEnd w:id="39"/>
    <w:p w14:paraId="4A4DE090" w14:textId="77777777" w:rsidR="00E46E57" w:rsidRPr="006874A6" w:rsidRDefault="00E46E57" w:rsidP="00E3427E">
      <w:pPr>
        <w:pStyle w:val="NoSpacing"/>
        <w:ind w:left="360"/>
        <w:rPr>
          <w:rFonts w:cs="Times New Roman"/>
          <w:sz w:val="20"/>
          <w:szCs w:val="20"/>
        </w:rPr>
      </w:pPr>
    </w:p>
    <w:p w14:paraId="28ACDDBD" w14:textId="63F629FA" w:rsidR="00E46E57" w:rsidRPr="006874A6" w:rsidRDefault="00E46E57" w:rsidP="00E3427E">
      <w:pPr>
        <w:pStyle w:val="NoSpacing"/>
        <w:ind w:left="360"/>
        <w:jc w:val="both"/>
        <w:rPr>
          <w:rFonts w:cs="Times New Roman"/>
          <w:sz w:val="20"/>
          <w:szCs w:val="20"/>
        </w:rPr>
      </w:pPr>
      <w:r w:rsidRPr="006874A6">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p>
    <w:p w14:paraId="0AC364F2" w14:textId="77777777" w:rsidR="00E46E57" w:rsidRPr="006874A6" w:rsidRDefault="00E46E57" w:rsidP="00E3427E">
      <w:pPr>
        <w:pStyle w:val="NoSpacing"/>
        <w:ind w:left="720"/>
        <w:jc w:val="both"/>
        <w:rPr>
          <w:rFonts w:cs="Times New Roman"/>
          <w:sz w:val="20"/>
          <w:szCs w:val="20"/>
        </w:rPr>
      </w:pPr>
    </w:p>
    <w:bookmarkStart w:id="41" w:name="Norisks"/>
    <w:bookmarkStart w:id="42" w:name="_Ref491682023"/>
    <w:p w14:paraId="05043DC2" w14:textId="77777777" w:rsidR="00E46E57" w:rsidRPr="006874A6" w:rsidRDefault="00E46E57" w:rsidP="00E3427E">
      <w:pPr>
        <w:pStyle w:val="NoSpacing"/>
        <w:numPr>
          <w:ilvl w:val="0"/>
          <w:numId w:val="15"/>
        </w:numPr>
        <w:ind w:left="720"/>
        <w:jc w:val="both"/>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r w:rsidRPr="006874A6">
        <w:rPr>
          <w:rStyle w:val="Hyperlink"/>
          <w:rFonts w:cs="Times New Roman"/>
          <w:sz w:val="20"/>
          <w:szCs w:val="20"/>
        </w:rPr>
        <w:t>No company-specific risk factors</w:t>
      </w:r>
      <w:r w:rsidRPr="006874A6">
        <w:rPr>
          <w:rFonts w:cs="Times New Roman"/>
          <w:sz w:val="20"/>
          <w:szCs w:val="20"/>
        </w:rPr>
        <w:fldChar w:fldCharType="end"/>
      </w:r>
      <w:r w:rsidRPr="006874A6">
        <w:rPr>
          <w:rFonts w:cs="Times New Roman"/>
          <w:sz w:val="20"/>
          <w:szCs w:val="20"/>
        </w:rPr>
        <w:t xml:space="preserve"> </w:t>
      </w:r>
      <w:bookmarkEnd w:id="41"/>
      <w:r w:rsidRPr="006874A6">
        <w:rPr>
          <w:rFonts w:cs="Times New Roman"/>
          <w:sz w:val="20"/>
          <w:szCs w:val="20"/>
        </w:rPr>
        <w:t>– The Appointed Actuary is asked to discuss company-specific risk factors regardless of the RMAD conclusion. If the Appointed Actuary does not believe that there are any company-specific risk factors, the Appointed Actuary should state that.</w:t>
      </w:r>
      <w:bookmarkEnd w:id="42"/>
    </w:p>
    <w:p w14:paraId="0EC1E48A" w14:textId="77777777" w:rsidR="00E46E57" w:rsidRPr="006874A6" w:rsidRDefault="00E46E57" w:rsidP="00E3427E">
      <w:pPr>
        <w:pStyle w:val="NoSpacing"/>
        <w:ind w:left="720" w:hanging="360"/>
        <w:jc w:val="both"/>
        <w:rPr>
          <w:rFonts w:cs="Times New Roman"/>
          <w:sz w:val="20"/>
          <w:szCs w:val="20"/>
        </w:rPr>
      </w:pPr>
    </w:p>
    <w:bookmarkStart w:id="43" w:name="Mitigating"/>
    <w:bookmarkStart w:id="44" w:name="_Ref491682032"/>
    <w:p w14:paraId="3F694A4A" w14:textId="2A41EBC1" w:rsidR="00E46E57" w:rsidRPr="006874A6" w:rsidRDefault="00E46E57" w:rsidP="00E3427E">
      <w:pPr>
        <w:pStyle w:val="NoSpacing"/>
        <w:numPr>
          <w:ilvl w:val="0"/>
          <w:numId w:val="15"/>
        </w:numPr>
        <w:ind w:left="720"/>
        <w:jc w:val="both"/>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r w:rsidRPr="006874A6">
        <w:rPr>
          <w:rStyle w:val="Hyperlink"/>
          <w:rFonts w:cs="Times New Roman"/>
          <w:sz w:val="20"/>
          <w:szCs w:val="20"/>
        </w:rPr>
        <w:t>Mitigating factors</w:t>
      </w:r>
      <w:r w:rsidRPr="006874A6">
        <w:rPr>
          <w:rFonts w:cs="Times New Roman"/>
          <w:sz w:val="20"/>
          <w:szCs w:val="20"/>
        </w:rPr>
        <w:fldChar w:fldCharType="end"/>
      </w:r>
      <w:r w:rsidRPr="006874A6">
        <w:rPr>
          <w:rFonts w:cs="Times New Roman"/>
          <w:sz w:val="20"/>
          <w:szCs w:val="20"/>
        </w:rPr>
        <w:t xml:space="preserve"> </w:t>
      </w:r>
      <w:bookmarkEnd w:id="43"/>
      <w:r w:rsidRPr="006874A6">
        <w:rPr>
          <w:rFonts w:cs="Times New Roman"/>
          <w:sz w:val="20"/>
          <w:szCs w:val="20"/>
        </w:rPr>
        <w:t xml:space="preserve">– Regulators generally expect Appointed Actuaries to comment on significant company-specific risk factors that exist prior to the company’s application of controls or use of mitigation techniques. The company’s risk management behaviors may, however, affect the Appointed Actuary’s </w:t>
      </w:r>
      <w:r w:rsidR="00E04964" w:rsidRPr="006874A6">
        <w:rPr>
          <w:rFonts w:cs="Times New Roman"/>
          <w:sz w:val="20"/>
          <w:szCs w:val="20"/>
        </w:rPr>
        <w:t xml:space="preserve">RMAD </w:t>
      </w:r>
      <w:r w:rsidRPr="006874A6">
        <w:rPr>
          <w:rFonts w:cs="Times New Roman"/>
          <w:sz w:val="20"/>
          <w:szCs w:val="20"/>
        </w:rPr>
        <w:t>conclusion.</w:t>
      </w:r>
      <w:bookmarkEnd w:id="44"/>
    </w:p>
    <w:p w14:paraId="4553CFA6" w14:textId="77777777" w:rsidR="00E46E57" w:rsidRPr="006874A6" w:rsidRDefault="00E46E57" w:rsidP="00E3427E">
      <w:pPr>
        <w:pStyle w:val="NoSpacing"/>
        <w:ind w:left="720" w:hanging="360"/>
        <w:jc w:val="both"/>
        <w:rPr>
          <w:rFonts w:cs="Times New Roman"/>
          <w:sz w:val="20"/>
          <w:szCs w:val="20"/>
        </w:rPr>
      </w:pPr>
    </w:p>
    <w:bookmarkStart w:id="45" w:name="RMADconclusions"/>
    <w:bookmarkStart w:id="46" w:name="_Ref491682038"/>
    <w:p w14:paraId="3B51FA2F" w14:textId="77777777" w:rsidR="00E46E57" w:rsidRPr="006874A6" w:rsidRDefault="00E46E57" w:rsidP="00E3427E">
      <w:pPr>
        <w:pStyle w:val="NoSpacing"/>
        <w:numPr>
          <w:ilvl w:val="0"/>
          <w:numId w:val="15"/>
        </w:numPr>
        <w:ind w:left="720"/>
        <w:jc w:val="both"/>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r w:rsidRPr="006874A6">
        <w:rPr>
          <w:rStyle w:val="Hyperlink"/>
          <w:rFonts w:cs="Times New Roman"/>
          <w:sz w:val="20"/>
          <w:szCs w:val="20"/>
        </w:rPr>
        <w:t>Consideration of carried reserves, materiality standard, and reserve range when making RMAD conclusion</w:t>
      </w:r>
      <w:r w:rsidRPr="006874A6">
        <w:rPr>
          <w:rFonts w:cs="Times New Roman"/>
          <w:sz w:val="20"/>
          <w:szCs w:val="20"/>
        </w:rPr>
        <w:fldChar w:fldCharType="end"/>
      </w:r>
      <w:r w:rsidRPr="006874A6">
        <w:rPr>
          <w:rFonts w:cs="Times New Roman"/>
          <w:sz w:val="20"/>
          <w:szCs w:val="20"/>
        </w:rPr>
        <w:t xml:space="preserve"> </w:t>
      </w:r>
      <w:bookmarkEnd w:id="45"/>
      <w:r w:rsidRPr="006874A6">
        <w:rPr>
          <w:rFonts w:cs="Times New Roman"/>
          <w:sz w:val="20"/>
          <w:szCs w:val="20"/>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End w:id="46"/>
    </w:p>
    <w:p w14:paraId="52F79F9C" w14:textId="77777777" w:rsidR="00E46E57" w:rsidRPr="006874A6" w:rsidRDefault="00E46E57" w:rsidP="00E3427E">
      <w:pPr>
        <w:pStyle w:val="NoSpacing"/>
        <w:ind w:left="720" w:hanging="360"/>
        <w:jc w:val="both"/>
        <w:rPr>
          <w:rFonts w:cs="Times New Roman"/>
          <w:sz w:val="20"/>
          <w:szCs w:val="20"/>
        </w:rPr>
      </w:pPr>
    </w:p>
    <w:bookmarkStart w:id="47" w:name="MatStdforpool"/>
    <w:bookmarkStart w:id="48" w:name="_Ref491682044"/>
    <w:p w14:paraId="00B308E7" w14:textId="77777777" w:rsidR="00E46E57" w:rsidRPr="006874A6" w:rsidRDefault="00E46E57" w:rsidP="00E3427E">
      <w:pPr>
        <w:pStyle w:val="NoSpacing"/>
        <w:numPr>
          <w:ilvl w:val="0"/>
          <w:numId w:val="15"/>
        </w:numPr>
        <w:ind w:left="720"/>
        <w:jc w:val="both"/>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r w:rsidRPr="006874A6">
        <w:rPr>
          <w:rStyle w:val="Hyperlink"/>
          <w:rFonts w:cs="Times New Roman"/>
          <w:sz w:val="20"/>
          <w:szCs w:val="20"/>
        </w:rPr>
        <w:t>Materiality standards for intercompany pool members</w:t>
      </w:r>
      <w:r w:rsidRPr="006874A6">
        <w:rPr>
          <w:rFonts w:cs="Times New Roman"/>
          <w:sz w:val="20"/>
          <w:szCs w:val="20"/>
        </w:rPr>
        <w:fldChar w:fldCharType="end"/>
      </w:r>
      <w:r w:rsidRPr="006874A6">
        <w:rPr>
          <w:rFonts w:cs="Times New Roman"/>
          <w:sz w:val="20"/>
          <w:szCs w:val="20"/>
        </w:rPr>
        <w:t xml:space="preserve"> </w:t>
      </w:r>
      <w:bookmarkEnd w:id="47"/>
      <w:r w:rsidRPr="006874A6">
        <w:rPr>
          <w:rFonts w:cs="Times New Roman"/>
          <w:sz w:val="20"/>
          <w:szCs w:val="20"/>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48"/>
    </w:p>
    <w:p w14:paraId="6F69489A" w14:textId="77777777" w:rsidR="00E46E57" w:rsidRPr="006874A6" w:rsidRDefault="00E46E57" w:rsidP="00E3427E">
      <w:pPr>
        <w:pStyle w:val="NoSpacing"/>
        <w:rPr>
          <w:rFonts w:cs="Times New Roman"/>
          <w:sz w:val="20"/>
          <w:szCs w:val="20"/>
        </w:rPr>
      </w:pPr>
    </w:p>
    <w:bookmarkStart w:id="49" w:name="UseofReport"/>
    <w:p w14:paraId="35132F1D" w14:textId="77777777" w:rsidR="00E46E57" w:rsidRPr="006874A6" w:rsidRDefault="00E46E57" w:rsidP="00E3427E">
      <w:pPr>
        <w:pStyle w:val="NoSpacing"/>
        <w:numPr>
          <w:ilvl w:val="0"/>
          <w:numId w:val="6"/>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50" w:name="_Ref491682049"/>
      <w:r w:rsidRPr="006874A6">
        <w:rPr>
          <w:rStyle w:val="Hyperlink"/>
          <w:rFonts w:cs="Times New Roman"/>
          <w:sz w:val="20"/>
          <w:szCs w:val="20"/>
        </w:rPr>
        <w:t>Regulators’ use of the Actuarial Report</w:t>
      </w:r>
      <w:bookmarkEnd w:id="50"/>
      <w:r w:rsidRPr="006874A6">
        <w:rPr>
          <w:rFonts w:cs="Times New Roman"/>
          <w:sz w:val="20"/>
          <w:szCs w:val="20"/>
        </w:rPr>
        <w:fldChar w:fldCharType="end"/>
      </w:r>
    </w:p>
    <w:bookmarkEnd w:id="49"/>
    <w:p w14:paraId="3C033198" w14:textId="77777777" w:rsidR="00E46E57" w:rsidRPr="006874A6" w:rsidRDefault="00E46E57" w:rsidP="00E3427E">
      <w:pPr>
        <w:pStyle w:val="NoSpacing"/>
        <w:ind w:left="360"/>
        <w:jc w:val="both"/>
        <w:rPr>
          <w:rFonts w:cs="Times New Roman"/>
          <w:sz w:val="20"/>
          <w:szCs w:val="20"/>
        </w:rPr>
      </w:pPr>
    </w:p>
    <w:p w14:paraId="619267B0"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p>
    <w:p w14:paraId="48A0B21D" w14:textId="77777777" w:rsidR="00E46E57" w:rsidRPr="006874A6" w:rsidRDefault="00E46E57" w:rsidP="00E3427E">
      <w:pPr>
        <w:pStyle w:val="NoSpacing"/>
        <w:rPr>
          <w:rFonts w:cs="Times New Roman"/>
          <w:sz w:val="20"/>
          <w:szCs w:val="20"/>
        </w:rPr>
      </w:pPr>
    </w:p>
    <w:bookmarkStart w:id="51" w:name="SchP"/>
    <w:p w14:paraId="57DDE0F2" w14:textId="77777777" w:rsidR="00E46E57" w:rsidRPr="006874A6" w:rsidRDefault="00E46E57" w:rsidP="00E3427E">
      <w:pPr>
        <w:pStyle w:val="NoSpacing"/>
        <w:numPr>
          <w:ilvl w:val="0"/>
          <w:numId w:val="9"/>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52" w:name="_Ref491682057"/>
      <w:r w:rsidRPr="006874A6">
        <w:rPr>
          <w:rStyle w:val="Hyperlink"/>
          <w:rFonts w:cs="Times New Roman"/>
          <w:sz w:val="20"/>
          <w:szCs w:val="20"/>
        </w:rPr>
        <w:t>Schedule P reconciliation</w:t>
      </w:r>
      <w:bookmarkEnd w:id="52"/>
      <w:r w:rsidRPr="006874A6">
        <w:rPr>
          <w:rFonts w:cs="Times New Roman"/>
          <w:sz w:val="20"/>
          <w:szCs w:val="20"/>
        </w:rPr>
        <w:fldChar w:fldCharType="end"/>
      </w:r>
    </w:p>
    <w:bookmarkEnd w:id="51"/>
    <w:p w14:paraId="760B78A8" w14:textId="77777777" w:rsidR="00E46E57" w:rsidRPr="006874A6" w:rsidRDefault="00E46E57" w:rsidP="00E3427E">
      <w:pPr>
        <w:pStyle w:val="NoSpacing"/>
        <w:rPr>
          <w:rFonts w:cs="Times New Roman"/>
          <w:sz w:val="20"/>
          <w:szCs w:val="20"/>
        </w:rPr>
      </w:pPr>
    </w:p>
    <w:p w14:paraId="3120AF95"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77777777" w:rsidR="00E46E57" w:rsidRPr="006874A6" w:rsidRDefault="00E46E57" w:rsidP="00E3427E">
      <w:pPr>
        <w:pStyle w:val="NoSpacing"/>
        <w:numPr>
          <w:ilvl w:val="0"/>
          <w:numId w:val="10"/>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625A434" w14:textId="77777777" w:rsidR="00E46E57" w:rsidRPr="006874A6" w:rsidRDefault="00E46E57" w:rsidP="00E3427E">
      <w:pPr>
        <w:pStyle w:val="NoSpacing"/>
        <w:numPr>
          <w:ilvl w:val="0"/>
          <w:numId w:val="10"/>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77777777" w:rsidR="00E46E57" w:rsidRPr="006874A6" w:rsidRDefault="00E46E57" w:rsidP="00E3427E">
      <w:pPr>
        <w:pStyle w:val="NoSpacing"/>
        <w:numPr>
          <w:ilvl w:val="0"/>
          <w:numId w:val="10"/>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77777777" w:rsidR="00E46E57" w:rsidRPr="006874A6" w:rsidRDefault="00E46E57" w:rsidP="00E3427E">
      <w:pPr>
        <w:pStyle w:val="NoSpacing"/>
        <w:numPr>
          <w:ilvl w:val="0"/>
          <w:numId w:val="11"/>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7C50B680" w14:textId="77777777" w:rsidR="00E46E57" w:rsidRPr="006874A6" w:rsidRDefault="00E46E57" w:rsidP="00E3427E">
      <w:pPr>
        <w:pStyle w:val="NoSpacing"/>
        <w:numPr>
          <w:ilvl w:val="0"/>
          <w:numId w:val="11"/>
        </w:numPr>
        <w:jc w:val="both"/>
        <w:rPr>
          <w:rFonts w:cs="Times New Roman"/>
          <w:sz w:val="20"/>
          <w:szCs w:val="20"/>
        </w:rPr>
      </w:pPr>
      <w:r w:rsidRPr="006874A6">
        <w:rPr>
          <w:rFonts w:cs="Times New Roman"/>
          <w:sz w:val="20"/>
          <w:szCs w:val="20"/>
        </w:rPr>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One key difference is that independent CPAs generally apply auditing procedures to loss and loss adjustment expense activity that occurred in the current calendar year (for example, tests of payments on claims for all accident years that 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4467CB3B"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p>
    <w:p w14:paraId="5CEC5F56" w14:textId="77777777" w:rsidR="00E46E57" w:rsidRPr="006874A6" w:rsidRDefault="00E46E57" w:rsidP="00E3427E">
      <w:pPr>
        <w:pStyle w:val="NoSpacing"/>
        <w:ind w:left="720"/>
        <w:rPr>
          <w:rFonts w:cs="Times New Roman"/>
          <w:sz w:val="20"/>
          <w:szCs w:val="20"/>
        </w:rPr>
      </w:pPr>
      <w:r w:rsidRPr="006874A6">
        <w:rPr>
          <w:rFonts w:cs="Times New Roman"/>
          <w:sz w:val="20"/>
          <w:szCs w:val="20"/>
        </w:rPr>
        <w:t xml:space="preserve"> </w:t>
      </w:r>
    </w:p>
    <w:bookmarkStart w:id="53" w:name="ChangeEstimates"/>
    <w:p w14:paraId="73125C54" w14:textId="77777777" w:rsidR="00E46E57" w:rsidRPr="006874A6" w:rsidRDefault="00E46E57" w:rsidP="00E3427E">
      <w:pPr>
        <w:pStyle w:val="NoSpacing"/>
        <w:numPr>
          <w:ilvl w:val="0"/>
          <w:numId w:val="9"/>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54" w:name="_Ref491682062"/>
      <w:r w:rsidRPr="006874A6">
        <w:rPr>
          <w:rStyle w:val="Hyperlink"/>
          <w:rFonts w:cs="Times New Roman"/>
          <w:sz w:val="20"/>
          <w:szCs w:val="20"/>
        </w:rPr>
        <w:t>Change in estimates</w:t>
      </w:r>
      <w:bookmarkEnd w:id="54"/>
      <w:r w:rsidRPr="006874A6">
        <w:rPr>
          <w:rFonts w:cs="Times New Roman"/>
          <w:sz w:val="20"/>
          <w:szCs w:val="20"/>
        </w:rPr>
        <w:fldChar w:fldCharType="end"/>
      </w:r>
    </w:p>
    <w:bookmarkEnd w:id="53"/>
    <w:p w14:paraId="226CE68C" w14:textId="77777777"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bookmarkStart w:id="55" w:name="Narrative"/>
    <w:bookmarkEnd w:id="55"/>
    <w:p w14:paraId="2046A6D9" w14:textId="77777777" w:rsidR="00E46E57" w:rsidRPr="006874A6" w:rsidRDefault="00E46E57" w:rsidP="00E3427E">
      <w:pPr>
        <w:pStyle w:val="NoSpacing"/>
        <w:numPr>
          <w:ilvl w:val="0"/>
          <w:numId w:val="9"/>
        </w:numPr>
        <w:rPr>
          <w:rFonts w:cs="Times New Roman"/>
          <w:sz w:val="20"/>
          <w:szCs w:val="20"/>
        </w:rPr>
      </w:pPr>
      <w:r w:rsidRPr="006874A6">
        <w:fldChar w:fldCharType="begin"/>
      </w:r>
      <w:r w:rsidRPr="006874A6">
        <w:rPr>
          <w:sz w:val="20"/>
          <w:szCs w:val="20"/>
        </w:rPr>
        <w:instrText xml:space="preserve"> HYPERLINK \l "aaaref_TOC" </w:instrText>
      </w:r>
      <w:r w:rsidRPr="006874A6">
        <w:fldChar w:fldCharType="separate"/>
      </w:r>
      <w:bookmarkStart w:id="56" w:name="_Ref491682066"/>
      <w:r w:rsidRPr="006874A6">
        <w:rPr>
          <w:rStyle w:val="Hyperlink"/>
          <w:rFonts w:cs="Times New Roman"/>
          <w:sz w:val="20"/>
          <w:szCs w:val="20"/>
        </w:rPr>
        <w:t>Narrative</w:t>
      </w:r>
      <w:bookmarkEnd w:id="56"/>
      <w:r w:rsidRPr="006874A6">
        <w:rPr>
          <w:rStyle w:val="Hyperlink"/>
          <w:rFonts w:cs="Times New Roman"/>
          <w:sz w:val="20"/>
          <w:szCs w:val="20"/>
        </w:rPr>
        <w:fldChar w:fldCharType="end"/>
      </w:r>
    </w:p>
    <w:p w14:paraId="517B8C61" w14:textId="77777777" w:rsidR="00E46E57" w:rsidRPr="006874A6" w:rsidRDefault="00E46E57" w:rsidP="00E3427E">
      <w:pPr>
        <w:pStyle w:val="NoSpacing"/>
        <w:ind w:left="720"/>
        <w:jc w:val="both"/>
        <w:rPr>
          <w:rFonts w:cs="Times New Roman"/>
          <w:sz w:val="20"/>
          <w:szCs w:val="20"/>
        </w:rPr>
      </w:pPr>
    </w:p>
    <w:p w14:paraId="0BC53A4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2859BC37" w14:textId="77777777" w:rsidR="00E46E57" w:rsidRPr="006874A6" w:rsidRDefault="00E46E57" w:rsidP="00E3427E">
      <w:pPr>
        <w:pStyle w:val="NoSpacing"/>
        <w:rPr>
          <w:rFonts w:cs="Times New Roman"/>
          <w:sz w:val="20"/>
          <w:szCs w:val="20"/>
        </w:rPr>
      </w:pPr>
    </w:p>
    <w:p w14:paraId="1C853044" w14:textId="77777777" w:rsidR="00AD4A03" w:rsidRPr="006874A6" w:rsidRDefault="00AD4A03">
      <w:pPr>
        <w:spacing w:after="160" w:line="259" w:lineRule="auto"/>
        <w:rPr>
          <w:rFonts w:cs="Times New Roman"/>
          <w:sz w:val="20"/>
          <w:szCs w:val="20"/>
        </w:rPr>
      </w:pPr>
      <w:bookmarkStart w:id="57" w:name="Assumptions"/>
      <w:r w:rsidRPr="006874A6">
        <w:rPr>
          <w:rFonts w:cs="Times New Roman"/>
          <w:sz w:val="20"/>
          <w:szCs w:val="20"/>
        </w:rPr>
        <w:br w:type="page"/>
      </w:r>
    </w:p>
    <w:p w14:paraId="15965E94" w14:textId="611277A7" w:rsidR="00E46E57" w:rsidRPr="006874A6" w:rsidRDefault="006B3018" w:rsidP="00E3427E">
      <w:pPr>
        <w:pStyle w:val="NoSpacing"/>
        <w:numPr>
          <w:ilvl w:val="0"/>
          <w:numId w:val="9"/>
        </w:numPr>
        <w:rPr>
          <w:rFonts w:cs="Times New Roman"/>
          <w:sz w:val="20"/>
          <w:szCs w:val="20"/>
        </w:rPr>
      </w:pPr>
      <w:hyperlink w:anchor="aaaref_TOC" w:history="1">
        <w:bookmarkStart w:id="58" w:name="_Ref491682071"/>
        <w:r w:rsidR="00E46E57" w:rsidRPr="006874A6">
          <w:rPr>
            <w:rStyle w:val="Hyperlink"/>
            <w:rFonts w:cs="Times New Roman"/>
            <w:sz w:val="20"/>
            <w:szCs w:val="20"/>
          </w:rPr>
          <w:t>Support for assumptions</w:t>
        </w:r>
        <w:bookmarkEnd w:id="58"/>
      </w:hyperlink>
    </w:p>
    <w:bookmarkEnd w:id="57"/>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sufficient.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bookmarkStart w:id="59" w:name="RollForward"/>
    <w:p w14:paraId="050DBCD1" w14:textId="77777777" w:rsidR="00E46E57" w:rsidRPr="006874A6" w:rsidRDefault="00E46E57" w:rsidP="00E3427E">
      <w:pPr>
        <w:pStyle w:val="NoSpacing"/>
        <w:numPr>
          <w:ilvl w:val="0"/>
          <w:numId w:val="9"/>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60" w:name="_Ref491682076"/>
      <w:r w:rsidRPr="006874A6">
        <w:rPr>
          <w:rStyle w:val="Hyperlink"/>
          <w:rFonts w:cs="Times New Roman"/>
          <w:sz w:val="20"/>
          <w:szCs w:val="20"/>
        </w:rPr>
        <w:t>Support for roll forward analyses</w:t>
      </w:r>
      <w:bookmarkEnd w:id="60"/>
      <w:r w:rsidRPr="006874A6">
        <w:rPr>
          <w:rFonts w:cs="Times New Roman"/>
          <w:sz w:val="20"/>
          <w:szCs w:val="20"/>
        </w:rPr>
        <w:fldChar w:fldCharType="end"/>
      </w:r>
    </w:p>
    <w:bookmarkEnd w:id="59"/>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recognizes that the majority of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sufficient.</w:t>
      </w:r>
    </w:p>
    <w:p w14:paraId="25DEB075" w14:textId="77777777" w:rsidR="00E46E57" w:rsidRPr="006874A6" w:rsidRDefault="00E46E57" w:rsidP="00E3427E">
      <w:pPr>
        <w:pStyle w:val="NoSpacing"/>
        <w:ind w:left="720"/>
        <w:rPr>
          <w:rFonts w:cs="Times New Roman"/>
          <w:sz w:val="20"/>
          <w:szCs w:val="20"/>
        </w:rPr>
      </w:pPr>
    </w:p>
    <w:bookmarkStart w:id="61" w:name="AandB"/>
    <w:p w14:paraId="6B243E2F" w14:textId="77777777" w:rsidR="00E46E57" w:rsidRPr="006874A6" w:rsidRDefault="00E46E57" w:rsidP="00E3427E">
      <w:pPr>
        <w:pStyle w:val="NoSpacing"/>
        <w:numPr>
          <w:ilvl w:val="0"/>
          <w:numId w:val="6"/>
        </w:numPr>
        <w:rPr>
          <w:rFonts w:cs="Times New Roman"/>
          <w:sz w:val="20"/>
          <w:szCs w:val="20"/>
        </w:rPr>
      </w:pPr>
      <w:r w:rsidRPr="006874A6">
        <w:fldChar w:fldCharType="begin"/>
      </w:r>
      <w:r w:rsidRPr="006874A6">
        <w:rPr>
          <w:sz w:val="20"/>
          <w:szCs w:val="20"/>
        </w:rPr>
        <w:instrText xml:space="preserve"> HYPERLINK \l "aaaref_TOC" </w:instrText>
      </w:r>
      <w:r w:rsidRPr="006874A6">
        <w:fldChar w:fldCharType="separate"/>
      </w:r>
      <w:bookmarkStart w:id="62" w:name="_Ref491682081"/>
      <w:r w:rsidRPr="006874A6">
        <w:rPr>
          <w:rStyle w:val="Hyperlink"/>
          <w:rFonts w:cs="Times New Roman"/>
          <w:sz w:val="20"/>
          <w:szCs w:val="20"/>
        </w:rPr>
        <w:t>Exhibits A and B</w:t>
      </w:r>
      <w:bookmarkEnd w:id="62"/>
      <w:r w:rsidRPr="006874A6">
        <w:rPr>
          <w:rStyle w:val="Hyperlink"/>
          <w:rFonts w:cs="Times New Roman"/>
          <w:sz w:val="20"/>
          <w:szCs w:val="20"/>
        </w:rPr>
        <w:fldChar w:fldCharType="end"/>
      </w:r>
    </w:p>
    <w:bookmarkEnd w:id="61"/>
    <w:p w14:paraId="68728E6D" w14:textId="77777777" w:rsidR="00E46E57" w:rsidRPr="006874A6" w:rsidRDefault="00E46E57" w:rsidP="00E3427E">
      <w:pPr>
        <w:pStyle w:val="NoSpacing"/>
        <w:rPr>
          <w:rFonts w:cs="Times New Roman"/>
          <w:sz w:val="20"/>
          <w:szCs w:val="20"/>
        </w:rPr>
      </w:pPr>
    </w:p>
    <w:bookmarkStart w:id="63" w:name="DataCapture"/>
    <w:p w14:paraId="0DCEE775" w14:textId="77777777" w:rsidR="00E46E57" w:rsidRPr="006874A6" w:rsidRDefault="00E46E57" w:rsidP="00E3427E">
      <w:pPr>
        <w:pStyle w:val="NoSpacing"/>
        <w:numPr>
          <w:ilvl w:val="0"/>
          <w:numId w:val="1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64" w:name="_Ref491682086"/>
      <w:r w:rsidRPr="006874A6">
        <w:rPr>
          <w:rStyle w:val="Hyperlink"/>
          <w:rFonts w:cs="Times New Roman"/>
          <w:sz w:val="20"/>
          <w:szCs w:val="20"/>
        </w:rPr>
        <w:t>“Data capture format”</w:t>
      </w:r>
      <w:bookmarkEnd w:id="64"/>
      <w:r w:rsidRPr="006874A6">
        <w:rPr>
          <w:rFonts w:cs="Times New Roman"/>
          <w:sz w:val="20"/>
          <w:szCs w:val="20"/>
        </w:rPr>
        <w:fldChar w:fldCharType="end"/>
      </w:r>
    </w:p>
    <w:bookmarkEnd w:id="63"/>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bookmarkStart w:id="65" w:name="ScopeExhB12"/>
    <w:p w14:paraId="3ED180A9" w14:textId="77777777" w:rsidR="00E46E57" w:rsidRPr="006874A6" w:rsidRDefault="00E46E57" w:rsidP="00E3427E">
      <w:pPr>
        <w:pStyle w:val="NoSpacing"/>
        <w:numPr>
          <w:ilvl w:val="0"/>
          <w:numId w:val="1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66" w:name="_Ref491682097"/>
      <w:r w:rsidRPr="006874A6">
        <w:rPr>
          <w:rStyle w:val="Hyperlink"/>
          <w:rFonts w:cs="Times New Roman"/>
          <w:sz w:val="20"/>
          <w:szCs w:val="20"/>
        </w:rPr>
        <w:t>Scope of Exhibit B, Item 12</w:t>
      </w:r>
      <w:bookmarkEnd w:id="66"/>
      <w:r w:rsidRPr="006874A6">
        <w:rPr>
          <w:rFonts w:cs="Times New Roman"/>
          <w:sz w:val="20"/>
          <w:szCs w:val="20"/>
        </w:rPr>
        <w:fldChar w:fldCharType="end"/>
      </w:r>
    </w:p>
    <w:bookmarkEnd w:id="65"/>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bookmarkStart w:id="67" w:name="ScopeExhB13"/>
    <w:p w14:paraId="7FA74846" w14:textId="5E5C2B4D" w:rsidR="00E46E57" w:rsidRPr="006874A6" w:rsidRDefault="00E46E57" w:rsidP="00E3427E">
      <w:pPr>
        <w:pStyle w:val="NoSpacing"/>
        <w:numPr>
          <w:ilvl w:val="0"/>
          <w:numId w:val="12"/>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68" w:name="_Ref492387985"/>
      <w:r w:rsidRPr="006874A6">
        <w:rPr>
          <w:rStyle w:val="Hyperlink"/>
          <w:rFonts w:cs="Times New Roman"/>
          <w:sz w:val="20"/>
          <w:szCs w:val="20"/>
        </w:rPr>
        <w:t>Exhibit B, Item 13</w:t>
      </w:r>
      <w:bookmarkEnd w:id="68"/>
      <w:r w:rsidRPr="006874A6">
        <w:rPr>
          <w:rFonts w:cs="Times New Roman"/>
          <w:sz w:val="20"/>
          <w:szCs w:val="20"/>
        </w:rPr>
        <w:fldChar w:fldCharType="end"/>
      </w:r>
    </w:p>
    <w:bookmarkEnd w:id="67"/>
    <w:p w14:paraId="4F8CB3B8" w14:textId="77777777" w:rsidR="00E46E57" w:rsidRPr="006874A6" w:rsidRDefault="00E46E57" w:rsidP="00E3427E">
      <w:pPr>
        <w:pStyle w:val="NoSpacing"/>
        <w:ind w:left="720"/>
        <w:rPr>
          <w:rFonts w:cs="Times New Roman"/>
          <w:sz w:val="20"/>
          <w:szCs w:val="20"/>
        </w:rPr>
      </w:pPr>
    </w:p>
    <w:p w14:paraId="63D77149" w14:textId="77777777" w:rsidR="00CD4F43" w:rsidRPr="006874A6" w:rsidRDefault="006A2E97" w:rsidP="00E3427E">
      <w:pPr>
        <w:spacing w:line="240" w:lineRule="auto"/>
        <w:ind w:left="720"/>
        <w:jc w:val="both"/>
        <w:rPr>
          <w:sz w:val="20"/>
          <w:szCs w:val="20"/>
        </w:rPr>
      </w:pPr>
      <w:r w:rsidRPr="006874A6">
        <w:rPr>
          <w:sz w:val="20"/>
          <w:szCs w:val="20"/>
        </w:rPr>
        <w:t>Exhibit B, Item 13 is a newly-added disclosure item</w:t>
      </w:r>
      <w:r w:rsidR="00834110" w:rsidRPr="006874A6">
        <w:rPr>
          <w:sz w:val="20"/>
          <w:szCs w:val="20"/>
        </w:rPr>
        <w:t xml:space="preserve"> that requests information on reserves associated with “A&amp;H Long Duration Contracts,” now defined in the 2018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Pr="006874A6">
        <w:rPr>
          <w:sz w:val="20"/>
          <w:szCs w:val="20"/>
        </w:rPr>
        <w:t>.</w:t>
      </w:r>
      <w:r w:rsidR="00834110" w:rsidRPr="006874A6">
        <w:rPr>
          <w:sz w:val="20"/>
          <w:szCs w:val="20"/>
        </w:rPr>
        <w:t>”</w:t>
      </w:r>
      <w:r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071DBF">
      <w:pPr>
        <w:pStyle w:val="ListParagraph"/>
        <w:numPr>
          <w:ilvl w:val="0"/>
          <w:numId w:val="24"/>
        </w:numPr>
        <w:spacing w:line="240" w:lineRule="auto"/>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2E07D7">
      <w:pPr>
        <w:pStyle w:val="ListParagraph"/>
        <w:numPr>
          <w:ilvl w:val="1"/>
          <w:numId w:val="24"/>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50B5CDD6" w:rsidR="00071DBF" w:rsidRPr="006874A6" w:rsidRDefault="00071DBF" w:rsidP="00944857">
      <w:pPr>
        <w:pStyle w:val="ListParagraph"/>
        <w:numPr>
          <w:ilvl w:val="1"/>
          <w:numId w:val="24"/>
        </w:numPr>
        <w:spacing w:line="240" w:lineRule="auto"/>
        <w:jc w:val="both"/>
        <w:rP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xml:space="preserve">, which did not change for </w:t>
      </w:r>
      <w:r w:rsidRPr="006874A6">
        <w:rPr>
          <w:sz w:val="20"/>
          <w:szCs w:val="20"/>
        </w:rPr>
        <w:lastRenderedPageBreak/>
        <w:t>2018. The Appointed Actuary should also disclose all reserve amounts associated with A&amp;H Long Duration Contracts in the Actuarial Report.</w:t>
      </w:r>
    </w:p>
    <w:p w14:paraId="3C2A57C7" w14:textId="5DD6592F" w:rsidR="00CD4F43" w:rsidRPr="006874A6" w:rsidRDefault="00CD4F43" w:rsidP="00E3427E">
      <w:pPr>
        <w:pStyle w:val="ListParagraph"/>
        <w:numPr>
          <w:ilvl w:val="0"/>
          <w:numId w:val="24"/>
        </w:numPr>
        <w:spacing w:line="240" w:lineRule="auto"/>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 xml:space="preserve">requiring stand-alone asset adequacy analysis of long-term care (LTC) business. The effective date of AG </w:t>
      </w:r>
      <w:r w:rsidR="00B86254" w:rsidRPr="006874A6">
        <w:rPr>
          <w:sz w:val="20"/>
          <w:szCs w:val="20"/>
        </w:rPr>
        <w:t>51</w:t>
      </w:r>
      <w:r w:rsidRPr="006874A6">
        <w:rPr>
          <w:sz w:val="20"/>
          <w:szCs w:val="20"/>
        </w:rPr>
        <w:t xml:space="preserve"> is December 31, 2017</w:t>
      </w:r>
      <w:r w:rsidR="00B86254" w:rsidRPr="006874A6">
        <w:rPr>
          <w:sz w:val="20"/>
          <w:szCs w:val="20"/>
        </w:rPr>
        <w:t>, and it</w:t>
      </w:r>
      <w:r w:rsidRPr="006874A6">
        <w:rPr>
          <w:sz w:val="20"/>
          <w:szCs w:val="20"/>
        </w:rPr>
        <w:t xml:space="preserve"> applies to companies with over 10,000 inforce lives covered by LTC insurance contracts as of the valuation date.</w:t>
      </w:r>
      <w:r w:rsidR="002232C7" w:rsidRPr="006874A6">
        <w:rPr>
          <w:sz w:val="20"/>
          <w:szCs w:val="20"/>
        </w:rPr>
        <w:t xml:space="preserve"> </w:t>
      </w:r>
      <w:r w:rsidR="00C36198" w:rsidRPr="006874A6">
        <w:rPr>
          <w:sz w:val="20"/>
          <w:szCs w:val="20"/>
        </w:rPr>
        <w:t xml:space="preserve">The 2018 </w:t>
      </w:r>
      <w:r w:rsidR="00C36198" w:rsidRPr="006874A6">
        <w:rPr>
          <w:i/>
          <w:sz w:val="20"/>
          <w:szCs w:val="20"/>
        </w:rPr>
        <w:t>Instructions</w:t>
      </w:r>
      <w:r w:rsidR="00C36198" w:rsidRPr="006874A6">
        <w:rPr>
          <w:sz w:val="20"/>
          <w:szCs w:val="20"/>
        </w:rPr>
        <w:t xml:space="preserve"> state that the Actuari</w:t>
      </w:r>
      <w:bookmarkStart w:id="69" w:name="_GoBack"/>
      <w:bookmarkEnd w:id="69"/>
      <w:r w:rsidR="00C36198" w:rsidRPr="006874A6">
        <w:rPr>
          <w:sz w:val="20"/>
          <w:szCs w:val="20"/>
        </w:rPr>
        <w:t xml:space="preserve">al Report </w:t>
      </w:r>
      <w:r w:rsidR="00881A60" w:rsidRPr="006874A6">
        <w:rPr>
          <w:sz w:val="20"/>
          <w:szCs w:val="20"/>
        </w:rPr>
        <w:t xml:space="preserve">and </w:t>
      </w:r>
      <w:proofErr w:type="spellStart"/>
      <w:r w:rsidR="00881A60" w:rsidRPr="006874A6">
        <w:rPr>
          <w:sz w:val="20"/>
          <w:szCs w:val="20"/>
        </w:rPr>
        <w:t>workpapers</w:t>
      </w:r>
      <w:proofErr w:type="spellEnd"/>
      <w:r w:rsidR="00881A60" w:rsidRPr="006874A6">
        <w:rPr>
          <w:sz w:val="20"/>
          <w:szCs w:val="20"/>
        </w:rPr>
        <w:t xml:space="preserve"> </w:t>
      </w:r>
      <w:r w:rsidR="00C36198" w:rsidRPr="006874A6">
        <w:rPr>
          <w:sz w:val="20"/>
          <w:szCs w:val="20"/>
        </w:rPr>
        <w:t>summarizing the asset adequacy testing of LTC business must be in compliance with AG 51 requirements.</w:t>
      </w:r>
    </w:p>
    <w:p w14:paraId="340A3DC3" w14:textId="77777777" w:rsidR="000A504B" w:rsidRPr="006874A6" w:rsidRDefault="0052423B" w:rsidP="00E3427E">
      <w:pPr>
        <w:pStyle w:val="ListParagraph"/>
        <w:numPr>
          <w:ilvl w:val="0"/>
          <w:numId w:val="24"/>
        </w:numPr>
        <w:spacing w:line="240" w:lineRule="auto"/>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Regulators expect Appointed Actuaries to disclose company-specific risk factors in the Actuarial Opinion. Given the recent adverse experience for LTC 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24893B78" w:rsidR="00A61471" w:rsidRPr="006874A6" w:rsidRDefault="00442FA8" w:rsidP="00A61471">
      <w:pPr>
        <w:spacing w:line="240" w:lineRule="auto"/>
        <w:ind w:left="1080"/>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For example, 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a subset of the amount included on Exhibit A, Item 1, and Exhibit A lists amounts with respect to which the Appointed Actuary is expressing an opinion.</w:t>
      </w:r>
      <w:r w:rsidR="00535B51" w:rsidRPr="006874A6">
        <w:rPr>
          <w:sz w:val="20"/>
          <w:szCs w:val="20"/>
        </w:rPr>
        <w:t xml:space="preserve"> </w:t>
      </w:r>
    </w:p>
    <w:p w14:paraId="632006DD" w14:textId="163FF1E2" w:rsidR="00A61471" w:rsidRPr="006874A6" w:rsidRDefault="00442FA8" w:rsidP="00A61471">
      <w:pPr>
        <w:spacing w:line="240" w:lineRule="auto"/>
        <w:ind w:left="1080"/>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29B21917" w14:textId="77777777" w:rsidR="00D27A3B" w:rsidRPr="006874A6" w:rsidRDefault="00D27A3B" w:rsidP="00A61471">
      <w:pPr>
        <w:spacing w:line="240" w:lineRule="auto"/>
        <w:rPr>
          <w:sz w:val="20"/>
          <w:szCs w:val="20"/>
        </w:rPr>
      </w:pPr>
    </w:p>
    <w:bookmarkStart w:id="70" w:name="CommentsAOS"/>
    <w:p w14:paraId="77AD38D9" w14:textId="43E7B8F9" w:rsidR="00E46E57" w:rsidRPr="006874A6" w:rsidRDefault="00E46E57" w:rsidP="00E3427E">
      <w:pPr>
        <w:pStyle w:val="NoSpacing"/>
        <w:numPr>
          <w:ilvl w:val="0"/>
          <w:numId w:val="1"/>
        </w:numPr>
        <w:rPr>
          <w:rFonts w:cs="Times New Roman"/>
          <w:sz w:val="20"/>
          <w:szCs w:val="20"/>
        </w:rPr>
      </w:pPr>
      <w:r w:rsidRPr="006874A6">
        <w:fldChar w:fldCharType="begin"/>
      </w:r>
      <w:r w:rsidRPr="006874A6">
        <w:rPr>
          <w:sz w:val="20"/>
          <w:szCs w:val="20"/>
        </w:rPr>
        <w:instrText xml:space="preserve"> HYPERLINK \l "aaaref_TOC" </w:instrText>
      </w:r>
      <w:r w:rsidRPr="006874A6">
        <w:fldChar w:fldCharType="separate"/>
      </w:r>
      <w:bookmarkStart w:id="71" w:name="_Ref491682105"/>
      <w:r w:rsidRPr="006874A6">
        <w:rPr>
          <w:rStyle w:val="Hyperlink"/>
          <w:rFonts w:cs="Times New Roman"/>
          <w:sz w:val="20"/>
          <w:szCs w:val="20"/>
        </w:rPr>
        <w:t>Comments on A</w:t>
      </w:r>
      <w:r w:rsidR="00B663C7" w:rsidRPr="006874A6">
        <w:rPr>
          <w:rStyle w:val="Hyperlink"/>
          <w:rFonts w:cs="Times New Roman"/>
          <w:sz w:val="20"/>
          <w:szCs w:val="20"/>
        </w:rPr>
        <w:t>OS</w:t>
      </w:r>
      <w:bookmarkEnd w:id="71"/>
      <w:r w:rsidRPr="006874A6">
        <w:rPr>
          <w:rStyle w:val="Hyperlink"/>
          <w:rFonts w:cs="Times New Roman"/>
          <w:sz w:val="20"/>
          <w:szCs w:val="20"/>
        </w:rPr>
        <w:fldChar w:fldCharType="end"/>
      </w:r>
    </w:p>
    <w:bookmarkEnd w:id="70"/>
    <w:p w14:paraId="4B6AC954" w14:textId="77777777" w:rsidR="00E46E57" w:rsidRPr="006874A6" w:rsidRDefault="00E46E57" w:rsidP="00E3427E">
      <w:pPr>
        <w:pStyle w:val="NoSpacing"/>
        <w:ind w:left="360"/>
        <w:rPr>
          <w:rFonts w:cs="Times New Roman"/>
          <w:sz w:val="20"/>
          <w:szCs w:val="20"/>
        </w:rPr>
      </w:pPr>
    </w:p>
    <w:bookmarkStart w:id="72" w:name="Confidentiality"/>
    <w:p w14:paraId="5ABA75F4" w14:textId="77777777" w:rsidR="00E46E57" w:rsidRPr="006874A6" w:rsidRDefault="00E46E57" w:rsidP="00E3427E">
      <w:pPr>
        <w:pStyle w:val="NoSpacing"/>
        <w:numPr>
          <w:ilvl w:val="0"/>
          <w:numId w:val="13"/>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73" w:name="_Ref491682110"/>
      <w:r w:rsidRPr="006874A6">
        <w:rPr>
          <w:rStyle w:val="Hyperlink"/>
          <w:rFonts w:cs="Times New Roman"/>
          <w:sz w:val="20"/>
          <w:szCs w:val="20"/>
        </w:rPr>
        <w:t>Confidentiality</w:t>
      </w:r>
      <w:bookmarkEnd w:id="73"/>
      <w:r w:rsidRPr="006874A6">
        <w:rPr>
          <w:rFonts w:cs="Times New Roman"/>
          <w:sz w:val="20"/>
          <w:szCs w:val="20"/>
        </w:rPr>
        <w:fldChar w:fldCharType="end"/>
      </w:r>
    </w:p>
    <w:bookmarkEnd w:id="72"/>
    <w:p w14:paraId="3E4BF4B2" w14:textId="77777777" w:rsidR="00E46E57" w:rsidRPr="006874A6" w:rsidRDefault="00E46E57" w:rsidP="00E3427E">
      <w:pPr>
        <w:pStyle w:val="NoSpacing"/>
        <w:rPr>
          <w:rFonts w:cs="Times New Roman"/>
          <w:sz w:val="20"/>
          <w:szCs w:val="20"/>
        </w:rPr>
      </w:pPr>
    </w:p>
    <w:p w14:paraId="02F72F74"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5FE41FFF" w14:textId="77777777" w:rsidR="00E46E57" w:rsidRPr="006874A6" w:rsidRDefault="00E46E57" w:rsidP="00E3427E">
      <w:pPr>
        <w:pStyle w:val="NoSpacing"/>
        <w:ind w:left="360"/>
        <w:rPr>
          <w:rFonts w:cs="Times New Roman"/>
          <w:sz w:val="20"/>
          <w:szCs w:val="20"/>
        </w:rPr>
      </w:pPr>
    </w:p>
    <w:bookmarkStart w:id="74" w:name="StateDiffs"/>
    <w:p w14:paraId="4DAC75F2" w14:textId="77777777" w:rsidR="00E46E57" w:rsidRPr="006874A6" w:rsidRDefault="00E46E57" w:rsidP="00E3427E">
      <w:pPr>
        <w:pStyle w:val="NoSpacing"/>
        <w:numPr>
          <w:ilvl w:val="0"/>
          <w:numId w:val="13"/>
        </w:numPr>
        <w:rPr>
          <w:rFonts w:cs="Times New Roman"/>
          <w:sz w:val="20"/>
          <w:szCs w:val="20"/>
        </w:rPr>
      </w:pPr>
      <w:r w:rsidRPr="006874A6">
        <w:rPr>
          <w:rFonts w:cs="Times New Roman"/>
          <w:sz w:val="20"/>
          <w:szCs w:val="20"/>
        </w:rPr>
        <w:fldChar w:fldCharType="begin"/>
      </w:r>
      <w:r w:rsidRPr="006874A6">
        <w:rPr>
          <w:rFonts w:cs="Times New Roman"/>
          <w:sz w:val="20"/>
          <w:szCs w:val="20"/>
        </w:rPr>
        <w:instrText xml:space="preserve"> HYPERLINK  \l "aaaref_TOC" </w:instrText>
      </w:r>
      <w:r w:rsidRPr="006874A6">
        <w:rPr>
          <w:rFonts w:cs="Times New Roman"/>
          <w:sz w:val="20"/>
          <w:szCs w:val="20"/>
        </w:rPr>
        <w:fldChar w:fldCharType="separate"/>
      </w:r>
      <w:bookmarkStart w:id="75" w:name="_Ref491682115"/>
      <w:r w:rsidRPr="006874A6">
        <w:rPr>
          <w:rStyle w:val="Hyperlink"/>
          <w:rFonts w:cs="Times New Roman"/>
          <w:sz w:val="20"/>
          <w:szCs w:val="20"/>
        </w:rPr>
        <w:t>Different requirements by state</w:t>
      </w:r>
      <w:bookmarkEnd w:id="75"/>
      <w:r w:rsidRPr="006874A6">
        <w:rPr>
          <w:rFonts w:cs="Times New Roman"/>
          <w:sz w:val="20"/>
          <w:szCs w:val="20"/>
        </w:rPr>
        <w:fldChar w:fldCharType="end"/>
      </w:r>
    </w:p>
    <w:bookmarkEnd w:id="74"/>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14C15433" w14:textId="77777777" w:rsidR="00E46E57" w:rsidRPr="006874A6" w:rsidRDefault="00E46E57" w:rsidP="00E3427E">
      <w:pPr>
        <w:pStyle w:val="NoSpacing"/>
        <w:ind w:left="360"/>
        <w:rPr>
          <w:rFonts w:cs="Times New Roman"/>
          <w:sz w:val="20"/>
          <w:szCs w:val="20"/>
        </w:rPr>
      </w:pPr>
    </w:p>
    <w:p w14:paraId="373476EB" w14:textId="77777777" w:rsidR="004C0895" w:rsidRPr="006874A6" w:rsidRDefault="004C0895">
      <w:pPr>
        <w:spacing w:after="160" w:line="259" w:lineRule="auto"/>
        <w:rPr>
          <w:rStyle w:val="Hyperlink"/>
          <w:rFonts w:cs="Times New Roman"/>
          <w:sz w:val="20"/>
          <w:szCs w:val="20"/>
        </w:rPr>
      </w:pPr>
      <w:r w:rsidRPr="006874A6">
        <w:rPr>
          <w:rStyle w:val="Hyperlink"/>
          <w:rFonts w:cs="Times New Roman"/>
          <w:sz w:val="20"/>
          <w:szCs w:val="20"/>
        </w:rPr>
        <w:br w:type="page"/>
      </w:r>
    </w:p>
    <w:bookmarkStart w:id="76" w:name="Format"/>
    <w:p w14:paraId="57C7D27C" w14:textId="4DD31E0B" w:rsidR="00E46E57" w:rsidRPr="006874A6" w:rsidRDefault="00F612F2" w:rsidP="00E3427E">
      <w:pPr>
        <w:pStyle w:val="NoSpacing"/>
        <w:numPr>
          <w:ilvl w:val="0"/>
          <w:numId w:val="13"/>
        </w:numPr>
        <w:rPr>
          <w:rFonts w:cs="Times New Roman"/>
          <w:sz w:val="20"/>
          <w:szCs w:val="20"/>
        </w:rPr>
      </w:pPr>
      <w:r w:rsidRPr="006874A6">
        <w:rPr>
          <w:rStyle w:val="Hyperlink"/>
          <w:rFonts w:cs="Times New Roman"/>
          <w:sz w:val="20"/>
          <w:szCs w:val="20"/>
        </w:rPr>
        <w:lastRenderedPageBreak/>
        <w:fldChar w:fldCharType="begin"/>
      </w:r>
      <w:r w:rsidRPr="006874A6">
        <w:rPr>
          <w:rStyle w:val="Hyperlink"/>
          <w:rFonts w:cs="Times New Roman"/>
          <w:sz w:val="20"/>
          <w:szCs w:val="20"/>
        </w:rPr>
        <w:instrText xml:space="preserve"> HYPERLINK \l "aaaref_TOC" </w:instrText>
      </w:r>
      <w:r w:rsidRPr="006874A6">
        <w:rPr>
          <w:rStyle w:val="Hyperlink"/>
          <w:rFonts w:cs="Times New Roman"/>
          <w:sz w:val="20"/>
          <w:szCs w:val="20"/>
        </w:rPr>
        <w:fldChar w:fldCharType="separate"/>
      </w:r>
      <w:bookmarkStart w:id="77" w:name="_Ref491682121"/>
      <w:r w:rsidR="00E46E57" w:rsidRPr="006874A6">
        <w:rPr>
          <w:rStyle w:val="Hyperlink"/>
          <w:rFonts w:cs="Times New Roman"/>
          <w:sz w:val="20"/>
          <w:szCs w:val="20"/>
        </w:rPr>
        <w:t>Format</w:t>
      </w:r>
      <w:bookmarkEnd w:id="77"/>
      <w:r w:rsidRPr="006874A6">
        <w:rPr>
          <w:rStyle w:val="Hyperlink"/>
          <w:rFonts w:cs="Times New Roman"/>
          <w:sz w:val="20"/>
          <w:szCs w:val="20"/>
        </w:rPr>
        <w:fldChar w:fldCharType="end"/>
      </w:r>
    </w:p>
    <w:bookmarkEnd w:id="76"/>
    <w:p w14:paraId="27E2D476" w14:textId="77777777" w:rsidR="00E46E57" w:rsidRPr="006874A6" w:rsidRDefault="00E46E57" w:rsidP="00E3427E">
      <w:pPr>
        <w:pStyle w:val="NoSpacing"/>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purpose of the AOS is to show a comparison between the </w:t>
      </w:r>
      <w:proofErr w:type="gramStart"/>
      <w:r w:rsidRPr="006874A6">
        <w:rPr>
          <w:rFonts w:cs="Times New Roman"/>
          <w:sz w:val="20"/>
          <w:szCs w:val="20"/>
        </w:rPr>
        <w:t>company’s</w:t>
      </w:r>
      <w:proofErr w:type="gramEnd"/>
      <w:r w:rsidRPr="006874A6">
        <w:rPr>
          <w:rFonts w:cs="Times New Roman"/>
          <w:sz w:val="20"/>
          <w:szCs w:val="20"/>
        </w:rPr>
        <w:t xml:space="preserve"> carried reserves and the Appointed Actuary’s estimates. Because the AOS is a synopsis of the conclusions drawn in the Actuarial Report, the content of the AOS should reflect the analysis performed by the Appointed Actuary. Therefore, all of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02D87AA8" w14:textId="24057A91" w:rsidR="00E46E57" w:rsidRPr="006874A6" w:rsidRDefault="00E46E57" w:rsidP="00E3427E">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13BD9A2" w14:textId="77777777" w:rsidR="00146F13" w:rsidRPr="006874A6" w:rsidRDefault="00146F13" w:rsidP="00E3427E">
      <w:pPr>
        <w:pStyle w:val="NoSpacing"/>
        <w:ind w:left="360"/>
        <w:jc w:val="both"/>
        <w:rPr>
          <w:rFonts w:cs="Times New Roman"/>
          <w:sz w:val="20"/>
          <w:szCs w:val="20"/>
        </w:rPr>
      </w:pPr>
    </w:p>
    <w:p w14:paraId="3B19E079" w14:textId="33DEA065" w:rsidR="006B3018" w:rsidRPr="006874A6" w:rsidRDefault="000E5F16" w:rsidP="000E5F16">
      <w:pPr>
        <w:spacing w:line="240" w:lineRule="auto"/>
        <w:ind w:left="360" w:hanging="720"/>
        <w:rPr>
          <w:rStyle w:val="Hyperlink"/>
          <w:sz w:val="20"/>
          <w:szCs w:val="20"/>
        </w:rPr>
      </w:pPr>
      <w:bookmarkStart w:id="78" w:name="AG51"/>
      <w:r w:rsidRPr="006874A6">
        <w:rPr>
          <w:sz w:val="20"/>
          <w:szCs w:val="20"/>
        </w:rPr>
        <w:t xml:space="preserve">IV. </w:t>
      </w:r>
      <w:r w:rsidRPr="006874A6">
        <w:rPr>
          <w:sz w:val="20"/>
          <w:szCs w:val="20"/>
        </w:rPr>
        <w:tab/>
      </w:r>
      <w:hyperlink w:anchor="aaaref_TOC" w:history="1">
        <w:r w:rsidRPr="006874A6">
          <w:rPr>
            <w:rStyle w:val="Hyperlink"/>
            <w:sz w:val="20"/>
            <w:szCs w:val="20"/>
          </w:rPr>
          <w:t>AG 51</w:t>
        </w:r>
        <w:bookmarkEnd w:id="78"/>
      </w:hyperlink>
    </w:p>
    <w:p w14:paraId="15530F4E" w14:textId="5A8F98A1" w:rsidR="0017450F" w:rsidRPr="006874A6" w:rsidRDefault="0017450F" w:rsidP="0017450F">
      <w:pPr>
        <w:spacing w:after="160" w:line="259" w:lineRule="auto"/>
        <w:ind w:left="360"/>
        <w:rPr>
          <w:rStyle w:val="Hyperlink"/>
          <w:color w:val="auto"/>
          <w:sz w:val="20"/>
          <w:szCs w:val="20"/>
          <w:u w:val="none"/>
        </w:rPr>
      </w:pPr>
      <w:r w:rsidRPr="006874A6">
        <w:rPr>
          <w:rStyle w:val="Hyperlink"/>
          <w:color w:val="auto"/>
          <w:sz w:val="20"/>
          <w:szCs w:val="20"/>
          <w:u w:val="none"/>
        </w:rPr>
        <w:t>Included with permission, the following is the content of AG 51:</w:t>
      </w:r>
    </w:p>
    <w:p w14:paraId="6A35BE2F" w14:textId="77777777" w:rsidR="006B3018" w:rsidRPr="006874A6" w:rsidRDefault="006B3018" w:rsidP="006B3018">
      <w:pPr>
        <w:autoSpaceDE w:val="0"/>
        <w:autoSpaceDN w:val="0"/>
        <w:adjustRightInd w:val="0"/>
        <w:spacing w:after="0" w:line="240" w:lineRule="auto"/>
        <w:jc w:val="center"/>
        <w:rPr>
          <w:rFonts w:cs="Times New Roman"/>
          <w:b/>
          <w:bCs/>
          <w:sz w:val="20"/>
          <w:szCs w:val="20"/>
        </w:rPr>
      </w:pPr>
      <w:r w:rsidRPr="006874A6">
        <w:rPr>
          <w:rFonts w:cs="Times New Roman"/>
          <w:b/>
          <w:bCs/>
          <w:sz w:val="20"/>
          <w:szCs w:val="20"/>
        </w:rPr>
        <w:t>Actuarial Guideline LI</w:t>
      </w:r>
    </w:p>
    <w:p w14:paraId="2ACDF6FA" w14:textId="77777777" w:rsidR="006B3018" w:rsidRPr="006874A6" w:rsidRDefault="006B3018" w:rsidP="006B3018">
      <w:pPr>
        <w:autoSpaceDE w:val="0"/>
        <w:autoSpaceDN w:val="0"/>
        <w:adjustRightInd w:val="0"/>
        <w:spacing w:after="0" w:line="240" w:lineRule="auto"/>
        <w:jc w:val="center"/>
        <w:rPr>
          <w:rFonts w:cs="Times New Roman"/>
          <w:b/>
          <w:bCs/>
          <w:sz w:val="20"/>
          <w:szCs w:val="20"/>
        </w:rPr>
      </w:pPr>
      <w:r w:rsidRPr="006874A6">
        <w:rPr>
          <w:rFonts w:cs="Times New Roman"/>
          <w:b/>
          <w:bCs/>
          <w:sz w:val="20"/>
          <w:szCs w:val="20"/>
        </w:rPr>
        <w:t>THE APPLICATION OF ASSET ADEQUACY TESTING TO LONG-TERM CARE</w:t>
      </w:r>
    </w:p>
    <w:p w14:paraId="3A88AFDC" w14:textId="77777777" w:rsidR="006B3018" w:rsidRPr="006874A6" w:rsidRDefault="006B3018" w:rsidP="006B3018">
      <w:pPr>
        <w:autoSpaceDE w:val="0"/>
        <w:autoSpaceDN w:val="0"/>
        <w:adjustRightInd w:val="0"/>
        <w:spacing w:after="0" w:line="240" w:lineRule="auto"/>
        <w:jc w:val="center"/>
        <w:rPr>
          <w:rFonts w:cs="Times New Roman"/>
          <w:b/>
          <w:bCs/>
          <w:sz w:val="20"/>
          <w:szCs w:val="20"/>
        </w:rPr>
      </w:pPr>
      <w:r w:rsidRPr="006874A6">
        <w:rPr>
          <w:rFonts w:cs="Times New Roman"/>
          <w:b/>
          <w:bCs/>
          <w:sz w:val="20"/>
          <w:szCs w:val="20"/>
        </w:rPr>
        <w:t>INSURANCE RESERVES</w:t>
      </w:r>
    </w:p>
    <w:p w14:paraId="79B254A4" w14:textId="77777777" w:rsidR="006B3018" w:rsidRPr="006874A6" w:rsidRDefault="006B3018" w:rsidP="006B3018">
      <w:pPr>
        <w:autoSpaceDE w:val="0"/>
        <w:autoSpaceDN w:val="0"/>
        <w:adjustRightInd w:val="0"/>
        <w:spacing w:after="0" w:line="240" w:lineRule="auto"/>
        <w:rPr>
          <w:rFonts w:cs="Times New Roman"/>
          <w:b/>
          <w:bCs/>
          <w:sz w:val="20"/>
          <w:szCs w:val="20"/>
        </w:rPr>
      </w:pPr>
    </w:p>
    <w:p w14:paraId="28CF5900" w14:textId="77777777" w:rsidR="006B3018" w:rsidRPr="006874A6" w:rsidRDefault="006B3018" w:rsidP="006B3018">
      <w:pPr>
        <w:autoSpaceDE w:val="0"/>
        <w:autoSpaceDN w:val="0"/>
        <w:adjustRightInd w:val="0"/>
        <w:spacing w:after="0" w:line="240" w:lineRule="auto"/>
        <w:rPr>
          <w:rFonts w:cs="Times New Roman"/>
          <w:b/>
          <w:bCs/>
          <w:sz w:val="20"/>
          <w:szCs w:val="20"/>
        </w:rPr>
      </w:pPr>
      <w:r w:rsidRPr="006874A6">
        <w:rPr>
          <w:rFonts w:cs="Times New Roman"/>
          <w:b/>
          <w:bCs/>
          <w:sz w:val="20"/>
          <w:szCs w:val="20"/>
        </w:rPr>
        <w:t>Background</w:t>
      </w:r>
    </w:p>
    <w:p w14:paraId="046A9961" w14:textId="77777777" w:rsidR="006B3018" w:rsidRPr="006874A6" w:rsidRDefault="006B3018" w:rsidP="006B3018">
      <w:pPr>
        <w:autoSpaceDE w:val="0"/>
        <w:autoSpaceDN w:val="0"/>
        <w:adjustRightInd w:val="0"/>
        <w:spacing w:after="0" w:line="240" w:lineRule="auto"/>
        <w:rPr>
          <w:rFonts w:cs="Times New Roman"/>
          <w:sz w:val="20"/>
          <w:szCs w:val="20"/>
        </w:rPr>
      </w:pPr>
    </w:p>
    <w:p w14:paraId="12E98BBF" w14:textId="7B4BFA79" w:rsidR="006B3018" w:rsidRPr="006874A6" w:rsidRDefault="006B3018" w:rsidP="006B3018">
      <w:pPr>
        <w:autoSpaceDE w:val="0"/>
        <w:autoSpaceDN w:val="0"/>
        <w:adjustRightInd w:val="0"/>
        <w:spacing w:after="0" w:line="240" w:lineRule="auto"/>
        <w:jc w:val="both"/>
        <w:rPr>
          <w:rFonts w:cs="Times New Roman"/>
          <w:sz w:val="20"/>
          <w:szCs w:val="20"/>
        </w:rPr>
      </w:pPr>
      <w:r w:rsidRPr="006874A6">
        <w:rPr>
          <w:rFonts w:cs="Times New Roman"/>
          <w:sz w:val="20"/>
          <w:szCs w:val="20"/>
        </w:rPr>
        <w:t xml:space="preserve">The </w:t>
      </w:r>
      <w:r w:rsidRPr="006874A6">
        <w:rPr>
          <w:rFonts w:cs="Times New Roman"/>
          <w:i/>
          <w:iCs/>
          <w:sz w:val="20"/>
          <w:szCs w:val="20"/>
        </w:rPr>
        <w:t xml:space="preserve">Health Insurance Reserves Model Regulation (#010) </w:t>
      </w:r>
      <w:r w:rsidRPr="006874A6">
        <w:rPr>
          <w:rFonts w:cs="Times New Roman"/>
          <w:sz w:val="20"/>
          <w:szCs w:val="20"/>
        </w:rPr>
        <w:t xml:space="preserve">and the </w:t>
      </w:r>
      <w:r w:rsidRPr="006874A6">
        <w:rPr>
          <w:rFonts w:cs="Times New Roman"/>
          <w:i/>
          <w:iCs/>
          <w:sz w:val="20"/>
          <w:szCs w:val="20"/>
        </w:rPr>
        <w:t xml:space="preserve">NAIC Valuation Manual (VM-25) </w:t>
      </w:r>
      <w:r w:rsidRPr="006874A6">
        <w:rPr>
          <w:rFonts w:cs="Times New Roman"/>
          <w:sz w:val="20"/>
          <w:szCs w:val="20"/>
        </w:rPr>
        <w:t xml:space="preserve">contain requirements for the calculation of long-term care insurance (LTC) reserves. Regulators have observed a lack of uniform practice in the implementation of tests of reserve adequacy and reasonableness of LTC reserves. The reserve adequacy testing required by Model #10 and VM-25 does not provide regulators comfort as to the reserve adequacy of companies with material blocks of LTC business. As such, regulators must rely upon asset adequacy analysis required by the </w:t>
      </w:r>
      <w:r w:rsidRPr="006874A6">
        <w:rPr>
          <w:rFonts w:cs="Times New Roman"/>
          <w:i/>
          <w:iCs/>
          <w:sz w:val="20"/>
          <w:szCs w:val="20"/>
        </w:rPr>
        <w:t xml:space="preserve">NAIC Valuation Manual </w:t>
      </w:r>
      <w:r w:rsidRPr="006874A6">
        <w:rPr>
          <w:rFonts w:cs="Times New Roman"/>
          <w:sz w:val="20"/>
          <w:szCs w:val="20"/>
        </w:rPr>
        <w:t>(</w:t>
      </w:r>
      <w:r w:rsidRPr="006874A6">
        <w:rPr>
          <w:rFonts w:cs="Times New Roman"/>
          <w:i/>
          <w:iCs/>
          <w:sz w:val="20"/>
          <w:szCs w:val="20"/>
        </w:rPr>
        <w:t>VM-30</w:t>
      </w:r>
      <w:r w:rsidRPr="006874A6">
        <w:rPr>
          <w:rFonts w:cs="Times New Roman"/>
          <w:sz w:val="20"/>
          <w:szCs w:val="20"/>
        </w:rPr>
        <w:t>) to evaluate the solvency position of companies with sizable blocks of LTC business. This Guideline is intended to provide uniform guidance and clarification of requirements for the appropriate support of certain assumptions for the asset adequacy testing applied to a company’s LTC block of contracts. In particular, this Guideline:</w:t>
      </w:r>
    </w:p>
    <w:p w14:paraId="2CD4F0DD" w14:textId="77777777" w:rsidR="006B3018" w:rsidRPr="006874A6" w:rsidRDefault="006B3018" w:rsidP="006B3018">
      <w:pPr>
        <w:autoSpaceDE w:val="0"/>
        <w:autoSpaceDN w:val="0"/>
        <w:adjustRightInd w:val="0"/>
        <w:spacing w:after="0" w:line="240" w:lineRule="auto"/>
        <w:jc w:val="both"/>
        <w:rPr>
          <w:rFonts w:cs="Times New Roman"/>
          <w:sz w:val="20"/>
          <w:szCs w:val="20"/>
        </w:rPr>
      </w:pPr>
    </w:p>
    <w:p w14:paraId="0DC714CB" w14:textId="3217A6E9"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r w:rsidRPr="006874A6">
        <w:rPr>
          <w:rFonts w:cs="Times New Roman"/>
          <w:sz w:val="20"/>
          <w:szCs w:val="20"/>
        </w:rPr>
        <w:t xml:space="preserve">(1) </w:t>
      </w:r>
      <w:r w:rsidRPr="006874A6">
        <w:rPr>
          <w:rFonts w:cs="Times New Roman"/>
          <w:sz w:val="20"/>
          <w:szCs w:val="20"/>
        </w:rPr>
        <w:tab/>
        <w:t>Specifies that the appropriate form of asset adequacy analysis may be in the form of a gross premium valuation or in a more robust form, such as cash-flow testing, with Actuarial Standards of Practice providing guidance in this area;</w:t>
      </w:r>
    </w:p>
    <w:p w14:paraId="0B1C435B" w14:textId="77777777"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p>
    <w:p w14:paraId="18F90189" w14:textId="506B0406"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r w:rsidRPr="006874A6">
        <w:rPr>
          <w:rFonts w:cs="Times New Roman"/>
          <w:sz w:val="20"/>
          <w:szCs w:val="20"/>
        </w:rPr>
        <w:t xml:space="preserve">(2) </w:t>
      </w:r>
      <w:r w:rsidRPr="006874A6">
        <w:rPr>
          <w:rFonts w:cs="Times New Roman"/>
          <w:sz w:val="20"/>
          <w:szCs w:val="20"/>
        </w:rPr>
        <w:tab/>
        <w:t>Clarifies the type of adequacy testing methods that must be used for aggregation with other blocks of business to be allowed for asset adequacy analysis purposes;</w:t>
      </w:r>
    </w:p>
    <w:p w14:paraId="5650B015" w14:textId="77777777"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p>
    <w:p w14:paraId="161AEFB3" w14:textId="209F9B45"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r w:rsidRPr="006874A6">
        <w:rPr>
          <w:rFonts w:cs="Times New Roman"/>
          <w:sz w:val="20"/>
          <w:szCs w:val="20"/>
        </w:rPr>
        <w:t>(3)</w:t>
      </w:r>
      <w:r w:rsidRPr="006874A6">
        <w:rPr>
          <w:rFonts w:cs="Times New Roman"/>
          <w:sz w:val="20"/>
          <w:szCs w:val="20"/>
        </w:rPr>
        <w:tab/>
        <w:t>Requires a uniform approach to supporting acceptable assumptions regarding future LTC premium rate increases;</w:t>
      </w:r>
    </w:p>
    <w:p w14:paraId="707FEE0B" w14:textId="77777777"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p>
    <w:p w14:paraId="64C4BDDC" w14:textId="19F9C756"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r w:rsidRPr="006874A6">
        <w:rPr>
          <w:rFonts w:cs="Times New Roman"/>
          <w:sz w:val="20"/>
          <w:szCs w:val="20"/>
        </w:rPr>
        <w:t xml:space="preserve">(4) </w:t>
      </w:r>
      <w:r w:rsidRPr="006874A6">
        <w:rPr>
          <w:rFonts w:cs="Times New Roman"/>
          <w:sz w:val="20"/>
          <w:szCs w:val="20"/>
        </w:rPr>
        <w:tab/>
        <w:t>Provides requirements for documentation of assumptions associated with all key LTC risks; and</w:t>
      </w:r>
    </w:p>
    <w:p w14:paraId="76DC02B8" w14:textId="77777777"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p>
    <w:p w14:paraId="2E231F79" w14:textId="1E6100E4" w:rsidR="006B3018" w:rsidRPr="006874A6" w:rsidRDefault="006B3018" w:rsidP="00910E58">
      <w:pPr>
        <w:autoSpaceDE w:val="0"/>
        <w:autoSpaceDN w:val="0"/>
        <w:adjustRightInd w:val="0"/>
        <w:spacing w:after="0" w:line="240" w:lineRule="auto"/>
        <w:ind w:left="1440" w:hanging="720"/>
        <w:jc w:val="both"/>
        <w:rPr>
          <w:rFonts w:cs="Times New Roman"/>
          <w:sz w:val="20"/>
          <w:szCs w:val="20"/>
        </w:rPr>
      </w:pPr>
      <w:r w:rsidRPr="006874A6">
        <w:rPr>
          <w:rFonts w:cs="Times New Roman"/>
          <w:sz w:val="20"/>
          <w:szCs w:val="20"/>
        </w:rPr>
        <w:t xml:space="preserve">(5) </w:t>
      </w:r>
      <w:r w:rsidRPr="006874A6">
        <w:rPr>
          <w:rFonts w:cs="Times New Roman"/>
          <w:sz w:val="20"/>
          <w:szCs w:val="20"/>
        </w:rPr>
        <w:tab/>
        <w:t>Provides requirements for documentation of standalone LTC asset adequacy testing results.</w:t>
      </w:r>
    </w:p>
    <w:p w14:paraId="254A43B0" w14:textId="77777777" w:rsidR="006B3018" w:rsidRPr="006874A6" w:rsidRDefault="006B3018" w:rsidP="0017450F">
      <w:pPr>
        <w:autoSpaceDE w:val="0"/>
        <w:autoSpaceDN w:val="0"/>
        <w:adjustRightInd w:val="0"/>
        <w:spacing w:after="0" w:line="240" w:lineRule="auto"/>
        <w:ind w:left="1440" w:hanging="720"/>
        <w:jc w:val="both"/>
        <w:rPr>
          <w:rFonts w:cs="Times New Roman"/>
          <w:sz w:val="20"/>
          <w:szCs w:val="20"/>
        </w:rPr>
      </w:pPr>
    </w:p>
    <w:p w14:paraId="20AE2B60" w14:textId="0B929632" w:rsidR="006B3018" w:rsidRPr="0017450F" w:rsidRDefault="006B3018" w:rsidP="006B3018">
      <w:pPr>
        <w:autoSpaceDE w:val="0"/>
        <w:autoSpaceDN w:val="0"/>
        <w:adjustRightInd w:val="0"/>
        <w:spacing w:after="0" w:line="240" w:lineRule="auto"/>
        <w:jc w:val="both"/>
        <w:rPr>
          <w:rFonts w:cs="Times New Roman"/>
          <w:sz w:val="20"/>
          <w:szCs w:val="20"/>
        </w:rPr>
      </w:pPr>
      <w:r w:rsidRPr="006874A6">
        <w:rPr>
          <w:rFonts w:cs="Times New Roman"/>
          <w:sz w:val="20"/>
          <w:szCs w:val="20"/>
        </w:rPr>
        <w:t xml:space="preserve">Note: It is anticipated that the requirements contained in this Guideline will be incorporated into the </w:t>
      </w:r>
      <w:r w:rsidRPr="006874A6">
        <w:rPr>
          <w:rFonts w:cs="Times New Roman"/>
          <w:i/>
          <w:iCs/>
          <w:sz w:val="20"/>
          <w:szCs w:val="20"/>
        </w:rPr>
        <w:t xml:space="preserve">NAIC Valuation Manual </w:t>
      </w:r>
      <w:r w:rsidRPr="006874A6">
        <w:rPr>
          <w:rFonts w:cs="Times New Roman"/>
          <w:sz w:val="20"/>
          <w:szCs w:val="20"/>
        </w:rPr>
        <w:t>(VM-30) at a future date, effective for a future valuation year. This Guideline will cease to apply to annual statutory financial statements at the time the corresponding VM-30 requirements become effective.</w:t>
      </w:r>
    </w:p>
    <w:p w14:paraId="1198B915" w14:textId="77777777" w:rsidR="006B3018" w:rsidRPr="0017450F" w:rsidRDefault="006B3018" w:rsidP="006B3018">
      <w:pPr>
        <w:autoSpaceDE w:val="0"/>
        <w:autoSpaceDN w:val="0"/>
        <w:adjustRightInd w:val="0"/>
        <w:spacing w:after="0" w:line="240" w:lineRule="auto"/>
        <w:jc w:val="both"/>
        <w:rPr>
          <w:rFonts w:cs="Times New Roman"/>
          <w:b/>
          <w:bCs/>
          <w:sz w:val="20"/>
          <w:szCs w:val="20"/>
        </w:rPr>
      </w:pPr>
    </w:p>
    <w:p w14:paraId="21FDC1DF" w14:textId="77777777" w:rsidR="00910E58" w:rsidRDefault="00910E58">
      <w:pPr>
        <w:spacing w:after="160" w:line="259" w:lineRule="auto"/>
        <w:rPr>
          <w:rFonts w:cs="Times New Roman"/>
          <w:b/>
          <w:bCs/>
          <w:sz w:val="20"/>
          <w:szCs w:val="20"/>
        </w:rPr>
      </w:pPr>
      <w:r>
        <w:rPr>
          <w:rFonts w:cs="Times New Roman"/>
          <w:b/>
          <w:bCs/>
          <w:sz w:val="20"/>
          <w:szCs w:val="20"/>
        </w:rPr>
        <w:br w:type="page"/>
      </w:r>
    </w:p>
    <w:p w14:paraId="54C2BE31" w14:textId="2BA45111" w:rsidR="006B3018" w:rsidRPr="0017450F" w:rsidRDefault="006B3018" w:rsidP="006B3018">
      <w:pPr>
        <w:autoSpaceDE w:val="0"/>
        <w:autoSpaceDN w:val="0"/>
        <w:adjustRightInd w:val="0"/>
        <w:spacing w:after="0" w:line="240" w:lineRule="auto"/>
        <w:jc w:val="both"/>
        <w:rPr>
          <w:rFonts w:cs="Times New Roman"/>
          <w:b/>
          <w:bCs/>
          <w:sz w:val="20"/>
          <w:szCs w:val="20"/>
        </w:rPr>
      </w:pPr>
      <w:r w:rsidRPr="0017450F">
        <w:rPr>
          <w:rFonts w:cs="Times New Roman"/>
          <w:b/>
          <w:bCs/>
          <w:sz w:val="20"/>
          <w:szCs w:val="20"/>
        </w:rPr>
        <w:lastRenderedPageBreak/>
        <w:t>Text</w:t>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Pr>
          <w:rFonts w:cs="Times New Roman"/>
          <w:b/>
          <w:bCs/>
          <w:sz w:val="20"/>
          <w:szCs w:val="20"/>
        </w:rPr>
        <w:tab/>
      </w:r>
      <w:r w:rsidR="00910E58" w:rsidRPr="00910E58">
        <w:rPr>
          <w:rStyle w:val="Hyperlink"/>
          <w:b/>
          <w:color w:val="auto"/>
          <w:sz w:val="20"/>
          <w:szCs w:val="20"/>
          <w:u w:val="none"/>
        </w:rPr>
        <w:t>AG 51</w:t>
      </w:r>
    </w:p>
    <w:p w14:paraId="2B0127F5" w14:textId="77777777" w:rsidR="006B3018" w:rsidRPr="0017450F" w:rsidRDefault="006B3018" w:rsidP="006B3018">
      <w:pPr>
        <w:autoSpaceDE w:val="0"/>
        <w:autoSpaceDN w:val="0"/>
        <w:adjustRightInd w:val="0"/>
        <w:spacing w:after="0" w:line="240" w:lineRule="auto"/>
        <w:jc w:val="both"/>
        <w:rPr>
          <w:rFonts w:cs="Times New Roman"/>
          <w:sz w:val="20"/>
          <w:szCs w:val="20"/>
        </w:rPr>
      </w:pPr>
    </w:p>
    <w:p w14:paraId="4E07401B" w14:textId="3040C692" w:rsidR="006B3018" w:rsidRPr="0017450F" w:rsidRDefault="006B3018" w:rsidP="006B3018">
      <w:pPr>
        <w:autoSpaceDE w:val="0"/>
        <w:autoSpaceDN w:val="0"/>
        <w:adjustRightInd w:val="0"/>
        <w:spacing w:after="0" w:line="240" w:lineRule="auto"/>
        <w:ind w:left="540" w:hanging="540"/>
        <w:jc w:val="both"/>
        <w:rPr>
          <w:rFonts w:cs="Times New Roman"/>
          <w:b/>
          <w:bCs/>
          <w:sz w:val="20"/>
          <w:szCs w:val="20"/>
        </w:rPr>
      </w:pPr>
      <w:r w:rsidRPr="0017450F">
        <w:rPr>
          <w:rFonts w:cs="Times New Roman"/>
          <w:sz w:val="20"/>
          <w:szCs w:val="20"/>
        </w:rPr>
        <w:t xml:space="preserve">1. </w:t>
      </w:r>
      <w:r w:rsidRPr="0017450F">
        <w:rPr>
          <w:rFonts w:cs="Times New Roman"/>
          <w:sz w:val="20"/>
          <w:szCs w:val="20"/>
        </w:rPr>
        <w:tab/>
      </w:r>
      <w:r w:rsidRPr="0017450F">
        <w:rPr>
          <w:rFonts w:cs="Times New Roman"/>
          <w:b/>
          <w:bCs/>
          <w:sz w:val="20"/>
          <w:szCs w:val="20"/>
        </w:rPr>
        <w:t>Effective Date</w:t>
      </w:r>
    </w:p>
    <w:p w14:paraId="71614E3E" w14:textId="77777777" w:rsidR="006B3018" w:rsidRPr="0017450F" w:rsidRDefault="006B3018" w:rsidP="006B3018">
      <w:pPr>
        <w:autoSpaceDE w:val="0"/>
        <w:autoSpaceDN w:val="0"/>
        <w:adjustRightInd w:val="0"/>
        <w:spacing w:after="0" w:line="240" w:lineRule="auto"/>
        <w:jc w:val="both"/>
        <w:rPr>
          <w:rFonts w:cs="Times New Roman"/>
          <w:sz w:val="20"/>
          <w:szCs w:val="20"/>
        </w:rPr>
      </w:pPr>
    </w:p>
    <w:p w14:paraId="52040E49" w14:textId="4D79657E" w:rsidR="006B3018" w:rsidRPr="0017450F" w:rsidRDefault="006B3018" w:rsidP="006B693D">
      <w:pPr>
        <w:autoSpaceDE w:val="0"/>
        <w:autoSpaceDN w:val="0"/>
        <w:adjustRightInd w:val="0"/>
        <w:spacing w:after="0" w:line="240" w:lineRule="auto"/>
        <w:ind w:left="540"/>
        <w:jc w:val="both"/>
        <w:rPr>
          <w:rFonts w:cs="Times New Roman"/>
          <w:sz w:val="20"/>
          <w:szCs w:val="20"/>
        </w:rPr>
      </w:pPr>
      <w:r w:rsidRPr="0017450F">
        <w:rPr>
          <w:rFonts w:cs="Times New Roman"/>
          <w:sz w:val="20"/>
          <w:szCs w:val="20"/>
        </w:rPr>
        <w:t>This Guideline shall be effective for reserves reported with the December 31, 2017, and subsequent annual statutory financial statements.</w:t>
      </w:r>
    </w:p>
    <w:p w14:paraId="6666A6DC" w14:textId="77777777" w:rsidR="006B3018" w:rsidRPr="0017450F" w:rsidRDefault="006B3018" w:rsidP="006B3018">
      <w:pPr>
        <w:autoSpaceDE w:val="0"/>
        <w:autoSpaceDN w:val="0"/>
        <w:adjustRightInd w:val="0"/>
        <w:spacing w:after="0" w:line="240" w:lineRule="auto"/>
        <w:jc w:val="both"/>
        <w:rPr>
          <w:rFonts w:cs="Times New Roman"/>
          <w:sz w:val="20"/>
          <w:szCs w:val="20"/>
        </w:rPr>
      </w:pPr>
    </w:p>
    <w:p w14:paraId="00A4D8B8" w14:textId="400EACA0" w:rsidR="006B3018" w:rsidRPr="0017450F" w:rsidRDefault="006B3018" w:rsidP="006B3018">
      <w:pPr>
        <w:autoSpaceDE w:val="0"/>
        <w:autoSpaceDN w:val="0"/>
        <w:adjustRightInd w:val="0"/>
        <w:spacing w:after="0" w:line="240" w:lineRule="auto"/>
        <w:ind w:left="540" w:hanging="540"/>
        <w:jc w:val="both"/>
        <w:rPr>
          <w:rFonts w:cs="Times New Roman"/>
          <w:b/>
          <w:bCs/>
          <w:sz w:val="20"/>
          <w:szCs w:val="20"/>
        </w:rPr>
      </w:pPr>
      <w:r w:rsidRPr="0017450F">
        <w:rPr>
          <w:rFonts w:cs="Times New Roman"/>
          <w:sz w:val="20"/>
          <w:szCs w:val="20"/>
        </w:rPr>
        <w:t xml:space="preserve">2. </w:t>
      </w:r>
      <w:r w:rsidRPr="0017450F">
        <w:rPr>
          <w:rFonts w:cs="Times New Roman"/>
          <w:sz w:val="20"/>
          <w:szCs w:val="20"/>
        </w:rPr>
        <w:tab/>
      </w:r>
      <w:r w:rsidRPr="0017450F">
        <w:rPr>
          <w:rFonts w:cs="Times New Roman"/>
          <w:b/>
          <w:bCs/>
          <w:sz w:val="20"/>
          <w:szCs w:val="20"/>
        </w:rPr>
        <w:t>Authority</w:t>
      </w:r>
    </w:p>
    <w:p w14:paraId="3C3C8B21" w14:textId="77777777" w:rsidR="006B3018" w:rsidRPr="0017450F" w:rsidRDefault="006B3018" w:rsidP="006B3018">
      <w:pPr>
        <w:autoSpaceDE w:val="0"/>
        <w:autoSpaceDN w:val="0"/>
        <w:adjustRightInd w:val="0"/>
        <w:spacing w:after="0" w:line="240" w:lineRule="auto"/>
        <w:jc w:val="both"/>
        <w:rPr>
          <w:rFonts w:cs="Times New Roman"/>
          <w:sz w:val="20"/>
          <w:szCs w:val="20"/>
        </w:rPr>
      </w:pPr>
    </w:p>
    <w:p w14:paraId="19F8D8FF" w14:textId="360D6DDD" w:rsidR="006B3018" w:rsidRPr="0017450F" w:rsidRDefault="006B3018" w:rsidP="006B693D">
      <w:pPr>
        <w:autoSpaceDE w:val="0"/>
        <w:autoSpaceDN w:val="0"/>
        <w:adjustRightInd w:val="0"/>
        <w:spacing w:after="0" w:line="240" w:lineRule="auto"/>
        <w:ind w:left="540"/>
        <w:jc w:val="both"/>
        <w:rPr>
          <w:rFonts w:cs="Times New Roman"/>
          <w:sz w:val="20"/>
          <w:szCs w:val="20"/>
        </w:rPr>
      </w:pPr>
      <w:r w:rsidRPr="0017450F">
        <w:rPr>
          <w:rFonts w:cs="Times New Roman"/>
          <w:sz w:val="20"/>
          <w:szCs w:val="20"/>
        </w:rPr>
        <w:t xml:space="preserve">Pursuant to Section 1, paragraph 3, of </w:t>
      </w:r>
      <w:r w:rsidRPr="0017450F">
        <w:rPr>
          <w:rFonts w:cs="Times New Roman"/>
          <w:i/>
          <w:iCs/>
          <w:sz w:val="20"/>
          <w:szCs w:val="20"/>
        </w:rPr>
        <w:t xml:space="preserve">VM-30 </w:t>
      </w:r>
      <w:r w:rsidRPr="0017450F">
        <w:rPr>
          <w:rFonts w:cs="Times New Roman"/>
          <w:sz w:val="20"/>
          <w:szCs w:val="20"/>
        </w:rPr>
        <w:t xml:space="preserve">of the </w:t>
      </w:r>
      <w:r w:rsidRPr="0017450F">
        <w:rPr>
          <w:rFonts w:cs="Times New Roman"/>
          <w:i/>
          <w:iCs/>
          <w:sz w:val="20"/>
          <w:szCs w:val="20"/>
        </w:rPr>
        <w:t>NAIC Valuation Manual</w:t>
      </w:r>
      <w:r w:rsidRPr="0017450F">
        <w:rPr>
          <w:rFonts w:cs="Times New Roman"/>
          <w:sz w:val="20"/>
          <w:szCs w:val="20"/>
        </w:rPr>
        <w:t>, the commissioner shall have the authority to specify specific methods of actuarial analysis and actuarial assumptions when, in the commissioner’s judgment, these specifications are necessary for an acceptable opinion to be rendered  relative to the adequacy of reserves and related items.</w:t>
      </w:r>
    </w:p>
    <w:p w14:paraId="2E135102" w14:textId="77777777" w:rsidR="006B3018" w:rsidRPr="0017450F" w:rsidRDefault="006B3018" w:rsidP="006B3018">
      <w:pPr>
        <w:autoSpaceDE w:val="0"/>
        <w:autoSpaceDN w:val="0"/>
        <w:adjustRightInd w:val="0"/>
        <w:spacing w:after="0" w:line="240" w:lineRule="auto"/>
        <w:jc w:val="both"/>
        <w:rPr>
          <w:rFonts w:cs="Times New Roman"/>
          <w:sz w:val="20"/>
          <w:szCs w:val="20"/>
        </w:rPr>
      </w:pPr>
    </w:p>
    <w:p w14:paraId="2F37B5DB" w14:textId="5960226A" w:rsidR="006B3018" w:rsidRPr="0017450F" w:rsidRDefault="006B3018" w:rsidP="006B3018">
      <w:pPr>
        <w:pStyle w:val="ListParagraph"/>
        <w:numPr>
          <w:ilvl w:val="0"/>
          <w:numId w:val="8"/>
        </w:numPr>
        <w:autoSpaceDE w:val="0"/>
        <w:autoSpaceDN w:val="0"/>
        <w:adjustRightInd w:val="0"/>
        <w:spacing w:after="0" w:line="240" w:lineRule="auto"/>
        <w:ind w:left="540" w:hanging="540"/>
        <w:rPr>
          <w:rFonts w:cs="Times New Roman"/>
          <w:bCs/>
          <w:sz w:val="20"/>
          <w:szCs w:val="20"/>
        </w:rPr>
      </w:pPr>
      <w:r w:rsidRPr="0017450F">
        <w:rPr>
          <w:rFonts w:cs="Times New Roman"/>
          <w:b/>
          <w:bCs/>
          <w:sz w:val="20"/>
          <w:szCs w:val="20"/>
        </w:rPr>
        <w:t>Scope</w:t>
      </w:r>
    </w:p>
    <w:p w14:paraId="0E014AF2" w14:textId="77777777" w:rsidR="006B3018" w:rsidRPr="0017450F" w:rsidRDefault="006B3018" w:rsidP="006B3018">
      <w:pPr>
        <w:autoSpaceDE w:val="0"/>
        <w:autoSpaceDN w:val="0"/>
        <w:adjustRightInd w:val="0"/>
        <w:spacing w:after="0" w:line="240" w:lineRule="auto"/>
        <w:rPr>
          <w:rFonts w:cs="Times New Roman"/>
          <w:sz w:val="20"/>
          <w:szCs w:val="20"/>
        </w:rPr>
      </w:pPr>
    </w:p>
    <w:p w14:paraId="7FF18241" w14:textId="337F2520" w:rsidR="006B3018" w:rsidRPr="0017450F" w:rsidRDefault="006B3018" w:rsidP="006B693D">
      <w:pPr>
        <w:autoSpaceDE w:val="0"/>
        <w:autoSpaceDN w:val="0"/>
        <w:adjustRightInd w:val="0"/>
        <w:spacing w:after="0" w:line="240" w:lineRule="auto"/>
        <w:ind w:left="540"/>
        <w:jc w:val="both"/>
        <w:rPr>
          <w:rFonts w:cs="Times New Roman"/>
          <w:sz w:val="20"/>
          <w:szCs w:val="20"/>
        </w:rPr>
      </w:pPr>
      <w:r w:rsidRPr="0017450F">
        <w:rPr>
          <w:rFonts w:cs="Times New Roman"/>
          <w:sz w:val="20"/>
          <w:szCs w:val="20"/>
        </w:rPr>
        <w:t>This Guideline shall apply to a company with over 10,000 inforce lives covered by long-term care</w:t>
      </w:r>
      <w:r w:rsidR="006B693D" w:rsidRPr="0017450F">
        <w:rPr>
          <w:rFonts w:cs="Times New Roman"/>
          <w:sz w:val="20"/>
          <w:szCs w:val="20"/>
        </w:rPr>
        <w:t xml:space="preserve"> </w:t>
      </w:r>
      <w:r w:rsidRPr="0017450F">
        <w:rPr>
          <w:rFonts w:cs="Times New Roman"/>
          <w:sz w:val="20"/>
          <w:szCs w:val="20"/>
        </w:rPr>
        <w:t>insurance contracts as of the valuation date. All long-term care insurance contracts, whether</w:t>
      </w:r>
      <w:r w:rsidR="006B693D" w:rsidRPr="0017450F">
        <w:rPr>
          <w:rFonts w:cs="Times New Roman"/>
          <w:sz w:val="20"/>
          <w:szCs w:val="20"/>
        </w:rPr>
        <w:t xml:space="preserve"> </w:t>
      </w:r>
      <w:r w:rsidRPr="0017450F">
        <w:rPr>
          <w:rFonts w:cs="Times New Roman"/>
          <w:sz w:val="20"/>
          <w:szCs w:val="20"/>
        </w:rPr>
        <w:t>directly written or assumed through reinsurance are included. Accelerated death benefit products</w:t>
      </w:r>
      <w:r w:rsidR="006B693D" w:rsidRPr="0017450F">
        <w:rPr>
          <w:rFonts w:cs="Times New Roman"/>
          <w:sz w:val="20"/>
          <w:szCs w:val="20"/>
        </w:rPr>
        <w:t xml:space="preserve"> </w:t>
      </w:r>
      <w:r w:rsidRPr="0017450F">
        <w:rPr>
          <w:rFonts w:cs="Times New Roman"/>
          <w:sz w:val="20"/>
          <w:szCs w:val="20"/>
        </w:rPr>
        <w:t>or other combination products where the substantial risk of the product is associated with life</w:t>
      </w:r>
      <w:r w:rsidR="006B693D" w:rsidRPr="0017450F">
        <w:rPr>
          <w:rFonts w:cs="Times New Roman"/>
          <w:sz w:val="20"/>
          <w:szCs w:val="20"/>
        </w:rPr>
        <w:t xml:space="preserve"> </w:t>
      </w:r>
      <w:r w:rsidRPr="0017450F">
        <w:rPr>
          <w:rFonts w:cs="Times New Roman"/>
          <w:sz w:val="20"/>
          <w:szCs w:val="20"/>
        </w:rPr>
        <w:t>insurance or an annuity are not subject to this Guideline.</w:t>
      </w:r>
    </w:p>
    <w:p w14:paraId="62A4F111" w14:textId="77777777" w:rsidR="006B3018" w:rsidRPr="0017450F" w:rsidRDefault="006B3018" w:rsidP="006B3018">
      <w:pPr>
        <w:autoSpaceDE w:val="0"/>
        <w:autoSpaceDN w:val="0"/>
        <w:adjustRightInd w:val="0"/>
        <w:spacing w:after="0" w:line="240" w:lineRule="auto"/>
        <w:rPr>
          <w:rFonts w:cs="Times New Roman"/>
          <w:sz w:val="20"/>
          <w:szCs w:val="20"/>
        </w:rPr>
      </w:pPr>
    </w:p>
    <w:p w14:paraId="6F1EED79" w14:textId="6CC0FA21" w:rsidR="006B3018" w:rsidRPr="0017450F" w:rsidRDefault="006B3018" w:rsidP="006B3018">
      <w:pPr>
        <w:autoSpaceDE w:val="0"/>
        <w:autoSpaceDN w:val="0"/>
        <w:adjustRightInd w:val="0"/>
        <w:spacing w:after="0" w:line="240" w:lineRule="auto"/>
        <w:ind w:left="540" w:hanging="540"/>
        <w:rPr>
          <w:rFonts w:cs="Times New Roman"/>
          <w:b/>
          <w:bCs/>
          <w:sz w:val="20"/>
          <w:szCs w:val="20"/>
        </w:rPr>
      </w:pPr>
      <w:r w:rsidRPr="0017450F">
        <w:rPr>
          <w:rFonts w:cs="Times New Roman"/>
          <w:sz w:val="20"/>
          <w:szCs w:val="20"/>
        </w:rPr>
        <w:t xml:space="preserve">4. </w:t>
      </w:r>
      <w:r w:rsidRPr="0017450F">
        <w:rPr>
          <w:rFonts w:cs="Times New Roman"/>
          <w:sz w:val="20"/>
          <w:szCs w:val="20"/>
        </w:rPr>
        <w:tab/>
      </w:r>
      <w:r w:rsidRPr="0017450F">
        <w:rPr>
          <w:rFonts w:cs="Times New Roman"/>
          <w:b/>
          <w:bCs/>
          <w:sz w:val="20"/>
          <w:szCs w:val="20"/>
        </w:rPr>
        <w:t>Asset Adequacy Analysis of LTC Business</w:t>
      </w:r>
    </w:p>
    <w:p w14:paraId="4248C5D7" w14:textId="77777777" w:rsidR="006B3018" w:rsidRPr="0017450F" w:rsidRDefault="006B3018" w:rsidP="006B3018">
      <w:pPr>
        <w:autoSpaceDE w:val="0"/>
        <w:autoSpaceDN w:val="0"/>
        <w:adjustRightInd w:val="0"/>
        <w:spacing w:after="0" w:line="240" w:lineRule="auto"/>
        <w:rPr>
          <w:rFonts w:cs="Times New Roman"/>
          <w:sz w:val="20"/>
          <w:szCs w:val="20"/>
        </w:rPr>
      </w:pPr>
    </w:p>
    <w:p w14:paraId="67CC6876" w14:textId="7504F532" w:rsidR="006B3018" w:rsidRPr="0017450F" w:rsidRDefault="006B3018" w:rsidP="005A261B">
      <w:pPr>
        <w:pStyle w:val="ListParagraph"/>
        <w:numPr>
          <w:ilvl w:val="1"/>
          <w:numId w:val="17"/>
        </w:num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As stated in Actuarial Standard of Practice (ASOP) No. 22, multiple asset adequacy</w:t>
      </w:r>
      <w:r w:rsidR="006B693D" w:rsidRPr="0017450F">
        <w:rPr>
          <w:rFonts w:cs="Times New Roman"/>
          <w:sz w:val="20"/>
          <w:szCs w:val="20"/>
        </w:rPr>
        <w:t xml:space="preserve"> </w:t>
      </w:r>
      <w:r w:rsidRPr="0017450F">
        <w:rPr>
          <w:rFonts w:cs="Times New Roman"/>
          <w:sz w:val="20"/>
          <w:szCs w:val="20"/>
        </w:rPr>
        <w:t>analysis methods, including cash-flow testing and gross premium valuation, are available</w:t>
      </w:r>
      <w:r w:rsidR="006B693D" w:rsidRPr="0017450F">
        <w:rPr>
          <w:rFonts w:cs="Times New Roman"/>
          <w:sz w:val="20"/>
          <w:szCs w:val="20"/>
        </w:rPr>
        <w:t xml:space="preserve"> </w:t>
      </w:r>
      <w:r w:rsidRPr="0017450F">
        <w:rPr>
          <w:rFonts w:cs="Times New Roman"/>
          <w:sz w:val="20"/>
          <w:szCs w:val="20"/>
        </w:rPr>
        <w:t>to actuaries for this analysis.</w:t>
      </w:r>
    </w:p>
    <w:p w14:paraId="2E5B0614" w14:textId="77777777" w:rsidR="006B693D" w:rsidRPr="0017450F" w:rsidRDefault="006B693D" w:rsidP="005A261B">
      <w:pPr>
        <w:pStyle w:val="ListParagraph"/>
        <w:autoSpaceDE w:val="0"/>
        <w:autoSpaceDN w:val="0"/>
        <w:adjustRightInd w:val="0"/>
        <w:spacing w:after="0" w:line="240" w:lineRule="auto"/>
        <w:ind w:left="1260" w:hanging="720"/>
        <w:jc w:val="both"/>
        <w:rPr>
          <w:rFonts w:cs="Times New Roman"/>
          <w:sz w:val="20"/>
          <w:szCs w:val="20"/>
        </w:rPr>
      </w:pPr>
    </w:p>
    <w:p w14:paraId="7EDFF3F9" w14:textId="2F784834" w:rsidR="006B3018" w:rsidRPr="0017450F" w:rsidRDefault="006B3018" w:rsidP="005A261B">
      <w:pPr>
        <w:autoSpaceDE w:val="0"/>
        <w:autoSpaceDN w:val="0"/>
        <w:adjustRightInd w:val="0"/>
        <w:spacing w:after="0" w:line="240" w:lineRule="auto"/>
        <w:ind w:left="1260"/>
        <w:jc w:val="both"/>
        <w:rPr>
          <w:rFonts w:cs="Times New Roman"/>
          <w:sz w:val="20"/>
          <w:szCs w:val="20"/>
        </w:rPr>
      </w:pPr>
      <w:r w:rsidRPr="0017450F">
        <w:rPr>
          <w:rFonts w:cs="Times New Roman"/>
          <w:sz w:val="20"/>
          <w:szCs w:val="20"/>
        </w:rPr>
        <w:t xml:space="preserve">The method of analysis used for LTC shall conform </w:t>
      </w:r>
      <w:proofErr w:type="gramStart"/>
      <w:r w:rsidRPr="0017450F">
        <w:rPr>
          <w:rFonts w:cs="Times New Roman"/>
          <w:sz w:val="20"/>
          <w:szCs w:val="20"/>
        </w:rPr>
        <w:t>with</w:t>
      </w:r>
      <w:proofErr w:type="gramEnd"/>
      <w:r w:rsidRPr="0017450F">
        <w:rPr>
          <w:rFonts w:cs="Times New Roman"/>
          <w:sz w:val="20"/>
          <w:szCs w:val="20"/>
        </w:rPr>
        <w:t xml:space="preserve"> ASOP No. 22 in recognition of</w:t>
      </w:r>
      <w:r w:rsidR="005A261B" w:rsidRPr="0017450F">
        <w:rPr>
          <w:rFonts w:cs="Times New Roman"/>
          <w:sz w:val="20"/>
          <w:szCs w:val="20"/>
        </w:rPr>
        <w:t xml:space="preserve"> </w:t>
      </w:r>
      <w:r w:rsidRPr="0017450F">
        <w:rPr>
          <w:rFonts w:cs="Times New Roman"/>
          <w:sz w:val="20"/>
          <w:szCs w:val="20"/>
        </w:rPr>
        <w:t>the typical significant asset and liability-related risks associated with LTC.</w:t>
      </w:r>
    </w:p>
    <w:p w14:paraId="612320B4" w14:textId="77777777" w:rsidR="006B693D" w:rsidRPr="0017450F" w:rsidRDefault="006B693D" w:rsidP="005A261B">
      <w:pPr>
        <w:autoSpaceDE w:val="0"/>
        <w:autoSpaceDN w:val="0"/>
        <w:adjustRightInd w:val="0"/>
        <w:spacing w:after="0" w:line="240" w:lineRule="auto"/>
        <w:ind w:left="1260" w:hanging="720"/>
        <w:jc w:val="both"/>
        <w:rPr>
          <w:rFonts w:cs="Times New Roman"/>
          <w:sz w:val="20"/>
          <w:szCs w:val="20"/>
        </w:rPr>
      </w:pPr>
    </w:p>
    <w:p w14:paraId="6AD7B3A7" w14:textId="1B2ACA72"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B. </w:t>
      </w:r>
      <w:r w:rsidR="005A261B" w:rsidRPr="0017450F">
        <w:rPr>
          <w:rFonts w:cs="Times New Roman"/>
          <w:sz w:val="20"/>
          <w:szCs w:val="20"/>
        </w:rPr>
        <w:tab/>
      </w:r>
      <w:r w:rsidRPr="0017450F">
        <w:rPr>
          <w:rFonts w:cs="Times New Roman"/>
          <w:sz w:val="20"/>
          <w:szCs w:val="20"/>
        </w:rPr>
        <w:t>Asset adequacy analysis specific to all inforce LTC business, and without consideration of</w:t>
      </w:r>
      <w:r w:rsidR="005A261B" w:rsidRPr="0017450F">
        <w:rPr>
          <w:rFonts w:cs="Times New Roman"/>
          <w:sz w:val="20"/>
          <w:szCs w:val="20"/>
        </w:rPr>
        <w:t xml:space="preserve"> </w:t>
      </w:r>
      <w:r w:rsidRPr="0017450F">
        <w:rPr>
          <w:rFonts w:cs="Times New Roman"/>
          <w:sz w:val="20"/>
          <w:szCs w:val="20"/>
        </w:rPr>
        <w:t>results for other block of business within the company, must be performed for valuations</w:t>
      </w:r>
      <w:r w:rsidR="006B693D" w:rsidRPr="0017450F">
        <w:rPr>
          <w:rFonts w:cs="Times New Roman"/>
          <w:sz w:val="20"/>
          <w:szCs w:val="20"/>
        </w:rPr>
        <w:t xml:space="preserve"> </w:t>
      </w:r>
      <w:r w:rsidRPr="0017450F">
        <w:rPr>
          <w:rFonts w:cs="Times New Roman"/>
          <w:sz w:val="20"/>
          <w:szCs w:val="20"/>
        </w:rPr>
        <w:t>associated with the December 31, 2017, and subsequent annual statutory financial</w:t>
      </w:r>
      <w:r w:rsidR="006B693D" w:rsidRPr="0017450F">
        <w:rPr>
          <w:rFonts w:cs="Times New Roman"/>
          <w:sz w:val="20"/>
          <w:szCs w:val="20"/>
        </w:rPr>
        <w:t xml:space="preserve"> </w:t>
      </w:r>
      <w:r w:rsidRPr="0017450F">
        <w:rPr>
          <w:rFonts w:cs="Times New Roman"/>
          <w:sz w:val="20"/>
          <w:szCs w:val="20"/>
        </w:rPr>
        <w:t>statements. The analysis shall comply with applicable Actuarial Standards of Practice,</w:t>
      </w:r>
      <w:r w:rsidR="006B693D" w:rsidRPr="0017450F">
        <w:rPr>
          <w:rFonts w:cs="Times New Roman"/>
          <w:sz w:val="20"/>
          <w:szCs w:val="20"/>
        </w:rPr>
        <w:t xml:space="preserve"> </w:t>
      </w:r>
      <w:r w:rsidRPr="0017450F">
        <w:rPr>
          <w:rFonts w:cs="Times New Roman"/>
          <w:sz w:val="20"/>
          <w:szCs w:val="20"/>
        </w:rPr>
        <w:t>including standards regarding identification of key risks. Material assumptions associated</w:t>
      </w:r>
      <w:r w:rsidR="006B693D" w:rsidRPr="0017450F">
        <w:rPr>
          <w:rFonts w:cs="Times New Roman"/>
          <w:sz w:val="20"/>
          <w:szCs w:val="20"/>
        </w:rPr>
        <w:t xml:space="preserve"> </w:t>
      </w:r>
      <w:r w:rsidRPr="0017450F">
        <w:rPr>
          <w:rFonts w:cs="Times New Roman"/>
          <w:sz w:val="20"/>
          <w:szCs w:val="20"/>
        </w:rPr>
        <w:t>with the LTC business shall be determined testing moderately adverse deviations in</w:t>
      </w:r>
      <w:r w:rsidR="006B693D" w:rsidRPr="0017450F">
        <w:rPr>
          <w:rFonts w:cs="Times New Roman"/>
          <w:sz w:val="20"/>
          <w:szCs w:val="20"/>
        </w:rPr>
        <w:t xml:space="preserve"> </w:t>
      </w:r>
      <w:r w:rsidRPr="0017450F">
        <w:rPr>
          <w:rFonts w:cs="Times New Roman"/>
          <w:sz w:val="20"/>
          <w:szCs w:val="20"/>
        </w:rPr>
        <w:t>actuarial assumptions.</w:t>
      </w:r>
    </w:p>
    <w:p w14:paraId="44AE92A4" w14:textId="77777777" w:rsidR="006B693D" w:rsidRPr="0017450F" w:rsidRDefault="006B693D" w:rsidP="005A261B">
      <w:pPr>
        <w:autoSpaceDE w:val="0"/>
        <w:autoSpaceDN w:val="0"/>
        <w:adjustRightInd w:val="0"/>
        <w:spacing w:after="0" w:line="240" w:lineRule="auto"/>
        <w:ind w:left="1260" w:hanging="720"/>
        <w:jc w:val="both"/>
        <w:rPr>
          <w:rFonts w:cs="Times New Roman"/>
          <w:sz w:val="20"/>
          <w:szCs w:val="20"/>
        </w:rPr>
      </w:pPr>
    </w:p>
    <w:p w14:paraId="7014094C" w14:textId="297DA34E"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C. </w:t>
      </w:r>
      <w:r w:rsidR="005A261B" w:rsidRPr="0017450F">
        <w:rPr>
          <w:rFonts w:cs="Times New Roman"/>
          <w:sz w:val="20"/>
          <w:szCs w:val="20"/>
        </w:rPr>
        <w:tab/>
      </w:r>
      <w:r w:rsidRPr="0017450F">
        <w:rPr>
          <w:rFonts w:cs="Times New Roman"/>
          <w:sz w:val="20"/>
          <w:szCs w:val="20"/>
        </w:rPr>
        <w:t>When determining whether additional reserves are necessary:</w:t>
      </w:r>
    </w:p>
    <w:p w14:paraId="08CC14A7" w14:textId="77777777" w:rsidR="005A261B" w:rsidRPr="0017450F" w:rsidRDefault="005A261B" w:rsidP="005A261B">
      <w:pPr>
        <w:autoSpaceDE w:val="0"/>
        <w:autoSpaceDN w:val="0"/>
        <w:adjustRightInd w:val="0"/>
        <w:spacing w:after="0" w:line="240" w:lineRule="auto"/>
        <w:ind w:left="1080" w:hanging="540"/>
        <w:jc w:val="both"/>
        <w:rPr>
          <w:rFonts w:cs="Times New Roman"/>
          <w:sz w:val="20"/>
          <w:szCs w:val="20"/>
        </w:rPr>
      </w:pPr>
    </w:p>
    <w:p w14:paraId="3E30B09B" w14:textId="622027E5" w:rsidR="006B3018" w:rsidRPr="0017450F" w:rsidRDefault="006B3018" w:rsidP="005A261B">
      <w:pPr>
        <w:tabs>
          <w:tab w:val="left" w:pos="1980"/>
        </w:tabs>
        <w:autoSpaceDE w:val="0"/>
        <w:autoSpaceDN w:val="0"/>
        <w:adjustRightInd w:val="0"/>
        <w:spacing w:after="0" w:line="240" w:lineRule="auto"/>
        <w:ind w:left="1980" w:hanging="720"/>
        <w:jc w:val="both"/>
        <w:rPr>
          <w:rFonts w:cs="Times New Roman"/>
          <w:sz w:val="20"/>
          <w:szCs w:val="20"/>
        </w:rPr>
      </w:pPr>
      <w:r w:rsidRPr="0017450F">
        <w:rPr>
          <w:rFonts w:cs="Times New Roman"/>
          <w:sz w:val="20"/>
          <w:szCs w:val="20"/>
        </w:rPr>
        <w:t xml:space="preserve">1. </w:t>
      </w:r>
      <w:r w:rsidR="005A261B" w:rsidRPr="0017450F">
        <w:rPr>
          <w:rFonts w:cs="Times New Roman"/>
          <w:sz w:val="20"/>
          <w:szCs w:val="20"/>
        </w:rPr>
        <w:tab/>
        <w:t>A</w:t>
      </w:r>
      <w:r w:rsidRPr="0017450F">
        <w:rPr>
          <w:rFonts w:cs="Times New Roman"/>
          <w:sz w:val="20"/>
          <w:szCs w:val="20"/>
        </w:rPr>
        <w:t xml:space="preserve"> reserve deficiency in the LTC block may be aggregated with </w:t>
      </w:r>
      <w:proofErr w:type="spellStart"/>
      <w:r w:rsidRPr="0017450F">
        <w:rPr>
          <w:rFonts w:cs="Times New Roman"/>
          <w:sz w:val="20"/>
          <w:szCs w:val="20"/>
        </w:rPr>
        <w:t>sufficiencies</w:t>
      </w:r>
      <w:proofErr w:type="spellEnd"/>
      <w:r w:rsidRPr="0017450F">
        <w:rPr>
          <w:rFonts w:cs="Times New Roman"/>
          <w:sz w:val="20"/>
          <w:szCs w:val="20"/>
        </w:rPr>
        <w:t xml:space="preserve"> in the</w:t>
      </w:r>
      <w:r w:rsidR="005A261B" w:rsidRPr="0017450F">
        <w:rPr>
          <w:rFonts w:cs="Times New Roman"/>
          <w:sz w:val="20"/>
          <w:szCs w:val="20"/>
        </w:rPr>
        <w:t xml:space="preserve"> </w:t>
      </w:r>
      <w:r w:rsidRPr="0017450F">
        <w:rPr>
          <w:rFonts w:cs="Times New Roman"/>
          <w:sz w:val="20"/>
          <w:szCs w:val="20"/>
        </w:rPr>
        <w:t>company’s other blocks of business for the purposes of developing an actuarial</w:t>
      </w:r>
      <w:r w:rsidR="005A261B" w:rsidRPr="0017450F">
        <w:rPr>
          <w:rFonts w:cs="Times New Roman"/>
          <w:sz w:val="20"/>
          <w:szCs w:val="20"/>
        </w:rPr>
        <w:t xml:space="preserve"> </w:t>
      </w:r>
      <w:r w:rsidRPr="0017450F">
        <w:rPr>
          <w:rFonts w:cs="Times New Roman"/>
          <w:sz w:val="20"/>
          <w:szCs w:val="20"/>
        </w:rPr>
        <w:t>opinion, if cash-flow testing is used for both the LTC business and for all</w:t>
      </w:r>
      <w:r w:rsidR="005A261B" w:rsidRPr="0017450F">
        <w:rPr>
          <w:rFonts w:cs="Times New Roman"/>
          <w:sz w:val="20"/>
          <w:szCs w:val="20"/>
        </w:rPr>
        <w:t xml:space="preserve"> </w:t>
      </w:r>
      <w:r w:rsidRPr="0017450F">
        <w:rPr>
          <w:rFonts w:cs="Times New Roman"/>
          <w:sz w:val="20"/>
          <w:szCs w:val="20"/>
        </w:rPr>
        <w:t xml:space="preserve">significant blocks of non-LTC business within a company. </w:t>
      </w:r>
      <w:proofErr w:type="gramStart"/>
      <w:r w:rsidRPr="0017450F">
        <w:rPr>
          <w:rFonts w:cs="Times New Roman"/>
          <w:sz w:val="20"/>
          <w:szCs w:val="20"/>
        </w:rPr>
        <w:t>If a reserve deficiency</w:t>
      </w:r>
      <w:r w:rsidR="005A261B" w:rsidRPr="0017450F">
        <w:rPr>
          <w:rFonts w:cs="Times New Roman"/>
          <w:sz w:val="20"/>
          <w:szCs w:val="20"/>
        </w:rPr>
        <w:t xml:space="preserve"> </w:t>
      </w:r>
      <w:r w:rsidRPr="0017450F">
        <w:rPr>
          <w:rFonts w:cs="Times New Roman"/>
          <w:sz w:val="20"/>
          <w:szCs w:val="20"/>
        </w:rPr>
        <w:t xml:space="preserve">in the LTC block is not offset with </w:t>
      </w:r>
      <w:proofErr w:type="spellStart"/>
      <w:r w:rsidRPr="0017450F">
        <w:rPr>
          <w:rFonts w:cs="Times New Roman"/>
          <w:sz w:val="20"/>
          <w:szCs w:val="20"/>
        </w:rPr>
        <w:t>sufficiencies</w:t>
      </w:r>
      <w:proofErr w:type="spellEnd"/>
      <w:r w:rsidRPr="0017450F">
        <w:rPr>
          <w:rFonts w:cs="Times New Roman"/>
          <w:sz w:val="20"/>
          <w:szCs w:val="20"/>
        </w:rPr>
        <w:t xml:space="preserve"> in the company’s other blocks of</w:t>
      </w:r>
      <w:r w:rsidR="005A261B" w:rsidRPr="0017450F">
        <w:rPr>
          <w:rFonts w:cs="Times New Roman"/>
          <w:sz w:val="20"/>
          <w:szCs w:val="20"/>
        </w:rPr>
        <w:t xml:space="preserve"> </w:t>
      </w:r>
      <w:r w:rsidRPr="0017450F">
        <w:rPr>
          <w:rFonts w:cs="Times New Roman"/>
          <w:sz w:val="20"/>
          <w:szCs w:val="20"/>
        </w:rPr>
        <w:t>business, then additional reserves shall be established as required by section</w:t>
      </w:r>
      <w:r w:rsidR="005A261B" w:rsidRPr="0017450F">
        <w:rPr>
          <w:rFonts w:cs="Times New Roman"/>
          <w:sz w:val="20"/>
          <w:szCs w:val="20"/>
        </w:rPr>
        <w:t xml:space="preserve"> </w:t>
      </w:r>
      <w:r w:rsidRPr="0017450F">
        <w:rPr>
          <w:rFonts w:cs="Times New Roman"/>
          <w:sz w:val="20"/>
          <w:szCs w:val="20"/>
        </w:rPr>
        <w:t>2.C.2.</w:t>
      </w:r>
      <w:proofErr w:type="gramEnd"/>
      <w:r w:rsidRPr="0017450F">
        <w:rPr>
          <w:rFonts w:cs="Times New Roman"/>
          <w:sz w:val="20"/>
          <w:szCs w:val="20"/>
        </w:rPr>
        <w:t xml:space="preserve"> </w:t>
      </w:r>
      <w:proofErr w:type="gramStart"/>
      <w:r w:rsidRPr="0017450F">
        <w:rPr>
          <w:rFonts w:cs="Times New Roman"/>
          <w:sz w:val="20"/>
          <w:szCs w:val="20"/>
        </w:rPr>
        <w:t>of</w:t>
      </w:r>
      <w:proofErr w:type="gramEnd"/>
      <w:r w:rsidRPr="0017450F">
        <w:rPr>
          <w:rFonts w:cs="Times New Roman"/>
          <w:sz w:val="20"/>
          <w:szCs w:val="20"/>
        </w:rPr>
        <w:t xml:space="preserve"> </w:t>
      </w:r>
      <w:r w:rsidRPr="0017450F">
        <w:rPr>
          <w:rFonts w:cs="Times New Roman"/>
          <w:i/>
          <w:iCs/>
          <w:sz w:val="20"/>
          <w:szCs w:val="20"/>
        </w:rPr>
        <w:t>VM-30</w:t>
      </w:r>
      <w:r w:rsidRPr="0017450F">
        <w:rPr>
          <w:rFonts w:cs="Times New Roman"/>
          <w:sz w:val="20"/>
          <w:szCs w:val="20"/>
        </w:rPr>
        <w:t>.</w:t>
      </w:r>
    </w:p>
    <w:p w14:paraId="06A76FBC" w14:textId="77777777" w:rsidR="005A261B" w:rsidRPr="0017450F" w:rsidRDefault="005A261B" w:rsidP="005A261B">
      <w:pPr>
        <w:tabs>
          <w:tab w:val="left" w:pos="1980"/>
        </w:tabs>
        <w:autoSpaceDE w:val="0"/>
        <w:autoSpaceDN w:val="0"/>
        <w:adjustRightInd w:val="0"/>
        <w:spacing w:after="0" w:line="240" w:lineRule="auto"/>
        <w:ind w:left="1980" w:hanging="720"/>
        <w:jc w:val="both"/>
        <w:rPr>
          <w:rFonts w:cs="Times New Roman"/>
          <w:sz w:val="20"/>
          <w:szCs w:val="20"/>
        </w:rPr>
      </w:pPr>
    </w:p>
    <w:p w14:paraId="356245DB" w14:textId="5A1A0E54" w:rsidR="006B3018" w:rsidRPr="0017450F" w:rsidRDefault="006B3018" w:rsidP="005A261B">
      <w:pPr>
        <w:tabs>
          <w:tab w:val="left" w:pos="1980"/>
        </w:tabs>
        <w:autoSpaceDE w:val="0"/>
        <w:autoSpaceDN w:val="0"/>
        <w:adjustRightInd w:val="0"/>
        <w:spacing w:after="0" w:line="240" w:lineRule="auto"/>
        <w:ind w:left="1980" w:hanging="720"/>
        <w:jc w:val="both"/>
        <w:rPr>
          <w:rFonts w:cs="Times New Roman"/>
          <w:sz w:val="20"/>
          <w:szCs w:val="20"/>
        </w:rPr>
      </w:pPr>
      <w:r w:rsidRPr="0017450F">
        <w:rPr>
          <w:rFonts w:cs="Times New Roman"/>
          <w:sz w:val="20"/>
          <w:szCs w:val="20"/>
        </w:rPr>
        <w:t xml:space="preserve">2. </w:t>
      </w:r>
      <w:r w:rsidR="005A261B" w:rsidRPr="0017450F">
        <w:rPr>
          <w:rFonts w:cs="Times New Roman"/>
          <w:sz w:val="20"/>
          <w:szCs w:val="20"/>
        </w:rPr>
        <w:tab/>
      </w:r>
      <w:r w:rsidRPr="0017450F">
        <w:rPr>
          <w:rFonts w:cs="Times New Roman"/>
          <w:sz w:val="20"/>
          <w:szCs w:val="20"/>
        </w:rPr>
        <w:t>If cash-flow testing is not used for testing of the LTC business, then a reserve</w:t>
      </w:r>
      <w:r w:rsidR="005A261B" w:rsidRPr="0017450F">
        <w:rPr>
          <w:rFonts w:cs="Times New Roman"/>
          <w:sz w:val="20"/>
          <w:szCs w:val="20"/>
        </w:rPr>
        <w:t xml:space="preserve"> </w:t>
      </w:r>
      <w:r w:rsidRPr="0017450F">
        <w:rPr>
          <w:rFonts w:cs="Times New Roman"/>
          <w:sz w:val="20"/>
          <w:szCs w:val="20"/>
        </w:rPr>
        <w:t>deficiency revealed from another method, e.g., a gross premium valuation, utilized</w:t>
      </w:r>
      <w:r w:rsidR="005A261B" w:rsidRPr="0017450F">
        <w:rPr>
          <w:rFonts w:cs="Times New Roman"/>
          <w:sz w:val="20"/>
          <w:szCs w:val="20"/>
        </w:rPr>
        <w:t xml:space="preserve"> </w:t>
      </w:r>
      <w:r w:rsidRPr="0017450F">
        <w:rPr>
          <w:rFonts w:cs="Times New Roman"/>
          <w:sz w:val="20"/>
          <w:szCs w:val="20"/>
        </w:rPr>
        <w:t>for purposes of asset adequacy analysis of the LTC block under this Guideline</w:t>
      </w:r>
      <w:r w:rsidR="005A261B" w:rsidRPr="0017450F">
        <w:rPr>
          <w:rFonts w:cs="Times New Roman"/>
          <w:sz w:val="20"/>
          <w:szCs w:val="20"/>
        </w:rPr>
        <w:t xml:space="preserve"> </w:t>
      </w:r>
      <w:r w:rsidRPr="0017450F">
        <w:rPr>
          <w:rFonts w:cs="Times New Roman"/>
          <w:sz w:val="20"/>
          <w:szCs w:val="20"/>
        </w:rPr>
        <w:t xml:space="preserve">shall not be offset with </w:t>
      </w:r>
      <w:proofErr w:type="spellStart"/>
      <w:r w:rsidRPr="0017450F">
        <w:rPr>
          <w:rFonts w:cs="Times New Roman"/>
          <w:sz w:val="20"/>
          <w:szCs w:val="20"/>
        </w:rPr>
        <w:t>sufficiencies</w:t>
      </w:r>
      <w:proofErr w:type="spellEnd"/>
      <w:r w:rsidRPr="0017450F">
        <w:rPr>
          <w:rFonts w:cs="Times New Roman"/>
          <w:sz w:val="20"/>
          <w:szCs w:val="20"/>
        </w:rPr>
        <w:t xml:space="preserve"> in the company’s other blocks of business.</w:t>
      </w:r>
      <w:r w:rsidR="005A261B" w:rsidRPr="0017450F">
        <w:rPr>
          <w:rFonts w:cs="Times New Roman"/>
          <w:sz w:val="20"/>
          <w:szCs w:val="20"/>
        </w:rPr>
        <w:t xml:space="preserve"> </w:t>
      </w:r>
      <w:r w:rsidRPr="0017450F">
        <w:rPr>
          <w:rFonts w:cs="Times New Roman"/>
          <w:sz w:val="20"/>
          <w:szCs w:val="20"/>
        </w:rPr>
        <w:t>The additional reserves under this Guideline shall be established based only upon</w:t>
      </w:r>
      <w:r w:rsidR="005A261B" w:rsidRPr="0017450F">
        <w:rPr>
          <w:rFonts w:cs="Times New Roman"/>
          <w:sz w:val="20"/>
          <w:szCs w:val="20"/>
        </w:rPr>
        <w:t xml:space="preserve"> </w:t>
      </w:r>
      <w:r w:rsidRPr="0017450F">
        <w:rPr>
          <w:rFonts w:cs="Times New Roman"/>
          <w:sz w:val="20"/>
          <w:szCs w:val="20"/>
        </w:rPr>
        <w:t>the adequacy of the reserves in the LTC block.</w:t>
      </w:r>
    </w:p>
    <w:p w14:paraId="34A49890" w14:textId="2971836F" w:rsidR="00910E58" w:rsidRDefault="00910E58">
      <w:pPr>
        <w:spacing w:after="160" w:line="259" w:lineRule="auto"/>
        <w:rPr>
          <w:rFonts w:cs="Times New Roman"/>
          <w:sz w:val="20"/>
          <w:szCs w:val="20"/>
        </w:rPr>
      </w:pPr>
      <w:r>
        <w:rPr>
          <w:rFonts w:cs="Times New Roman"/>
          <w:sz w:val="20"/>
          <w:szCs w:val="20"/>
        </w:rPr>
        <w:br w:type="page"/>
      </w:r>
    </w:p>
    <w:p w14:paraId="1788F570" w14:textId="7C3C75AB" w:rsidR="00D35B5F" w:rsidRDefault="00D35B5F" w:rsidP="00D35B5F">
      <w:pPr>
        <w:autoSpaceDE w:val="0"/>
        <w:autoSpaceDN w:val="0"/>
        <w:adjustRightInd w:val="0"/>
        <w:spacing w:after="0" w:line="240" w:lineRule="auto"/>
        <w:ind w:left="1260" w:hanging="720"/>
        <w:jc w:val="right"/>
        <w:rPr>
          <w:rFonts w:cs="Times New Roman"/>
          <w:sz w:val="20"/>
          <w:szCs w:val="20"/>
        </w:rPr>
      </w:pPr>
      <w:r w:rsidRPr="00910E58">
        <w:rPr>
          <w:rStyle w:val="Hyperlink"/>
          <w:b/>
          <w:color w:val="auto"/>
          <w:sz w:val="20"/>
          <w:szCs w:val="20"/>
          <w:u w:val="none"/>
        </w:rPr>
        <w:lastRenderedPageBreak/>
        <w:t>AG 51</w:t>
      </w:r>
    </w:p>
    <w:p w14:paraId="161EC34B" w14:textId="53EEBCC1"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D. </w:t>
      </w:r>
      <w:r w:rsidR="005A261B" w:rsidRPr="0017450F">
        <w:rPr>
          <w:rFonts w:cs="Times New Roman"/>
          <w:sz w:val="20"/>
          <w:szCs w:val="20"/>
        </w:rPr>
        <w:tab/>
      </w:r>
      <w:r w:rsidRPr="0017450F">
        <w:rPr>
          <w:rFonts w:cs="Times New Roman"/>
          <w:sz w:val="20"/>
          <w:szCs w:val="20"/>
        </w:rPr>
        <w:t>When determining the effect of investment returns or the time value of money:</w:t>
      </w:r>
    </w:p>
    <w:p w14:paraId="00055191" w14:textId="77777777" w:rsidR="005A261B" w:rsidRPr="0017450F" w:rsidRDefault="005A261B" w:rsidP="006B693D">
      <w:pPr>
        <w:autoSpaceDE w:val="0"/>
        <w:autoSpaceDN w:val="0"/>
        <w:adjustRightInd w:val="0"/>
        <w:spacing w:after="0" w:line="240" w:lineRule="auto"/>
        <w:ind w:left="540"/>
        <w:jc w:val="both"/>
        <w:rPr>
          <w:rFonts w:cs="Times New Roman"/>
          <w:sz w:val="20"/>
          <w:szCs w:val="20"/>
        </w:rPr>
      </w:pPr>
    </w:p>
    <w:p w14:paraId="48F787C2" w14:textId="77777777" w:rsidR="005A261B" w:rsidRPr="0017450F" w:rsidRDefault="006B3018" w:rsidP="005A261B">
      <w:pPr>
        <w:pStyle w:val="ListParagraph"/>
        <w:numPr>
          <w:ilvl w:val="1"/>
          <w:numId w:val="16"/>
        </w:numPr>
        <w:autoSpaceDE w:val="0"/>
        <w:autoSpaceDN w:val="0"/>
        <w:adjustRightInd w:val="0"/>
        <w:spacing w:after="0" w:line="240" w:lineRule="auto"/>
        <w:ind w:left="1980" w:hanging="720"/>
        <w:jc w:val="both"/>
        <w:rPr>
          <w:rFonts w:cs="Times New Roman"/>
          <w:sz w:val="20"/>
          <w:szCs w:val="20"/>
        </w:rPr>
      </w:pPr>
      <w:r w:rsidRPr="0017450F">
        <w:rPr>
          <w:rFonts w:cs="Times New Roman"/>
          <w:sz w:val="20"/>
          <w:szCs w:val="20"/>
        </w:rPr>
        <w:t>In the case where cash-flow testing is used, the company must allocate investment</w:t>
      </w:r>
      <w:r w:rsidR="005A261B" w:rsidRPr="0017450F">
        <w:rPr>
          <w:rFonts w:cs="Times New Roman"/>
          <w:sz w:val="20"/>
          <w:szCs w:val="20"/>
        </w:rPr>
        <w:t xml:space="preserve"> </w:t>
      </w:r>
      <w:r w:rsidRPr="0017450F">
        <w:rPr>
          <w:rFonts w:cs="Times New Roman"/>
          <w:sz w:val="20"/>
          <w:szCs w:val="20"/>
        </w:rPr>
        <w:t>income to the LTC block of business consistently with the way investment income</w:t>
      </w:r>
      <w:r w:rsidR="005A261B" w:rsidRPr="0017450F">
        <w:rPr>
          <w:rFonts w:cs="Times New Roman"/>
          <w:sz w:val="20"/>
          <w:szCs w:val="20"/>
        </w:rPr>
        <w:t xml:space="preserve"> </w:t>
      </w:r>
      <w:r w:rsidRPr="0017450F">
        <w:rPr>
          <w:rFonts w:cs="Times New Roman"/>
          <w:sz w:val="20"/>
          <w:szCs w:val="20"/>
        </w:rPr>
        <w:t>generated by the General Account is managed. If, however, a segment of the</w:t>
      </w:r>
      <w:r w:rsidR="005A261B" w:rsidRPr="0017450F">
        <w:rPr>
          <w:rFonts w:cs="Times New Roman"/>
          <w:sz w:val="20"/>
          <w:szCs w:val="20"/>
        </w:rPr>
        <w:t xml:space="preserve"> </w:t>
      </w:r>
      <w:r w:rsidRPr="0017450F">
        <w:rPr>
          <w:rFonts w:cs="Times New Roman"/>
          <w:sz w:val="20"/>
          <w:szCs w:val="20"/>
        </w:rPr>
        <w:t>General Account is used to manage the investment risk for LTC business, the</w:t>
      </w:r>
      <w:r w:rsidR="005A261B" w:rsidRPr="0017450F">
        <w:rPr>
          <w:rFonts w:cs="Times New Roman"/>
          <w:sz w:val="20"/>
          <w:szCs w:val="20"/>
        </w:rPr>
        <w:t xml:space="preserve"> </w:t>
      </w:r>
      <w:r w:rsidRPr="0017450F">
        <w:rPr>
          <w:rFonts w:cs="Times New Roman"/>
          <w:sz w:val="20"/>
          <w:szCs w:val="20"/>
        </w:rPr>
        <w:t>investment income generated by assets from that segment should be appropriately</w:t>
      </w:r>
      <w:r w:rsidR="005A261B" w:rsidRPr="0017450F">
        <w:rPr>
          <w:rFonts w:cs="Times New Roman"/>
          <w:sz w:val="20"/>
          <w:szCs w:val="20"/>
        </w:rPr>
        <w:t xml:space="preserve"> </w:t>
      </w:r>
      <w:r w:rsidRPr="0017450F">
        <w:rPr>
          <w:rFonts w:cs="Times New Roman"/>
          <w:sz w:val="20"/>
          <w:szCs w:val="20"/>
        </w:rPr>
        <w:t>represented within the asset adequacy analysis.</w:t>
      </w:r>
      <w:r w:rsidR="005A261B" w:rsidRPr="0017450F">
        <w:rPr>
          <w:rFonts w:cs="Times New Roman"/>
          <w:sz w:val="20"/>
          <w:szCs w:val="20"/>
        </w:rPr>
        <w:t xml:space="preserve"> </w:t>
      </w:r>
    </w:p>
    <w:p w14:paraId="749EED40" w14:textId="77777777" w:rsidR="005A261B" w:rsidRPr="0017450F" w:rsidRDefault="005A261B" w:rsidP="005A261B">
      <w:pPr>
        <w:pStyle w:val="ListParagraph"/>
        <w:autoSpaceDE w:val="0"/>
        <w:autoSpaceDN w:val="0"/>
        <w:adjustRightInd w:val="0"/>
        <w:spacing w:after="0" w:line="240" w:lineRule="auto"/>
        <w:ind w:left="1980" w:hanging="720"/>
        <w:jc w:val="both"/>
        <w:rPr>
          <w:rFonts w:cs="Times New Roman"/>
          <w:sz w:val="20"/>
          <w:szCs w:val="20"/>
        </w:rPr>
      </w:pPr>
    </w:p>
    <w:p w14:paraId="45E1D694" w14:textId="5B1FF8F6" w:rsidR="006B3018" w:rsidRPr="0017450F" w:rsidRDefault="006B3018" w:rsidP="005A261B">
      <w:pPr>
        <w:pStyle w:val="ListParagraph"/>
        <w:numPr>
          <w:ilvl w:val="1"/>
          <w:numId w:val="16"/>
        </w:numPr>
        <w:autoSpaceDE w:val="0"/>
        <w:autoSpaceDN w:val="0"/>
        <w:adjustRightInd w:val="0"/>
        <w:spacing w:after="0" w:line="240" w:lineRule="auto"/>
        <w:ind w:left="1980" w:hanging="720"/>
        <w:jc w:val="both"/>
        <w:rPr>
          <w:rFonts w:cs="Times New Roman"/>
          <w:sz w:val="20"/>
          <w:szCs w:val="20"/>
        </w:rPr>
      </w:pPr>
      <w:r w:rsidRPr="0017450F">
        <w:rPr>
          <w:rFonts w:cs="Times New Roman"/>
          <w:sz w:val="20"/>
          <w:szCs w:val="20"/>
        </w:rPr>
        <w:t>In the case where a gross premium valuation method is used or asset cash flows</w:t>
      </w:r>
      <w:r w:rsidR="005A261B" w:rsidRPr="0017450F">
        <w:rPr>
          <w:rFonts w:cs="Times New Roman"/>
          <w:sz w:val="20"/>
          <w:szCs w:val="20"/>
        </w:rPr>
        <w:t xml:space="preserve"> </w:t>
      </w:r>
      <w:r w:rsidRPr="0017450F">
        <w:rPr>
          <w:rFonts w:cs="Times New Roman"/>
          <w:sz w:val="20"/>
          <w:szCs w:val="20"/>
        </w:rPr>
        <w:t>are not explicitly modeled, the discount rate used by the actuary must reflect</w:t>
      </w:r>
      <w:r w:rsidR="005A261B" w:rsidRPr="0017450F">
        <w:rPr>
          <w:rFonts w:cs="Times New Roman"/>
          <w:sz w:val="20"/>
          <w:szCs w:val="20"/>
        </w:rPr>
        <w:t xml:space="preserve"> </w:t>
      </w:r>
      <w:r w:rsidRPr="0017450F">
        <w:rPr>
          <w:rFonts w:cs="Times New Roman"/>
          <w:sz w:val="20"/>
          <w:szCs w:val="20"/>
        </w:rPr>
        <w:t>consideration of the yield on current assets held to support the liability as well as</w:t>
      </w:r>
      <w:r w:rsidR="005A261B" w:rsidRPr="0017450F">
        <w:rPr>
          <w:rFonts w:cs="Times New Roman"/>
          <w:sz w:val="20"/>
          <w:szCs w:val="20"/>
        </w:rPr>
        <w:t xml:space="preserve"> </w:t>
      </w:r>
      <w:r w:rsidRPr="0017450F">
        <w:rPr>
          <w:rFonts w:cs="Times New Roman"/>
          <w:sz w:val="20"/>
          <w:szCs w:val="20"/>
        </w:rPr>
        <w:t>future yields on assets purchased with future premium income and reinvestments</w:t>
      </w:r>
      <w:r w:rsidR="005A261B" w:rsidRPr="0017450F">
        <w:rPr>
          <w:rFonts w:cs="Times New Roman"/>
          <w:sz w:val="20"/>
          <w:szCs w:val="20"/>
        </w:rPr>
        <w:t xml:space="preserve"> </w:t>
      </w:r>
      <w:r w:rsidRPr="0017450F">
        <w:rPr>
          <w:rFonts w:cs="Times New Roman"/>
          <w:sz w:val="20"/>
          <w:szCs w:val="20"/>
        </w:rPr>
        <w:t>or anticipated divesture of existing assets.</w:t>
      </w:r>
    </w:p>
    <w:p w14:paraId="39DF61C7" w14:textId="77777777" w:rsidR="005A261B" w:rsidRPr="0017450F" w:rsidRDefault="005A261B" w:rsidP="005A261B">
      <w:pPr>
        <w:pStyle w:val="ListParagraph"/>
        <w:autoSpaceDE w:val="0"/>
        <w:autoSpaceDN w:val="0"/>
        <w:adjustRightInd w:val="0"/>
        <w:spacing w:after="0" w:line="240" w:lineRule="auto"/>
        <w:ind w:left="1440"/>
        <w:jc w:val="both"/>
        <w:rPr>
          <w:rFonts w:cs="Times New Roman"/>
          <w:sz w:val="20"/>
          <w:szCs w:val="20"/>
        </w:rPr>
      </w:pPr>
    </w:p>
    <w:p w14:paraId="042624A0" w14:textId="20BADE8A"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E. </w:t>
      </w:r>
      <w:r w:rsidR="005A261B" w:rsidRPr="0017450F">
        <w:rPr>
          <w:rFonts w:cs="Times New Roman"/>
          <w:sz w:val="20"/>
          <w:szCs w:val="20"/>
        </w:rPr>
        <w:tab/>
      </w:r>
      <w:r w:rsidRPr="0017450F">
        <w:rPr>
          <w:rFonts w:cs="Times New Roman"/>
          <w:sz w:val="20"/>
          <w:szCs w:val="20"/>
        </w:rPr>
        <w:t>The analysis shall only anticipate premium rate increases based upon a rate increase plan</w:t>
      </w:r>
      <w:r w:rsidR="005A261B" w:rsidRPr="0017450F">
        <w:rPr>
          <w:rFonts w:cs="Times New Roman"/>
          <w:sz w:val="20"/>
          <w:szCs w:val="20"/>
        </w:rPr>
        <w:t xml:space="preserve"> </w:t>
      </w:r>
      <w:r w:rsidRPr="0017450F">
        <w:rPr>
          <w:rFonts w:cs="Times New Roman"/>
          <w:sz w:val="20"/>
          <w:szCs w:val="20"/>
        </w:rPr>
        <w:t>that is documented, is supported by and has been approved by management, is highly</w:t>
      </w:r>
      <w:r w:rsidR="005A261B" w:rsidRPr="0017450F">
        <w:rPr>
          <w:rFonts w:cs="Times New Roman"/>
          <w:sz w:val="20"/>
          <w:szCs w:val="20"/>
        </w:rPr>
        <w:t xml:space="preserve"> </w:t>
      </w:r>
      <w:r w:rsidRPr="0017450F">
        <w:rPr>
          <w:rFonts w:cs="Times New Roman"/>
          <w:sz w:val="20"/>
          <w:szCs w:val="20"/>
        </w:rPr>
        <w:t>likely to be undertaken, and contains rate increase requests and timelines by jurisdiction</w:t>
      </w:r>
      <w:r w:rsidR="005A261B" w:rsidRPr="0017450F">
        <w:rPr>
          <w:rFonts w:cs="Times New Roman"/>
          <w:sz w:val="20"/>
          <w:szCs w:val="20"/>
        </w:rPr>
        <w:t xml:space="preserve">. </w:t>
      </w:r>
      <w:r w:rsidRPr="0017450F">
        <w:rPr>
          <w:rFonts w:cs="Times New Roman"/>
          <w:sz w:val="20"/>
          <w:szCs w:val="20"/>
        </w:rPr>
        <w:t>The assumptions used in the analysis should reflect a reasonable estimate of regulatory</w:t>
      </w:r>
      <w:r w:rsidR="005A261B" w:rsidRPr="0017450F">
        <w:rPr>
          <w:rFonts w:cs="Times New Roman"/>
          <w:sz w:val="20"/>
          <w:szCs w:val="20"/>
        </w:rPr>
        <w:t xml:space="preserve"> </w:t>
      </w:r>
      <w:r w:rsidRPr="0017450F">
        <w:rPr>
          <w:rFonts w:cs="Times New Roman"/>
          <w:sz w:val="20"/>
          <w:szCs w:val="20"/>
        </w:rPr>
        <w:t>approved amounts and implementation timelines.</w:t>
      </w:r>
    </w:p>
    <w:p w14:paraId="7CDA9AB3" w14:textId="77777777" w:rsidR="006B3018" w:rsidRPr="0017450F" w:rsidRDefault="006B3018" w:rsidP="006B3018">
      <w:pPr>
        <w:autoSpaceDE w:val="0"/>
        <w:autoSpaceDN w:val="0"/>
        <w:adjustRightInd w:val="0"/>
        <w:spacing w:after="0" w:line="240" w:lineRule="auto"/>
        <w:rPr>
          <w:rFonts w:cs="Times New Roman"/>
          <w:sz w:val="20"/>
          <w:szCs w:val="20"/>
        </w:rPr>
      </w:pPr>
    </w:p>
    <w:p w14:paraId="4657D322" w14:textId="696DBDCF" w:rsidR="006B3018" w:rsidRPr="0017450F" w:rsidRDefault="006B3018" w:rsidP="006B3018">
      <w:pPr>
        <w:autoSpaceDE w:val="0"/>
        <w:autoSpaceDN w:val="0"/>
        <w:adjustRightInd w:val="0"/>
        <w:spacing w:after="0" w:line="240" w:lineRule="auto"/>
        <w:ind w:left="540" w:hanging="540"/>
        <w:rPr>
          <w:rFonts w:cs="Times New Roman"/>
          <w:b/>
          <w:bCs/>
          <w:sz w:val="20"/>
          <w:szCs w:val="20"/>
        </w:rPr>
      </w:pPr>
      <w:r w:rsidRPr="0017450F">
        <w:rPr>
          <w:rFonts w:cs="Times New Roman"/>
          <w:sz w:val="20"/>
          <w:szCs w:val="20"/>
        </w:rPr>
        <w:t xml:space="preserve">5. </w:t>
      </w:r>
      <w:r w:rsidRPr="0017450F">
        <w:rPr>
          <w:rFonts w:cs="Times New Roman"/>
          <w:sz w:val="20"/>
          <w:szCs w:val="20"/>
        </w:rPr>
        <w:tab/>
      </w:r>
      <w:r w:rsidRPr="0017450F">
        <w:rPr>
          <w:rFonts w:cs="Times New Roman"/>
          <w:b/>
          <w:bCs/>
          <w:sz w:val="20"/>
          <w:szCs w:val="20"/>
        </w:rPr>
        <w:t>Documentation Required</w:t>
      </w:r>
    </w:p>
    <w:p w14:paraId="2513B88C" w14:textId="77777777" w:rsidR="006B693D" w:rsidRPr="0017450F" w:rsidRDefault="006B693D" w:rsidP="006B3018">
      <w:pPr>
        <w:autoSpaceDE w:val="0"/>
        <w:autoSpaceDN w:val="0"/>
        <w:adjustRightInd w:val="0"/>
        <w:spacing w:after="0" w:line="240" w:lineRule="auto"/>
        <w:rPr>
          <w:rFonts w:cs="Times New Roman"/>
          <w:sz w:val="20"/>
          <w:szCs w:val="20"/>
        </w:rPr>
      </w:pPr>
    </w:p>
    <w:p w14:paraId="700982F7" w14:textId="1B35D35E" w:rsidR="006B3018" w:rsidRPr="0017450F" w:rsidRDefault="006B3018" w:rsidP="006B693D">
      <w:pPr>
        <w:autoSpaceDE w:val="0"/>
        <w:autoSpaceDN w:val="0"/>
        <w:adjustRightInd w:val="0"/>
        <w:spacing w:after="0" w:line="240" w:lineRule="auto"/>
        <w:ind w:left="540"/>
        <w:jc w:val="both"/>
        <w:rPr>
          <w:rFonts w:cs="Times New Roman"/>
          <w:sz w:val="20"/>
          <w:szCs w:val="20"/>
        </w:rPr>
      </w:pPr>
      <w:r w:rsidRPr="0017450F">
        <w:rPr>
          <w:rFonts w:cs="Times New Roman"/>
          <w:sz w:val="20"/>
          <w:szCs w:val="20"/>
        </w:rPr>
        <w:t>The documentation requirements below are to be incorporated as a separate section of the</w:t>
      </w:r>
      <w:r w:rsidR="005A261B" w:rsidRPr="0017450F">
        <w:rPr>
          <w:rFonts w:cs="Times New Roman"/>
          <w:sz w:val="20"/>
          <w:szCs w:val="20"/>
        </w:rPr>
        <w:t xml:space="preserve"> </w:t>
      </w:r>
      <w:r w:rsidRPr="0017450F">
        <w:rPr>
          <w:rFonts w:cs="Times New Roman"/>
          <w:sz w:val="20"/>
          <w:szCs w:val="20"/>
        </w:rPr>
        <w:t xml:space="preserve">appointed actuary’s Actuarial Memorandum required by the </w:t>
      </w:r>
      <w:r w:rsidRPr="0017450F">
        <w:rPr>
          <w:rFonts w:cs="Times New Roman"/>
          <w:i/>
          <w:iCs/>
          <w:sz w:val="20"/>
          <w:szCs w:val="20"/>
        </w:rPr>
        <w:t xml:space="preserve">VM-30 </w:t>
      </w:r>
      <w:r w:rsidRPr="0017450F">
        <w:rPr>
          <w:rFonts w:cs="Times New Roman"/>
          <w:sz w:val="20"/>
          <w:szCs w:val="20"/>
        </w:rPr>
        <w:t>or in a special Actuarial</w:t>
      </w:r>
      <w:r w:rsidR="005A261B" w:rsidRPr="0017450F">
        <w:rPr>
          <w:rFonts w:cs="Times New Roman"/>
          <w:sz w:val="20"/>
          <w:szCs w:val="20"/>
        </w:rPr>
        <w:t xml:space="preserve"> </w:t>
      </w:r>
      <w:r w:rsidRPr="0017450F">
        <w:rPr>
          <w:rFonts w:cs="Times New Roman"/>
          <w:sz w:val="20"/>
          <w:szCs w:val="20"/>
        </w:rPr>
        <w:t>Memorandum containing LTC-specific information and shall be submitted to the commissioner of</w:t>
      </w:r>
      <w:r w:rsidR="005A261B" w:rsidRPr="0017450F">
        <w:rPr>
          <w:rFonts w:cs="Times New Roman"/>
          <w:sz w:val="20"/>
          <w:szCs w:val="20"/>
        </w:rPr>
        <w:t xml:space="preserve"> </w:t>
      </w:r>
      <w:r w:rsidRPr="0017450F">
        <w:rPr>
          <w:rFonts w:cs="Times New Roman"/>
          <w:sz w:val="20"/>
          <w:szCs w:val="20"/>
        </w:rPr>
        <w:t>the company’s state of domicile. The separate section of the companywide Actuarial</w:t>
      </w:r>
      <w:r w:rsidR="005A261B" w:rsidRPr="0017450F">
        <w:rPr>
          <w:rFonts w:cs="Times New Roman"/>
          <w:sz w:val="20"/>
          <w:szCs w:val="20"/>
        </w:rPr>
        <w:t xml:space="preserve"> </w:t>
      </w:r>
      <w:r w:rsidRPr="0017450F">
        <w:rPr>
          <w:rFonts w:cs="Times New Roman"/>
          <w:sz w:val="20"/>
          <w:szCs w:val="20"/>
        </w:rPr>
        <w:t>Memorandum or the special Actuarial Memorandum shall be available to other state insurance</w:t>
      </w:r>
      <w:r w:rsidR="005A261B" w:rsidRPr="0017450F">
        <w:rPr>
          <w:rFonts w:cs="Times New Roman"/>
          <w:sz w:val="20"/>
          <w:szCs w:val="20"/>
        </w:rPr>
        <w:t xml:space="preserve"> </w:t>
      </w:r>
      <w:r w:rsidRPr="0017450F">
        <w:rPr>
          <w:rFonts w:cs="Times New Roman"/>
          <w:sz w:val="20"/>
          <w:szCs w:val="20"/>
        </w:rPr>
        <w:t>commissioners in which the company is licensed upon request to the company. The confidentiality</w:t>
      </w:r>
      <w:r w:rsidR="005A261B" w:rsidRPr="0017450F">
        <w:rPr>
          <w:rFonts w:cs="Times New Roman"/>
          <w:sz w:val="20"/>
          <w:szCs w:val="20"/>
        </w:rPr>
        <w:t xml:space="preserve"> </w:t>
      </w:r>
      <w:r w:rsidRPr="0017450F">
        <w:rPr>
          <w:rFonts w:cs="Times New Roman"/>
          <w:sz w:val="20"/>
          <w:szCs w:val="20"/>
        </w:rPr>
        <w:t xml:space="preserve">provisions regarding the Actuarial Memorandum contained in </w:t>
      </w:r>
      <w:r w:rsidRPr="0017450F">
        <w:rPr>
          <w:rFonts w:cs="Times New Roman"/>
          <w:i/>
          <w:iCs/>
          <w:sz w:val="20"/>
          <w:szCs w:val="20"/>
        </w:rPr>
        <w:t xml:space="preserve">VM-30 </w:t>
      </w:r>
      <w:r w:rsidRPr="0017450F">
        <w:rPr>
          <w:rFonts w:cs="Times New Roman"/>
          <w:sz w:val="20"/>
          <w:szCs w:val="20"/>
        </w:rPr>
        <w:t>are applicable to the separate</w:t>
      </w:r>
      <w:r w:rsidR="005A261B" w:rsidRPr="0017450F">
        <w:rPr>
          <w:rFonts w:cs="Times New Roman"/>
          <w:sz w:val="20"/>
          <w:szCs w:val="20"/>
        </w:rPr>
        <w:t xml:space="preserve"> </w:t>
      </w:r>
      <w:r w:rsidRPr="0017450F">
        <w:rPr>
          <w:rFonts w:cs="Times New Roman"/>
          <w:sz w:val="20"/>
          <w:szCs w:val="20"/>
        </w:rPr>
        <w:t>section of the Actuarial Memorandum and to the special Memorandum.</w:t>
      </w:r>
    </w:p>
    <w:p w14:paraId="3BF81206" w14:textId="77777777" w:rsidR="005A261B" w:rsidRPr="0017450F" w:rsidRDefault="005A261B" w:rsidP="006B693D">
      <w:pPr>
        <w:autoSpaceDE w:val="0"/>
        <w:autoSpaceDN w:val="0"/>
        <w:adjustRightInd w:val="0"/>
        <w:spacing w:after="0" w:line="240" w:lineRule="auto"/>
        <w:ind w:left="540"/>
        <w:jc w:val="both"/>
        <w:rPr>
          <w:rFonts w:cs="Times New Roman"/>
          <w:sz w:val="20"/>
          <w:szCs w:val="20"/>
        </w:rPr>
      </w:pPr>
    </w:p>
    <w:p w14:paraId="0D0970DA" w14:textId="67BDE96A"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A. </w:t>
      </w:r>
      <w:r w:rsidR="005A261B" w:rsidRPr="0017450F">
        <w:rPr>
          <w:rFonts w:cs="Times New Roman"/>
          <w:sz w:val="20"/>
          <w:szCs w:val="20"/>
        </w:rPr>
        <w:tab/>
      </w:r>
      <w:r w:rsidRPr="0017450F">
        <w:rPr>
          <w:rFonts w:cs="Times New Roman"/>
          <w:sz w:val="20"/>
          <w:szCs w:val="20"/>
        </w:rPr>
        <w:t>Results of the asset adequacy analysis of the LTC business shall be reported and</w:t>
      </w:r>
      <w:r w:rsidR="005A261B" w:rsidRPr="0017450F">
        <w:rPr>
          <w:rFonts w:cs="Times New Roman"/>
          <w:sz w:val="20"/>
          <w:szCs w:val="20"/>
        </w:rPr>
        <w:t xml:space="preserve"> </w:t>
      </w:r>
      <w:r w:rsidRPr="0017450F">
        <w:rPr>
          <w:rFonts w:cs="Times New Roman"/>
          <w:sz w:val="20"/>
          <w:szCs w:val="20"/>
        </w:rPr>
        <w:t>documented in the separate section of the Actuarial Memorandum or the special</w:t>
      </w:r>
      <w:r w:rsidR="005A261B" w:rsidRPr="0017450F">
        <w:rPr>
          <w:rFonts w:cs="Times New Roman"/>
          <w:sz w:val="20"/>
          <w:szCs w:val="20"/>
        </w:rPr>
        <w:t xml:space="preserve"> </w:t>
      </w:r>
      <w:r w:rsidRPr="0017450F">
        <w:rPr>
          <w:rFonts w:cs="Times New Roman"/>
          <w:sz w:val="20"/>
          <w:szCs w:val="20"/>
        </w:rPr>
        <w:t>Memorandum, as appropriate.</w:t>
      </w:r>
    </w:p>
    <w:p w14:paraId="04653013"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5184284C" w14:textId="6684A0B5"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B. </w:t>
      </w:r>
      <w:r w:rsidR="005A261B" w:rsidRPr="0017450F">
        <w:rPr>
          <w:rFonts w:cs="Times New Roman"/>
          <w:sz w:val="20"/>
          <w:szCs w:val="20"/>
        </w:rPr>
        <w:tab/>
      </w:r>
      <w:r w:rsidRPr="0017450F">
        <w:rPr>
          <w:rFonts w:cs="Times New Roman"/>
          <w:sz w:val="20"/>
          <w:szCs w:val="20"/>
        </w:rPr>
        <w:t>Assumptions on mortality shall be documented to state the reference standard valuation</w:t>
      </w:r>
      <w:r w:rsidR="005A261B" w:rsidRPr="0017450F">
        <w:rPr>
          <w:rFonts w:cs="Times New Roman"/>
          <w:sz w:val="20"/>
          <w:szCs w:val="20"/>
        </w:rPr>
        <w:t xml:space="preserve"> </w:t>
      </w:r>
      <w:r w:rsidRPr="0017450F">
        <w:rPr>
          <w:rFonts w:cs="Times New Roman"/>
          <w:sz w:val="20"/>
          <w:szCs w:val="20"/>
        </w:rPr>
        <w:t>table, if applicable, and explicitly cite adjustments, select factors, and mortality</w:t>
      </w:r>
      <w:r w:rsidR="005A261B" w:rsidRPr="0017450F">
        <w:rPr>
          <w:rFonts w:cs="Times New Roman"/>
          <w:sz w:val="20"/>
          <w:szCs w:val="20"/>
        </w:rPr>
        <w:t xml:space="preserve"> </w:t>
      </w:r>
      <w:r w:rsidRPr="0017450F">
        <w:rPr>
          <w:rFonts w:cs="Times New Roman"/>
          <w:sz w:val="20"/>
          <w:szCs w:val="20"/>
        </w:rPr>
        <w:t>improvement factors, where applicable. If a reference standard valuation table is not used</w:t>
      </w:r>
      <w:r w:rsidR="005A261B" w:rsidRPr="0017450F">
        <w:rPr>
          <w:rFonts w:cs="Times New Roman"/>
          <w:sz w:val="20"/>
          <w:szCs w:val="20"/>
        </w:rPr>
        <w:t xml:space="preserve"> </w:t>
      </w:r>
      <w:r w:rsidRPr="0017450F">
        <w:rPr>
          <w:rFonts w:cs="Times New Roman"/>
          <w:sz w:val="20"/>
          <w:szCs w:val="20"/>
        </w:rPr>
        <w:t>in setting the mortality assumption, then a table of rates and comparison of the applied</w:t>
      </w:r>
      <w:r w:rsidR="005A261B" w:rsidRPr="0017450F">
        <w:rPr>
          <w:rFonts w:cs="Times New Roman"/>
          <w:sz w:val="20"/>
          <w:szCs w:val="20"/>
        </w:rPr>
        <w:t xml:space="preserve"> </w:t>
      </w:r>
      <w:r w:rsidRPr="0017450F">
        <w:rPr>
          <w:rFonts w:cs="Times New Roman"/>
          <w:sz w:val="20"/>
          <w:szCs w:val="20"/>
        </w:rPr>
        <w:t>rates to rates from an unmodified standard mortality table for sample issue ages shall be</w:t>
      </w:r>
      <w:r w:rsidR="005A261B" w:rsidRPr="0017450F">
        <w:rPr>
          <w:rFonts w:cs="Times New Roman"/>
          <w:sz w:val="20"/>
          <w:szCs w:val="20"/>
        </w:rPr>
        <w:t xml:space="preserve"> </w:t>
      </w:r>
      <w:r w:rsidRPr="0017450F">
        <w:rPr>
          <w:rFonts w:cs="Times New Roman"/>
          <w:sz w:val="20"/>
          <w:szCs w:val="20"/>
        </w:rPr>
        <w:t>provided. A summary of experience or other actuarial support of assumptions used shall</w:t>
      </w:r>
      <w:r w:rsidR="005A261B" w:rsidRPr="0017450F">
        <w:rPr>
          <w:rFonts w:cs="Times New Roman"/>
          <w:sz w:val="20"/>
          <w:szCs w:val="20"/>
        </w:rPr>
        <w:t xml:space="preserve"> </w:t>
      </w:r>
      <w:r w:rsidRPr="0017450F">
        <w:rPr>
          <w:rFonts w:cs="Times New Roman"/>
          <w:sz w:val="20"/>
          <w:szCs w:val="20"/>
        </w:rPr>
        <w:t>be documented.</w:t>
      </w:r>
    </w:p>
    <w:p w14:paraId="2047FA97"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2BE5A7B3" w14:textId="785CBA47"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C. </w:t>
      </w:r>
      <w:r w:rsidR="005A261B" w:rsidRPr="0017450F">
        <w:rPr>
          <w:rFonts w:cs="Times New Roman"/>
          <w:sz w:val="20"/>
          <w:szCs w:val="20"/>
        </w:rPr>
        <w:tab/>
      </w:r>
      <w:r w:rsidRPr="0017450F">
        <w:rPr>
          <w:rFonts w:cs="Times New Roman"/>
          <w:sz w:val="20"/>
          <w:szCs w:val="20"/>
        </w:rPr>
        <w:t>Assumptions on voluntary lapse shall be documented in table format by duration band and</w:t>
      </w:r>
      <w:r w:rsidR="005A261B" w:rsidRPr="0017450F">
        <w:rPr>
          <w:rFonts w:cs="Times New Roman"/>
          <w:sz w:val="20"/>
          <w:szCs w:val="20"/>
        </w:rPr>
        <w:t xml:space="preserve"> </w:t>
      </w:r>
      <w:r w:rsidRPr="0017450F">
        <w:rPr>
          <w:rFonts w:cs="Times New Roman"/>
          <w:sz w:val="20"/>
          <w:szCs w:val="20"/>
        </w:rPr>
        <w:t>by other factors such as gender, marital status, with versus without inflation rider, and</w:t>
      </w:r>
      <w:r w:rsidR="005A261B" w:rsidRPr="0017450F">
        <w:rPr>
          <w:rFonts w:cs="Times New Roman"/>
          <w:sz w:val="20"/>
          <w:szCs w:val="20"/>
        </w:rPr>
        <w:t xml:space="preserve"> </w:t>
      </w:r>
      <w:r w:rsidRPr="0017450F">
        <w:rPr>
          <w:rFonts w:cs="Times New Roman"/>
          <w:sz w:val="20"/>
          <w:szCs w:val="20"/>
        </w:rPr>
        <w:t>length of benefit period impacting the lapse assumption, where applicable. A summary of</w:t>
      </w:r>
      <w:r w:rsidR="005A261B" w:rsidRPr="0017450F">
        <w:rPr>
          <w:rFonts w:cs="Times New Roman"/>
          <w:sz w:val="20"/>
          <w:szCs w:val="20"/>
        </w:rPr>
        <w:t xml:space="preserve"> </w:t>
      </w:r>
      <w:r w:rsidRPr="0017450F">
        <w:rPr>
          <w:rFonts w:cs="Times New Roman"/>
          <w:sz w:val="20"/>
          <w:szCs w:val="20"/>
        </w:rPr>
        <w:t>experience or other support of assumptions shall be documented.</w:t>
      </w:r>
    </w:p>
    <w:p w14:paraId="72B837F7"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0006D6D5" w14:textId="3B66B623"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D. </w:t>
      </w:r>
      <w:r w:rsidR="005A261B" w:rsidRPr="0017450F">
        <w:rPr>
          <w:rFonts w:cs="Times New Roman"/>
          <w:sz w:val="20"/>
          <w:szCs w:val="20"/>
        </w:rPr>
        <w:tab/>
      </w:r>
      <w:r w:rsidRPr="0017450F">
        <w:rPr>
          <w:rFonts w:cs="Times New Roman"/>
          <w:sz w:val="20"/>
          <w:szCs w:val="20"/>
        </w:rPr>
        <w:t>Assumptions on morbidity shall be documented and actuarial support of the assumption</w:t>
      </w:r>
      <w:r w:rsidR="005A261B" w:rsidRPr="0017450F">
        <w:rPr>
          <w:rFonts w:cs="Times New Roman"/>
          <w:sz w:val="20"/>
          <w:szCs w:val="20"/>
        </w:rPr>
        <w:t xml:space="preserve"> </w:t>
      </w:r>
      <w:r w:rsidRPr="0017450F">
        <w:rPr>
          <w:rFonts w:cs="Times New Roman"/>
          <w:sz w:val="20"/>
          <w:szCs w:val="20"/>
        </w:rPr>
        <w:t>shall be provided. If an outside source is used as the basis for morbidity assumptions, then</w:t>
      </w:r>
      <w:r w:rsidR="005A261B" w:rsidRPr="0017450F">
        <w:rPr>
          <w:rFonts w:cs="Times New Roman"/>
          <w:sz w:val="20"/>
          <w:szCs w:val="20"/>
        </w:rPr>
        <w:t xml:space="preserve"> </w:t>
      </w:r>
      <w:r w:rsidRPr="0017450F">
        <w:rPr>
          <w:rFonts w:cs="Times New Roman"/>
          <w:sz w:val="20"/>
          <w:szCs w:val="20"/>
        </w:rPr>
        <w:t>the rationale for the applicability of that source and any adjustments to the factors from</w:t>
      </w:r>
      <w:r w:rsidR="005A261B" w:rsidRPr="0017450F">
        <w:rPr>
          <w:rFonts w:cs="Times New Roman"/>
          <w:sz w:val="20"/>
          <w:szCs w:val="20"/>
        </w:rPr>
        <w:t xml:space="preserve"> </w:t>
      </w:r>
      <w:r w:rsidRPr="0017450F">
        <w:rPr>
          <w:rFonts w:cs="Times New Roman"/>
          <w:sz w:val="20"/>
          <w:szCs w:val="20"/>
        </w:rPr>
        <w:t>that source shall be documented.</w:t>
      </w:r>
    </w:p>
    <w:p w14:paraId="469F9231"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655063CE" w14:textId="58792C8F"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E. </w:t>
      </w:r>
      <w:r w:rsidR="005A261B" w:rsidRPr="0017450F">
        <w:rPr>
          <w:rFonts w:cs="Times New Roman"/>
          <w:sz w:val="20"/>
          <w:szCs w:val="20"/>
        </w:rPr>
        <w:tab/>
      </w:r>
      <w:r w:rsidRPr="0017450F">
        <w:rPr>
          <w:rFonts w:cs="Times New Roman"/>
          <w:sz w:val="20"/>
          <w:szCs w:val="20"/>
        </w:rPr>
        <w:t>Assumptions on investment returns and interest rates shall be documented. If a simplified</w:t>
      </w:r>
      <w:r w:rsidR="005A261B" w:rsidRPr="0017450F">
        <w:rPr>
          <w:rFonts w:cs="Times New Roman"/>
          <w:sz w:val="20"/>
          <w:szCs w:val="20"/>
        </w:rPr>
        <w:t xml:space="preserve"> </w:t>
      </w:r>
      <w:r w:rsidRPr="0017450F">
        <w:rPr>
          <w:rFonts w:cs="Times New Roman"/>
          <w:sz w:val="20"/>
          <w:szCs w:val="20"/>
        </w:rPr>
        <w:t>approach is applied, such as implicit reflection of projected investment returns through the</w:t>
      </w:r>
      <w:r w:rsidR="005A261B" w:rsidRPr="0017450F">
        <w:rPr>
          <w:rFonts w:cs="Times New Roman"/>
          <w:sz w:val="20"/>
          <w:szCs w:val="20"/>
        </w:rPr>
        <w:t xml:space="preserve"> </w:t>
      </w:r>
      <w:r w:rsidRPr="0017450F">
        <w:rPr>
          <w:rFonts w:cs="Times New Roman"/>
          <w:sz w:val="20"/>
          <w:szCs w:val="20"/>
        </w:rPr>
        <w:t>use of discount rates in a gross premium valuation as contemplated in Section 4.D.2., then</w:t>
      </w:r>
      <w:r w:rsidR="005A261B" w:rsidRPr="0017450F">
        <w:rPr>
          <w:rFonts w:cs="Times New Roman"/>
          <w:sz w:val="20"/>
          <w:szCs w:val="20"/>
        </w:rPr>
        <w:t xml:space="preserve"> </w:t>
      </w:r>
      <w:r w:rsidRPr="0017450F">
        <w:rPr>
          <w:rFonts w:cs="Times New Roman"/>
          <w:sz w:val="20"/>
          <w:szCs w:val="20"/>
        </w:rPr>
        <w:t>justification shall be provided.</w:t>
      </w:r>
    </w:p>
    <w:p w14:paraId="4F7E9825"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367B12DD" w14:textId="2A8F77F0" w:rsidR="00D35B5F" w:rsidRDefault="00D35B5F" w:rsidP="00D35B5F">
      <w:pPr>
        <w:autoSpaceDE w:val="0"/>
        <w:autoSpaceDN w:val="0"/>
        <w:adjustRightInd w:val="0"/>
        <w:spacing w:after="0" w:line="240" w:lineRule="auto"/>
        <w:ind w:left="1260" w:hanging="720"/>
        <w:jc w:val="right"/>
        <w:rPr>
          <w:rStyle w:val="Hyperlink"/>
          <w:b/>
          <w:color w:val="auto"/>
          <w:sz w:val="20"/>
          <w:szCs w:val="20"/>
          <w:u w:val="none"/>
        </w:rPr>
      </w:pPr>
      <w:r w:rsidRPr="00910E58">
        <w:rPr>
          <w:rStyle w:val="Hyperlink"/>
          <w:b/>
          <w:color w:val="auto"/>
          <w:sz w:val="20"/>
          <w:szCs w:val="20"/>
          <w:u w:val="none"/>
        </w:rPr>
        <w:lastRenderedPageBreak/>
        <w:t>AG 51</w:t>
      </w:r>
    </w:p>
    <w:p w14:paraId="5CF8E8E2" w14:textId="77777777" w:rsidR="00D35B5F" w:rsidRDefault="00D35B5F" w:rsidP="00D35B5F">
      <w:pPr>
        <w:autoSpaceDE w:val="0"/>
        <w:autoSpaceDN w:val="0"/>
        <w:adjustRightInd w:val="0"/>
        <w:spacing w:after="0" w:line="240" w:lineRule="auto"/>
        <w:ind w:left="1260" w:hanging="720"/>
        <w:jc w:val="right"/>
        <w:rPr>
          <w:rFonts w:cs="Times New Roman"/>
          <w:sz w:val="20"/>
          <w:szCs w:val="20"/>
        </w:rPr>
      </w:pPr>
    </w:p>
    <w:p w14:paraId="19D24978" w14:textId="15EC56B2"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F. </w:t>
      </w:r>
      <w:r w:rsidR="005A261B" w:rsidRPr="0017450F">
        <w:rPr>
          <w:rFonts w:cs="Times New Roman"/>
          <w:sz w:val="20"/>
          <w:szCs w:val="20"/>
        </w:rPr>
        <w:tab/>
      </w:r>
      <w:r w:rsidRPr="0017450F">
        <w:rPr>
          <w:rFonts w:cs="Times New Roman"/>
          <w:sz w:val="20"/>
          <w:szCs w:val="20"/>
        </w:rPr>
        <w:t>Any rate increases already approved shall be documented by jurisdiction with approved</w:t>
      </w:r>
      <w:r w:rsidR="005A261B" w:rsidRPr="0017450F">
        <w:rPr>
          <w:rFonts w:cs="Times New Roman"/>
          <w:sz w:val="20"/>
          <w:szCs w:val="20"/>
        </w:rPr>
        <w:t xml:space="preserve"> </w:t>
      </w:r>
      <w:r w:rsidRPr="0017450F">
        <w:rPr>
          <w:rFonts w:cs="Times New Roman"/>
          <w:sz w:val="20"/>
          <w:szCs w:val="20"/>
        </w:rPr>
        <w:t>implementation timelines. Assumptions on future rate increases shall be documented by</w:t>
      </w:r>
      <w:r w:rsidR="005A261B" w:rsidRPr="0017450F">
        <w:rPr>
          <w:rFonts w:cs="Times New Roman"/>
          <w:sz w:val="20"/>
          <w:szCs w:val="20"/>
        </w:rPr>
        <w:t xml:space="preserve"> </w:t>
      </w:r>
      <w:r w:rsidRPr="0017450F">
        <w:rPr>
          <w:rFonts w:cs="Times New Roman"/>
          <w:sz w:val="20"/>
          <w:szCs w:val="20"/>
        </w:rPr>
        <w:t>policy form or policy grouping. Such documentation should adequately describe the way</w:t>
      </w:r>
      <w:r w:rsidR="005A261B" w:rsidRPr="0017450F">
        <w:rPr>
          <w:rFonts w:cs="Times New Roman"/>
          <w:sz w:val="20"/>
          <w:szCs w:val="20"/>
        </w:rPr>
        <w:t xml:space="preserve"> </w:t>
      </w:r>
      <w:r w:rsidRPr="0017450F">
        <w:rPr>
          <w:rFonts w:cs="Times New Roman"/>
          <w:sz w:val="20"/>
          <w:szCs w:val="20"/>
        </w:rPr>
        <w:t>in which future rate increase assumptions are developed. Unless the appointed actuary has</w:t>
      </w:r>
      <w:r w:rsidR="005A261B" w:rsidRPr="0017450F">
        <w:rPr>
          <w:rFonts w:cs="Times New Roman"/>
          <w:sz w:val="20"/>
          <w:szCs w:val="20"/>
        </w:rPr>
        <w:t xml:space="preserve"> </w:t>
      </w:r>
      <w:r w:rsidRPr="0017450F">
        <w:rPr>
          <w:rFonts w:cs="Times New Roman"/>
          <w:sz w:val="20"/>
          <w:szCs w:val="20"/>
        </w:rPr>
        <w:t>operational responsibility for carrying out the rate increase plan specified in Section 4.E.,</w:t>
      </w:r>
      <w:r w:rsidR="005A261B" w:rsidRPr="0017450F">
        <w:rPr>
          <w:rFonts w:cs="Times New Roman"/>
          <w:sz w:val="20"/>
          <w:szCs w:val="20"/>
        </w:rPr>
        <w:t xml:space="preserve"> </w:t>
      </w:r>
      <w:r w:rsidRPr="0017450F">
        <w:rPr>
          <w:rFonts w:cs="Times New Roman"/>
          <w:sz w:val="20"/>
          <w:szCs w:val="20"/>
        </w:rPr>
        <w:t>the Memorandum shall contain a signed and dated reliance statement from the person with</w:t>
      </w:r>
      <w:r w:rsidR="005A261B" w:rsidRPr="0017450F">
        <w:rPr>
          <w:rFonts w:cs="Times New Roman"/>
          <w:sz w:val="20"/>
          <w:szCs w:val="20"/>
        </w:rPr>
        <w:t xml:space="preserve"> </w:t>
      </w:r>
      <w:r w:rsidRPr="0017450F">
        <w:rPr>
          <w:rFonts w:cs="Times New Roman"/>
          <w:sz w:val="20"/>
          <w:szCs w:val="20"/>
        </w:rPr>
        <w:t>operational responsibility for carrying out such actions that the rate increase plan(s)</w:t>
      </w:r>
      <w:r w:rsidR="005A261B" w:rsidRPr="0017450F">
        <w:rPr>
          <w:rFonts w:cs="Times New Roman"/>
          <w:sz w:val="20"/>
          <w:szCs w:val="20"/>
        </w:rPr>
        <w:t xml:space="preserve"> </w:t>
      </w:r>
      <w:r w:rsidRPr="0017450F">
        <w:rPr>
          <w:rFonts w:cs="Times New Roman"/>
          <w:sz w:val="20"/>
          <w:szCs w:val="20"/>
        </w:rPr>
        <w:t>provided to the appointed actuary appropriately reflects management’s plan.</w:t>
      </w:r>
    </w:p>
    <w:p w14:paraId="134EC23F"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33592E00" w14:textId="5B24D583"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G. </w:t>
      </w:r>
      <w:r w:rsidR="005A261B" w:rsidRPr="0017450F">
        <w:rPr>
          <w:rFonts w:cs="Times New Roman"/>
          <w:sz w:val="20"/>
          <w:szCs w:val="20"/>
        </w:rPr>
        <w:tab/>
      </w:r>
      <w:r w:rsidRPr="0017450F">
        <w:rPr>
          <w:rFonts w:cs="Times New Roman"/>
          <w:sz w:val="20"/>
          <w:szCs w:val="20"/>
        </w:rPr>
        <w:t>Documentation of any other material assumptions shall be provided.</w:t>
      </w:r>
    </w:p>
    <w:p w14:paraId="6435C50A" w14:textId="77777777" w:rsidR="005A261B" w:rsidRPr="0017450F" w:rsidRDefault="005A261B" w:rsidP="005A261B">
      <w:pPr>
        <w:autoSpaceDE w:val="0"/>
        <w:autoSpaceDN w:val="0"/>
        <w:adjustRightInd w:val="0"/>
        <w:spacing w:after="0" w:line="240" w:lineRule="auto"/>
        <w:ind w:left="1260" w:hanging="720"/>
        <w:jc w:val="both"/>
        <w:rPr>
          <w:rFonts w:cs="Times New Roman"/>
          <w:sz w:val="20"/>
          <w:szCs w:val="20"/>
        </w:rPr>
      </w:pPr>
    </w:p>
    <w:p w14:paraId="293B40B3" w14:textId="2DE40EC9" w:rsidR="006B3018" w:rsidRPr="0017450F" w:rsidRDefault="006B3018" w:rsidP="005A261B">
      <w:pPr>
        <w:autoSpaceDE w:val="0"/>
        <w:autoSpaceDN w:val="0"/>
        <w:adjustRightInd w:val="0"/>
        <w:spacing w:after="0" w:line="240" w:lineRule="auto"/>
        <w:ind w:left="1260" w:hanging="720"/>
        <w:jc w:val="both"/>
        <w:rPr>
          <w:rFonts w:cs="Times New Roman"/>
          <w:sz w:val="20"/>
          <w:szCs w:val="20"/>
        </w:rPr>
      </w:pPr>
      <w:r w:rsidRPr="0017450F">
        <w:rPr>
          <w:rFonts w:cs="Times New Roman"/>
          <w:sz w:val="20"/>
          <w:szCs w:val="20"/>
        </w:rPr>
        <w:t xml:space="preserve">H. </w:t>
      </w:r>
      <w:r w:rsidR="005A261B" w:rsidRPr="0017450F">
        <w:rPr>
          <w:rFonts w:cs="Times New Roman"/>
          <w:sz w:val="20"/>
          <w:szCs w:val="20"/>
        </w:rPr>
        <w:tab/>
      </w:r>
      <w:r w:rsidRPr="0017450F">
        <w:rPr>
          <w:rFonts w:cs="Times New Roman"/>
          <w:sz w:val="20"/>
          <w:szCs w:val="20"/>
        </w:rPr>
        <w:t>Documentation shall be provided for assumptions that have significantly changed from the</w:t>
      </w:r>
      <w:r w:rsidR="005A261B" w:rsidRPr="0017450F">
        <w:rPr>
          <w:rFonts w:cs="Times New Roman"/>
          <w:sz w:val="20"/>
          <w:szCs w:val="20"/>
        </w:rPr>
        <w:t xml:space="preserve"> </w:t>
      </w:r>
      <w:r w:rsidRPr="0017450F">
        <w:rPr>
          <w:rFonts w:cs="Times New Roman"/>
          <w:sz w:val="20"/>
          <w:szCs w:val="20"/>
        </w:rPr>
        <w:t>prior year’s analysis.</w:t>
      </w:r>
    </w:p>
    <w:sectPr w:rsidR="006B3018" w:rsidRPr="001745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6BD2" w14:textId="77777777" w:rsidR="006B3018" w:rsidRDefault="006B3018" w:rsidP="00E3427E">
      <w:pPr>
        <w:spacing w:after="0" w:line="240" w:lineRule="auto"/>
      </w:pPr>
      <w:r>
        <w:separator/>
      </w:r>
    </w:p>
  </w:endnote>
  <w:endnote w:type="continuationSeparator" w:id="0">
    <w:p w14:paraId="6A2406B7" w14:textId="77777777" w:rsidR="006B3018" w:rsidRDefault="006B3018"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5616" w14:textId="01ECAE13" w:rsidR="006874A6" w:rsidRDefault="006874A6">
    <w:pPr>
      <w:pStyle w:val="Footer"/>
    </w:pPr>
    <w:r>
      <w:rPr>
        <w:rFonts w:cs="Times New Roman"/>
        <w:sz w:val="20"/>
      </w:rPr>
      <w:t>© 201</w:t>
    </w:r>
    <w:r>
      <w:rPr>
        <w:rFonts w:cs="Times New Roman"/>
        <w:sz w:val="20"/>
      </w:rPr>
      <w:t>8</w:t>
    </w:r>
    <w:r w:rsidRPr="00536555">
      <w:rPr>
        <w:rFonts w:cs="Times New Roman"/>
        <w:sz w:val="20"/>
      </w:rPr>
      <w:t xml:space="preserve"> National Association of Insurance Commissioners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5F7D" w14:textId="77777777" w:rsidR="006B3018" w:rsidRDefault="006B3018" w:rsidP="00E3427E">
      <w:pPr>
        <w:spacing w:after="0" w:line="240" w:lineRule="auto"/>
      </w:pPr>
      <w:r>
        <w:separator/>
      </w:r>
    </w:p>
  </w:footnote>
  <w:footnote w:type="continuationSeparator" w:id="0">
    <w:p w14:paraId="33CC23EA" w14:textId="77777777" w:rsidR="006B3018" w:rsidRDefault="006B3018" w:rsidP="00E34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93979"/>
      <w:docPartObj>
        <w:docPartGallery w:val="Page Numbers (Top of Page)"/>
        <w:docPartUnique/>
      </w:docPartObj>
    </w:sdtPr>
    <w:sdtEndPr>
      <w:rPr>
        <w:noProof/>
      </w:rPr>
    </w:sdtEndPr>
    <w:sdtContent>
      <w:p w14:paraId="64A32528" w14:textId="3D7B26F3" w:rsidR="006B3018" w:rsidRDefault="00D35B5F" w:rsidP="00D35B5F">
        <w:pPr>
          <w:pStyle w:val="Header"/>
          <w:tabs>
            <w:tab w:val="left" w:pos="280"/>
          </w:tabs>
        </w:pPr>
        <w:r>
          <w:rPr>
            <w:noProof/>
          </w:rPr>
          <w:drawing>
            <wp:anchor distT="152400" distB="152400" distL="152400" distR="152400" simplePos="0" relativeHeight="251659264" behindDoc="0" locked="0" layoutInCell="1" allowOverlap="1" wp14:anchorId="169B935E" wp14:editId="72814074">
              <wp:simplePos x="0" y="0"/>
              <wp:positionH relativeFrom="page">
                <wp:posOffset>892810</wp:posOffset>
              </wp:positionH>
              <wp:positionV relativeFrom="page">
                <wp:posOffset>391160</wp:posOffset>
              </wp:positionV>
              <wp:extent cx="2286000" cy="320040"/>
              <wp:effectExtent l="0" t="0" r="0" b="3810"/>
              <wp:wrapThrough wrapText="bothSides">
                <wp:wrapPolygon edited="0">
                  <wp:start x="0" y="0"/>
                  <wp:lineTo x="0" y="20571"/>
                  <wp:lineTo x="8280" y="20571"/>
                  <wp:lineTo x="21420" y="20571"/>
                  <wp:lineTo x="214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6B3018">
          <w:fldChar w:fldCharType="begin"/>
        </w:r>
        <w:r w:rsidR="006B3018">
          <w:instrText xml:space="preserve"> PAGE   \* MERGEFORMAT </w:instrText>
        </w:r>
        <w:r w:rsidR="006B3018">
          <w:fldChar w:fldCharType="separate"/>
        </w:r>
        <w:r w:rsidR="006874A6">
          <w:rPr>
            <w:noProof/>
          </w:rPr>
          <w:t>10</w:t>
        </w:r>
        <w:r w:rsidR="006B3018">
          <w:rPr>
            <w:noProof/>
          </w:rPr>
          <w:fldChar w:fldCharType="end"/>
        </w:r>
      </w:p>
    </w:sdtContent>
  </w:sdt>
  <w:p w14:paraId="2AB6830D" w14:textId="77777777" w:rsidR="006B3018" w:rsidRDefault="006B3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272FA"/>
    <w:multiLevelType w:val="hybridMultilevel"/>
    <w:tmpl w:val="D9D0A5BA"/>
    <w:lvl w:ilvl="0" w:tplc="4028C6C2">
      <w:start w:val="1"/>
      <w:numFmt w:val="upperRoman"/>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583B79"/>
    <w:multiLevelType w:val="hybridMultilevel"/>
    <w:tmpl w:val="716E24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7729D2"/>
    <w:multiLevelType w:val="hybridMultilevel"/>
    <w:tmpl w:val="BA1082E4"/>
    <w:lvl w:ilvl="0" w:tplc="9286821E">
      <w:start w:val="2"/>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711E6"/>
    <w:multiLevelType w:val="hybridMultilevel"/>
    <w:tmpl w:val="BEFA24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E87B04"/>
    <w:multiLevelType w:val="hybridMultilevel"/>
    <w:tmpl w:val="7DA81632"/>
    <w:lvl w:ilvl="0" w:tplc="BA6E8384">
      <w:start w:val="4"/>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356A09"/>
    <w:multiLevelType w:val="hybridMultilevel"/>
    <w:tmpl w:val="4F2C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D099D"/>
    <w:multiLevelType w:val="hybridMultilevel"/>
    <w:tmpl w:val="CAA480B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54247"/>
    <w:multiLevelType w:val="hybridMultilevel"/>
    <w:tmpl w:val="D7626F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9570D6"/>
    <w:multiLevelType w:val="hybridMultilevel"/>
    <w:tmpl w:val="2BCEC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5B253A"/>
    <w:multiLevelType w:val="hybridMultilevel"/>
    <w:tmpl w:val="ADD4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B74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514520"/>
    <w:multiLevelType w:val="hybridMultilevel"/>
    <w:tmpl w:val="38E4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600D5"/>
    <w:multiLevelType w:val="hybridMultilevel"/>
    <w:tmpl w:val="702CEC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986518"/>
    <w:multiLevelType w:val="hybridMultilevel"/>
    <w:tmpl w:val="51D84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8"/>
  </w:num>
  <w:num w:numId="5">
    <w:abstractNumId w:val="15"/>
  </w:num>
  <w:num w:numId="6">
    <w:abstractNumId w:val="3"/>
  </w:num>
  <w:num w:numId="7">
    <w:abstractNumId w:val="6"/>
  </w:num>
  <w:num w:numId="8">
    <w:abstractNumId w:val="20"/>
  </w:num>
  <w:num w:numId="9">
    <w:abstractNumId w:val="17"/>
  </w:num>
  <w:num w:numId="10">
    <w:abstractNumId w:val="14"/>
  </w:num>
  <w:num w:numId="11">
    <w:abstractNumId w:val="12"/>
  </w:num>
  <w:num w:numId="12">
    <w:abstractNumId w:val="9"/>
  </w:num>
  <w:num w:numId="13">
    <w:abstractNumId w:val="21"/>
  </w:num>
  <w:num w:numId="14">
    <w:abstractNumId w:val="19"/>
  </w:num>
  <w:num w:numId="15">
    <w:abstractNumId w:val="16"/>
  </w:num>
  <w:num w:numId="16">
    <w:abstractNumId w:val="7"/>
  </w:num>
  <w:num w:numId="17">
    <w:abstractNumId w:val="4"/>
  </w:num>
  <w:num w:numId="18">
    <w:abstractNumId w:val="10"/>
  </w:num>
  <w:num w:numId="19">
    <w:abstractNumId w:val="25"/>
  </w:num>
  <w:num w:numId="20">
    <w:abstractNumId w:val="0"/>
  </w:num>
  <w:num w:numId="21">
    <w:abstractNumId w:val="24"/>
  </w:num>
  <w:num w:numId="22">
    <w:abstractNumId w:val="1"/>
  </w:num>
  <w:num w:numId="23">
    <w:abstractNumId w:val="13"/>
  </w:num>
  <w:num w:numId="24">
    <w:abstractNumId w:val="23"/>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57"/>
    <w:rsid w:val="00004970"/>
    <w:rsid w:val="00011162"/>
    <w:rsid w:val="00071DBF"/>
    <w:rsid w:val="000A504B"/>
    <w:rsid w:val="000C44F6"/>
    <w:rsid w:val="000E10BE"/>
    <w:rsid w:val="000E5F16"/>
    <w:rsid w:val="0012229C"/>
    <w:rsid w:val="00123FBB"/>
    <w:rsid w:val="0012449A"/>
    <w:rsid w:val="00146F13"/>
    <w:rsid w:val="0017450F"/>
    <w:rsid w:val="001A159C"/>
    <w:rsid w:val="00217DC0"/>
    <w:rsid w:val="00222818"/>
    <w:rsid w:val="002232C7"/>
    <w:rsid w:val="00235C1D"/>
    <w:rsid w:val="002706BF"/>
    <w:rsid w:val="002814AB"/>
    <w:rsid w:val="002D6D8B"/>
    <w:rsid w:val="002E07D7"/>
    <w:rsid w:val="00302612"/>
    <w:rsid w:val="00312174"/>
    <w:rsid w:val="00316CF3"/>
    <w:rsid w:val="00343006"/>
    <w:rsid w:val="003874DA"/>
    <w:rsid w:val="0038785E"/>
    <w:rsid w:val="003A71BF"/>
    <w:rsid w:val="003B4B6F"/>
    <w:rsid w:val="003C07F9"/>
    <w:rsid w:val="003C61EA"/>
    <w:rsid w:val="003E4065"/>
    <w:rsid w:val="003F588E"/>
    <w:rsid w:val="003F7AF9"/>
    <w:rsid w:val="00427DA3"/>
    <w:rsid w:val="00442FA8"/>
    <w:rsid w:val="00465E66"/>
    <w:rsid w:val="00487761"/>
    <w:rsid w:val="004A3CB2"/>
    <w:rsid w:val="004C0895"/>
    <w:rsid w:val="0052423B"/>
    <w:rsid w:val="00535B51"/>
    <w:rsid w:val="00546753"/>
    <w:rsid w:val="00575CA1"/>
    <w:rsid w:val="005A0318"/>
    <w:rsid w:val="005A261B"/>
    <w:rsid w:val="005A71FA"/>
    <w:rsid w:val="005B21B1"/>
    <w:rsid w:val="005B7B30"/>
    <w:rsid w:val="005F3CA2"/>
    <w:rsid w:val="005F56AA"/>
    <w:rsid w:val="00610968"/>
    <w:rsid w:val="006176CD"/>
    <w:rsid w:val="00630AB4"/>
    <w:rsid w:val="00650C78"/>
    <w:rsid w:val="00654332"/>
    <w:rsid w:val="006874A6"/>
    <w:rsid w:val="0069027A"/>
    <w:rsid w:val="006A168B"/>
    <w:rsid w:val="006A2E97"/>
    <w:rsid w:val="006B3018"/>
    <w:rsid w:val="006B693D"/>
    <w:rsid w:val="006D5C9C"/>
    <w:rsid w:val="006F5DB3"/>
    <w:rsid w:val="00740E04"/>
    <w:rsid w:val="007615B8"/>
    <w:rsid w:val="00762D14"/>
    <w:rsid w:val="007A356E"/>
    <w:rsid w:val="007D1B6D"/>
    <w:rsid w:val="007E5415"/>
    <w:rsid w:val="007F2875"/>
    <w:rsid w:val="0082021A"/>
    <w:rsid w:val="00820D38"/>
    <w:rsid w:val="00834110"/>
    <w:rsid w:val="00850561"/>
    <w:rsid w:val="008517FB"/>
    <w:rsid w:val="00881A60"/>
    <w:rsid w:val="00895E6C"/>
    <w:rsid w:val="00910E58"/>
    <w:rsid w:val="00944857"/>
    <w:rsid w:val="00944AC8"/>
    <w:rsid w:val="009A2542"/>
    <w:rsid w:val="00A06AF9"/>
    <w:rsid w:val="00A61471"/>
    <w:rsid w:val="00AD0C03"/>
    <w:rsid w:val="00AD4A03"/>
    <w:rsid w:val="00AE45AE"/>
    <w:rsid w:val="00B238F0"/>
    <w:rsid w:val="00B34B36"/>
    <w:rsid w:val="00B663C7"/>
    <w:rsid w:val="00B71A68"/>
    <w:rsid w:val="00B86254"/>
    <w:rsid w:val="00B97F3D"/>
    <w:rsid w:val="00BA1FA8"/>
    <w:rsid w:val="00BB3C31"/>
    <w:rsid w:val="00BC15E0"/>
    <w:rsid w:val="00C1184F"/>
    <w:rsid w:val="00C27683"/>
    <w:rsid w:val="00C36198"/>
    <w:rsid w:val="00CA3ACA"/>
    <w:rsid w:val="00CD2E78"/>
    <w:rsid w:val="00CD4F43"/>
    <w:rsid w:val="00CE2AF4"/>
    <w:rsid w:val="00CE7EFA"/>
    <w:rsid w:val="00CF694E"/>
    <w:rsid w:val="00D07052"/>
    <w:rsid w:val="00D27A3B"/>
    <w:rsid w:val="00D35B5F"/>
    <w:rsid w:val="00D56332"/>
    <w:rsid w:val="00D61F1E"/>
    <w:rsid w:val="00DA09ED"/>
    <w:rsid w:val="00DE0A25"/>
    <w:rsid w:val="00DF374A"/>
    <w:rsid w:val="00E04964"/>
    <w:rsid w:val="00E0607C"/>
    <w:rsid w:val="00E3427E"/>
    <w:rsid w:val="00E41FF1"/>
    <w:rsid w:val="00E42BA2"/>
    <w:rsid w:val="00E46E57"/>
    <w:rsid w:val="00E84FE7"/>
    <w:rsid w:val="00E906E8"/>
    <w:rsid w:val="00EA55C7"/>
    <w:rsid w:val="00F11835"/>
    <w:rsid w:val="00F1607D"/>
    <w:rsid w:val="00F579C1"/>
    <w:rsid w:val="00F612F2"/>
    <w:rsid w:val="00F961DA"/>
    <w:rsid w:val="00FB60C2"/>
    <w:rsid w:val="00FC583C"/>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E46E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uiPriority w:val="99"/>
    <w:semiHidden/>
    <w:unhideWhenUsed/>
    <w:rsid w:val="00D07052"/>
    <w:rPr>
      <w:sz w:val="16"/>
      <w:szCs w:val="16"/>
    </w:rPr>
  </w:style>
  <w:style w:type="paragraph" w:styleId="CommentText">
    <w:name w:val="annotation text"/>
    <w:basedOn w:val="Normal"/>
    <w:link w:val="CommentTextChar"/>
    <w:uiPriority w:val="99"/>
    <w:unhideWhenUsed/>
    <w:rsid w:val="00D07052"/>
    <w:pPr>
      <w:spacing w:line="240" w:lineRule="auto"/>
    </w:pPr>
    <w:rPr>
      <w:sz w:val="20"/>
      <w:szCs w:val="20"/>
    </w:rPr>
  </w:style>
  <w:style w:type="character" w:customStyle="1" w:styleId="CommentTextChar">
    <w:name w:val="Comment Text Char"/>
    <w:basedOn w:val="DefaultParagraphFont"/>
    <w:link w:val="CommentText"/>
    <w:uiPriority w:val="99"/>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E46E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uiPriority w:val="99"/>
    <w:semiHidden/>
    <w:unhideWhenUsed/>
    <w:rsid w:val="00D07052"/>
    <w:rPr>
      <w:sz w:val="16"/>
      <w:szCs w:val="16"/>
    </w:rPr>
  </w:style>
  <w:style w:type="paragraph" w:styleId="CommentText">
    <w:name w:val="annotation text"/>
    <w:basedOn w:val="Normal"/>
    <w:link w:val="CommentTextChar"/>
    <w:uiPriority w:val="99"/>
    <w:unhideWhenUsed/>
    <w:rsid w:val="00D07052"/>
    <w:pPr>
      <w:spacing w:line="240" w:lineRule="auto"/>
    </w:pPr>
    <w:rPr>
      <w:sz w:val="20"/>
      <w:szCs w:val="20"/>
    </w:rPr>
  </w:style>
  <w:style w:type="character" w:customStyle="1" w:styleId="CommentTextChar">
    <w:name w:val="Comment Text Char"/>
    <w:basedOn w:val="DefaultParagraphFont"/>
    <w:link w:val="CommentText"/>
    <w:uiPriority w:val="99"/>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7585-118E-45CC-A6DB-CE77E18C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2018-10-05T17:35:00Z</dcterms:created>
  <dcterms:modified xsi:type="dcterms:W3CDTF">2018-10-05T17:39:00Z</dcterms:modified>
</cp:coreProperties>
</file>