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C9" w:rsidRPr="00A060C9" w:rsidRDefault="00A060C9" w:rsidP="002B4B92">
      <w:pPr>
        <w:rPr>
          <w:rFonts w:asciiTheme="majorHAnsi" w:hAnsiTheme="majorHAnsi" w:cstheme="majorHAnsi"/>
          <w:b/>
          <w:lang w:val="en"/>
        </w:rPr>
      </w:pPr>
      <w:bookmarkStart w:id="0" w:name="_GoBack"/>
      <w:bookmarkEnd w:id="0"/>
    </w:p>
    <w:p w:rsidR="00B90ABD" w:rsidRPr="00A060C9" w:rsidRDefault="00E0313F" w:rsidP="002B4B92">
      <w:pPr>
        <w:rPr>
          <w:rFonts w:asciiTheme="majorHAnsi" w:hAnsiTheme="majorHAnsi" w:cstheme="majorHAnsi"/>
          <w:b/>
          <w:lang w:val="en"/>
        </w:rPr>
      </w:pPr>
      <w:r w:rsidRPr="00A060C9">
        <w:rPr>
          <w:rFonts w:asciiTheme="majorHAnsi" w:hAnsiTheme="majorHAnsi" w:cstheme="majorHAnsi"/>
          <w:b/>
          <w:lang w:val="en"/>
        </w:rPr>
        <w:t>B</w:t>
      </w:r>
      <w:r w:rsidR="00B90ABD" w:rsidRPr="00A060C9">
        <w:rPr>
          <w:rFonts w:asciiTheme="majorHAnsi" w:hAnsiTheme="majorHAnsi" w:cstheme="majorHAnsi"/>
          <w:b/>
          <w:lang w:val="en"/>
        </w:rPr>
        <w:t>ackground</w:t>
      </w:r>
    </w:p>
    <w:p w:rsidR="00B90ABD" w:rsidRPr="00A060C9" w:rsidRDefault="00B90ABD" w:rsidP="002B4B92">
      <w:pPr>
        <w:rPr>
          <w:rFonts w:asciiTheme="majorHAnsi" w:hAnsiTheme="majorHAnsi" w:cstheme="majorHAnsi"/>
          <w:lang w:val="en"/>
        </w:rPr>
      </w:pPr>
    </w:p>
    <w:p w:rsidR="002B4B92" w:rsidRPr="00A060C9" w:rsidRDefault="002A3F5A" w:rsidP="00803791">
      <w:pPr>
        <w:rPr>
          <w:rFonts w:asciiTheme="majorHAnsi" w:hAnsiTheme="majorHAnsi" w:cstheme="majorHAnsi"/>
          <w:lang w:val="en"/>
        </w:rPr>
      </w:pPr>
      <w:r w:rsidRPr="00A060C9">
        <w:rPr>
          <w:rFonts w:asciiTheme="majorHAnsi" w:hAnsiTheme="majorHAnsi" w:cstheme="majorHAnsi"/>
          <w:lang w:val="en"/>
        </w:rPr>
        <w:t>In 2018, CASTF accepted the qualified actuary continuing competence verification process proposal put forth by the CAS and SOA joint task force. This report from the CAS and SOA joint task force updates CASTF on the continued work of the CAS and SOA in developing procedures to implement the proposal</w:t>
      </w:r>
      <w:r w:rsidR="009C00B0" w:rsidRPr="00A060C9">
        <w:rPr>
          <w:rFonts w:asciiTheme="majorHAnsi" w:hAnsiTheme="majorHAnsi" w:cstheme="majorHAnsi"/>
          <w:lang w:val="en"/>
        </w:rPr>
        <w:t xml:space="preserve">. </w:t>
      </w:r>
    </w:p>
    <w:p w:rsidR="002A3F5A" w:rsidRPr="00A060C9" w:rsidRDefault="002A3F5A" w:rsidP="002B4B92">
      <w:pPr>
        <w:rPr>
          <w:rFonts w:asciiTheme="majorHAnsi" w:hAnsiTheme="majorHAnsi" w:cstheme="majorHAnsi"/>
          <w:lang w:val="en"/>
        </w:rPr>
      </w:pPr>
    </w:p>
    <w:p w:rsidR="002A3F5A" w:rsidRPr="00A060C9" w:rsidRDefault="002A3F5A" w:rsidP="002B4B92">
      <w:pPr>
        <w:rPr>
          <w:rFonts w:asciiTheme="majorHAnsi" w:hAnsiTheme="majorHAnsi" w:cstheme="majorHAnsi"/>
          <w:lang w:val="en"/>
        </w:rPr>
      </w:pPr>
      <w:r w:rsidRPr="00A060C9">
        <w:rPr>
          <w:rFonts w:asciiTheme="majorHAnsi" w:hAnsiTheme="majorHAnsi" w:cstheme="majorHAnsi"/>
          <w:lang w:val="en"/>
        </w:rPr>
        <w:t>We welcome CASTF’s thoughts</w:t>
      </w:r>
      <w:r w:rsidR="00EB6F0F" w:rsidRPr="00A060C9">
        <w:rPr>
          <w:rFonts w:asciiTheme="majorHAnsi" w:hAnsiTheme="majorHAnsi" w:cstheme="majorHAnsi"/>
          <w:lang w:val="en"/>
        </w:rPr>
        <w:t xml:space="preserve">, </w:t>
      </w:r>
      <w:r w:rsidRPr="00A060C9">
        <w:rPr>
          <w:rFonts w:asciiTheme="majorHAnsi" w:hAnsiTheme="majorHAnsi" w:cstheme="majorHAnsi"/>
          <w:lang w:val="en"/>
        </w:rPr>
        <w:t>suggestions</w:t>
      </w:r>
      <w:r w:rsidR="00EB6F0F" w:rsidRPr="00A060C9">
        <w:rPr>
          <w:rFonts w:asciiTheme="majorHAnsi" w:hAnsiTheme="majorHAnsi" w:cstheme="majorHAnsi"/>
          <w:lang w:val="en"/>
        </w:rPr>
        <w:t xml:space="preserve"> and </w:t>
      </w:r>
      <w:r w:rsidR="00803791" w:rsidRPr="00A060C9">
        <w:rPr>
          <w:rFonts w:asciiTheme="majorHAnsi" w:hAnsiTheme="majorHAnsi" w:cstheme="majorHAnsi"/>
          <w:lang w:val="en"/>
        </w:rPr>
        <w:t>guidance</w:t>
      </w:r>
      <w:r w:rsidRPr="00A060C9">
        <w:rPr>
          <w:rFonts w:asciiTheme="majorHAnsi" w:hAnsiTheme="majorHAnsi" w:cstheme="majorHAnsi"/>
          <w:lang w:val="en"/>
        </w:rPr>
        <w:t xml:space="preserve"> regarding the details outlined in this report</w:t>
      </w:r>
      <w:r w:rsidR="00EB6F0F" w:rsidRPr="00A060C9">
        <w:rPr>
          <w:rFonts w:asciiTheme="majorHAnsi" w:hAnsiTheme="majorHAnsi" w:cstheme="majorHAnsi"/>
          <w:lang w:val="en"/>
        </w:rPr>
        <w:t>. Our</w:t>
      </w:r>
      <w:r w:rsidRPr="00A060C9">
        <w:rPr>
          <w:rFonts w:asciiTheme="majorHAnsi" w:hAnsiTheme="majorHAnsi" w:cstheme="majorHAnsi"/>
          <w:lang w:val="en"/>
        </w:rPr>
        <w:t xml:space="preserve"> aim is to implement a process for recording </w:t>
      </w:r>
      <w:r w:rsidR="00A060C9" w:rsidRPr="00A060C9">
        <w:rPr>
          <w:rFonts w:asciiTheme="majorHAnsi" w:hAnsiTheme="majorHAnsi" w:cstheme="majorHAnsi"/>
          <w:lang w:val="en"/>
        </w:rPr>
        <w:t>continuing education (CE)</w:t>
      </w:r>
      <w:r w:rsidR="00EB6F0F" w:rsidRPr="00A060C9">
        <w:rPr>
          <w:rFonts w:asciiTheme="majorHAnsi" w:hAnsiTheme="majorHAnsi" w:cstheme="majorHAnsi"/>
          <w:lang w:val="en"/>
        </w:rPr>
        <w:t>,</w:t>
      </w:r>
      <w:r w:rsidRPr="00A060C9">
        <w:rPr>
          <w:rFonts w:asciiTheme="majorHAnsi" w:hAnsiTheme="majorHAnsi" w:cstheme="majorHAnsi"/>
          <w:lang w:val="en"/>
        </w:rPr>
        <w:t xml:space="preserve"> and an annual NAIC report containing both qualitative and quantitative information</w:t>
      </w:r>
      <w:r w:rsidR="00EB6F0F" w:rsidRPr="00A060C9">
        <w:rPr>
          <w:rFonts w:asciiTheme="majorHAnsi" w:hAnsiTheme="majorHAnsi" w:cstheme="majorHAnsi"/>
          <w:lang w:val="en"/>
        </w:rPr>
        <w:t>,</w:t>
      </w:r>
      <w:r w:rsidRPr="00A060C9">
        <w:rPr>
          <w:rFonts w:asciiTheme="majorHAnsi" w:hAnsiTheme="majorHAnsi" w:cstheme="majorHAnsi"/>
          <w:lang w:val="en"/>
        </w:rPr>
        <w:t xml:space="preserve"> that will be useful to the NAIC in assessing CE for qualified actuaries. </w:t>
      </w:r>
    </w:p>
    <w:p w:rsidR="00803791" w:rsidRPr="00A060C9" w:rsidRDefault="00803791" w:rsidP="002B4B92">
      <w:pPr>
        <w:rPr>
          <w:rFonts w:asciiTheme="majorHAnsi" w:hAnsiTheme="majorHAnsi" w:cstheme="majorHAnsi"/>
          <w:lang w:val="en"/>
        </w:rPr>
      </w:pPr>
    </w:p>
    <w:p w:rsidR="00803791" w:rsidRPr="00A060C9" w:rsidRDefault="00803791" w:rsidP="00803791">
      <w:pPr>
        <w:rPr>
          <w:rFonts w:asciiTheme="majorHAnsi" w:hAnsiTheme="majorHAnsi" w:cstheme="majorHAnsi"/>
          <w:lang w:val="en"/>
        </w:rPr>
      </w:pPr>
      <w:r w:rsidRPr="00A060C9">
        <w:rPr>
          <w:rFonts w:asciiTheme="majorHAnsi" w:hAnsiTheme="majorHAnsi" w:cstheme="majorHAnsi"/>
          <w:lang w:val="en"/>
        </w:rPr>
        <w:t>CASTF’s related 2019 charge directs CASTF:</w:t>
      </w:r>
    </w:p>
    <w:p w:rsidR="00803791" w:rsidRPr="00A060C9" w:rsidRDefault="00803791" w:rsidP="00803791">
      <w:pPr>
        <w:rPr>
          <w:rFonts w:asciiTheme="majorHAnsi" w:hAnsiTheme="majorHAnsi" w:cstheme="majorHAnsi"/>
          <w:lang w:val="en"/>
        </w:rPr>
      </w:pPr>
    </w:p>
    <w:p w:rsidR="00803791" w:rsidRPr="00A060C9" w:rsidRDefault="00803791" w:rsidP="00803791">
      <w:pPr>
        <w:ind w:left="720"/>
        <w:rPr>
          <w:rFonts w:asciiTheme="majorHAnsi" w:hAnsiTheme="majorHAnsi" w:cstheme="majorHAnsi"/>
          <w:lang w:val="en"/>
        </w:rPr>
      </w:pPr>
      <w:r w:rsidRPr="00A060C9">
        <w:rPr>
          <w:rFonts w:asciiTheme="majorHAnsi" w:hAnsiTheme="majorHAnsi" w:cstheme="majorHAnsi"/>
          <w:lang w:val="en"/>
        </w:rPr>
        <w:t>“identify 1) whether the P/C Appointed Actuaries' logs of continuing education (CE) should contain any particular categorization to assist regulatory review; 2) what types of learning P/C Appointed Actuaries are using to meet CE requirements for "Specific Qualification Standards" today; and 3) whether more specificity should be added to the P/C Appointed Actuaries' CE requirements to ensure CE is aligned with the educational needs for a P/C Appointed Actuary.”</w:t>
      </w:r>
    </w:p>
    <w:p w:rsidR="002B4B92" w:rsidRPr="00A060C9" w:rsidRDefault="002B4B92" w:rsidP="002B4B92">
      <w:pPr>
        <w:rPr>
          <w:rFonts w:asciiTheme="majorHAnsi" w:hAnsiTheme="majorHAnsi" w:cstheme="majorHAnsi"/>
        </w:rPr>
      </w:pPr>
    </w:p>
    <w:p w:rsidR="002B4B92" w:rsidRPr="00A060C9" w:rsidRDefault="002B4B92" w:rsidP="002B4B92">
      <w:pPr>
        <w:rPr>
          <w:rFonts w:asciiTheme="majorHAnsi" w:hAnsiTheme="majorHAnsi" w:cstheme="majorHAnsi"/>
          <w:b/>
        </w:rPr>
      </w:pPr>
      <w:r w:rsidRPr="00A060C9">
        <w:rPr>
          <w:rFonts w:asciiTheme="majorHAnsi" w:hAnsiTheme="majorHAnsi" w:cstheme="majorHAnsi"/>
          <w:b/>
        </w:rPr>
        <w:t>Qualified Actuary CE Categorization</w:t>
      </w:r>
    </w:p>
    <w:p w:rsidR="002B4B92" w:rsidRPr="00A060C9" w:rsidRDefault="002B4B92" w:rsidP="002B4B92">
      <w:pPr>
        <w:rPr>
          <w:rFonts w:asciiTheme="majorHAnsi" w:hAnsiTheme="majorHAnsi" w:cstheme="majorHAnsi"/>
          <w:b/>
        </w:rPr>
      </w:pPr>
    </w:p>
    <w:p w:rsidR="002B4B92" w:rsidRPr="00A060C9" w:rsidRDefault="002B4B92" w:rsidP="002B4B92">
      <w:pPr>
        <w:rPr>
          <w:rFonts w:asciiTheme="majorHAnsi" w:hAnsiTheme="majorHAnsi" w:cstheme="majorHAnsi"/>
        </w:rPr>
      </w:pPr>
      <w:r w:rsidRPr="00A060C9">
        <w:rPr>
          <w:rFonts w:asciiTheme="majorHAnsi" w:hAnsiTheme="majorHAnsi" w:cstheme="majorHAnsi"/>
        </w:rPr>
        <w:t xml:space="preserve">For Year 1, the CAS and SOA will </w:t>
      </w:r>
      <w:r w:rsidR="00EB6F0F" w:rsidRPr="00A060C9">
        <w:rPr>
          <w:rFonts w:asciiTheme="majorHAnsi" w:hAnsiTheme="majorHAnsi" w:cstheme="majorHAnsi"/>
        </w:rPr>
        <w:t>review</w:t>
      </w:r>
      <w:r w:rsidRPr="00A060C9">
        <w:rPr>
          <w:rFonts w:asciiTheme="majorHAnsi" w:hAnsiTheme="majorHAnsi" w:cstheme="majorHAnsi"/>
        </w:rPr>
        <w:t xml:space="preserve"> to the current. 3.1.1.2 definition categories. Going forward we believe it </w:t>
      </w:r>
      <w:r w:rsidR="00EB6F0F" w:rsidRPr="00A060C9">
        <w:rPr>
          <w:rFonts w:asciiTheme="majorHAnsi" w:hAnsiTheme="majorHAnsi" w:cstheme="majorHAnsi"/>
        </w:rPr>
        <w:t>is</w:t>
      </w:r>
      <w:r w:rsidRPr="00A060C9">
        <w:rPr>
          <w:rFonts w:asciiTheme="majorHAnsi" w:hAnsiTheme="majorHAnsi" w:cstheme="majorHAnsi"/>
        </w:rPr>
        <w:t xml:space="preserve"> logical to refer to the 91 knowledge statements list that was methodically developed in 2018</w:t>
      </w:r>
      <w:r w:rsidR="002B091B">
        <w:rPr>
          <w:rFonts w:asciiTheme="majorHAnsi" w:hAnsiTheme="majorHAnsi" w:cstheme="majorHAnsi"/>
        </w:rPr>
        <w:t>, per the NAIC’s oversight,</w:t>
      </w:r>
      <w:r w:rsidRPr="00A060C9">
        <w:rPr>
          <w:rFonts w:asciiTheme="majorHAnsi" w:hAnsiTheme="majorHAnsi" w:cstheme="majorHAnsi"/>
        </w:rPr>
        <w:t xml:space="preserve"> for a P/C education program. The joint task force refined the list to apply to CE by removing subcategories that were suited specifically to basic education, and adding several additional categories that were appropriate to obtain through CE. Below is the resulting list of CE categories showing the joint task force’s: 1) removal of certain categories reflected by strike throughs; 2) addition of categories for CE (highlighted in yellow); and 3) thought processes (provided in CAPS). </w:t>
      </w:r>
    </w:p>
    <w:p w:rsidR="002B4B92" w:rsidRPr="00A060C9" w:rsidRDefault="002B4B92" w:rsidP="002B4B92">
      <w:pPr>
        <w:rPr>
          <w:rFonts w:asciiTheme="majorHAnsi" w:hAnsiTheme="majorHAnsi" w:cstheme="majorHAnsi"/>
        </w:rPr>
      </w:pP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 xml:space="preserve">Law/Regulation [NO SUBDOMAINS - SUBCATEGORIES LISTED FOR BASIC EDUCATION TOO DETAILED/NOT MEANINGFUL FOR CONTINUING EDUCATION – continuing education will most likely incorporate law/regulation INTO other topics or conversations on law/regulation in day to day work] </w:t>
      </w: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 xml:space="preserve">Policy form/coverage/underwriting/marketing (KEEP AS A SINGLE DOMAIN - WHEN TALKING ABOUT NEW/EVOLVING COVERAGES WILL COVER MANY OF THESE WITHIN A SINGLE SESSION)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Form/Coverage</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Premium rates</w:t>
      </w:r>
      <w:r w:rsidRPr="00A060C9">
        <w:rPr>
          <w:rFonts w:asciiTheme="majorHAnsi" w:hAnsiTheme="majorHAnsi" w:cstheme="majorHAnsi"/>
          <w:highlight w:val="yellow"/>
        </w:rPr>
        <w:t>/Ratemaking</w:t>
      </w:r>
      <w:r w:rsidRPr="00A060C9">
        <w:rPr>
          <w:rFonts w:asciiTheme="majorHAnsi" w:hAnsiTheme="majorHAnsi" w:cstheme="majorHAnsi"/>
        </w:rPr>
        <w:t xml:space="preserve"> (NEW)</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Underwriting and/or marketing</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Insurer Decisions including U/W or marketing (</w:t>
      </w:r>
      <w:r w:rsidRPr="00A060C9">
        <w:rPr>
          <w:rFonts w:asciiTheme="majorHAnsi" w:hAnsiTheme="majorHAnsi" w:cstheme="majorHAnsi"/>
        </w:rPr>
        <w:t>DUPLICATIVE with prior category)</w:t>
      </w: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Reinsurance</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Reinsurance terminology (</w:t>
      </w:r>
      <w:r w:rsidRPr="00A060C9">
        <w:rPr>
          <w:rFonts w:asciiTheme="majorHAnsi" w:hAnsiTheme="majorHAnsi" w:cstheme="majorHAnsi"/>
        </w:rPr>
        <w:t>DELETE – basic education)</w:t>
      </w:r>
      <w:r w:rsidRPr="00A060C9">
        <w:rPr>
          <w:rFonts w:asciiTheme="majorHAnsi" w:hAnsiTheme="majorHAnsi" w:cstheme="majorHAnsi"/>
          <w:strike/>
        </w:rPr>
        <w:t xml:space="preserve">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lastRenderedPageBreak/>
        <w:t>Statutory accounting</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Reinsurance collectability</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Reinsurance collateral </w:t>
      </w:r>
      <w:r w:rsidRPr="00A060C9">
        <w:rPr>
          <w:rFonts w:asciiTheme="majorHAnsi" w:hAnsiTheme="majorHAnsi" w:cstheme="majorHAnsi"/>
          <w:strike/>
        </w:rPr>
        <w:t>and collectability (</w:t>
      </w:r>
      <w:r w:rsidRPr="00A060C9">
        <w:rPr>
          <w:rFonts w:asciiTheme="majorHAnsi" w:hAnsiTheme="majorHAnsi" w:cstheme="majorHAnsi"/>
        </w:rPr>
        <w:t xml:space="preserve">DUPLICATIVE with prior category – broadening)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Reinsurance reserving</w:t>
      </w: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 xml:space="preserve">Reserves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Reserving Data</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strike/>
        </w:rPr>
        <w:t>Data or</w:t>
      </w:r>
      <w:r w:rsidRPr="00A060C9">
        <w:rPr>
          <w:rFonts w:asciiTheme="majorHAnsi" w:hAnsiTheme="majorHAnsi" w:cstheme="majorHAnsi"/>
        </w:rPr>
        <w:t xml:space="preserve"> Reserving Adjustments (DUPLICATIVE with prior category -broadening)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Reserving Calculations</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Reserving Analysis</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Statutory accounting </w:t>
      </w: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 xml:space="preserve">Requirements &amp; Practice Notes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Annual Statement Instructions</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Annual Statement Instructions and/or Academy or ASB </w:t>
      </w:r>
      <w:r w:rsidRPr="00A060C9">
        <w:rPr>
          <w:rFonts w:asciiTheme="majorHAnsi" w:hAnsiTheme="majorHAnsi" w:cstheme="majorHAnsi"/>
        </w:rPr>
        <w:t>(TOO REFINED)</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Annual Statement Instructions and/or Academy or ASB (Significant, Material) </w:t>
      </w:r>
      <w:r w:rsidRPr="00A060C9">
        <w:rPr>
          <w:rFonts w:asciiTheme="majorHAnsi" w:hAnsiTheme="majorHAnsi" w:cstheme="majorHAnsi"/>
        </w:rPr>
        <w:t>(TOO REFINED)</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Academy or ASB (Materiality) </w:t>
      </w:r>
      <w:r w:rsidRPr="00A060C9">
        <w:rPr>
          <w:rFonts w:asciiTheme="majorHAnsi" w:hAnsiTheme="majorHAnsi" w:cstheme="majorHAnsi"/>
        </w:rPr>
        <w:t>(TOO REFINED)</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Academy or ASB (Users) </w:t>
      </w:r>
      <w:r w:rsidRPr="00A060C9">
        <w:rPr>
          <w:rFonts w:asciiTheme="majorHAnsi" w:hAnsiTheme="majorHAnsi" w:cstheme="majorHAnsi"/>
        </w:rPr>
        <w:t>(TOO REFINED)</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Academy or ASB (Outside of Area of Expertise) </w:t>
      </w:r>
      <w:r w:rsidRPr="00A060C9">
        <w:rPr>
          <w:rFonts w:asciiTheme="majorHAnsi" w:hAnsiTheme="majorHAnsi" w:cstheme="majorHAnsi"/>
        </w:rPr>
        <w:t>(TOO REFINED)</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strike/>
        </w:rPr>
      </w:pPr>
      <w:r w:rsidRPr="00A060C9">
        <w:rPr>
          <w:rFonts w:asciiTheme="majorHAnsi" w:hAnsiTheme="majorHAnsi" w:cstheme="majorHAnsi"/>
          <w:strike/>
        </w:rPr>
        <w:t xml:space="preserve">Academy or ASB (Practice Note) </w:t>
      </w:r>
      <w:r w:rsidRPr="00A060C9">
        <w:rPr>
          <w:rFonts w:asciiTheme="majorHAnsi" w:hAnsiTheme="majorHAnsi" w:cstheme="majorHAnsi"/>
        </w:rPr>
        <w:t xml:space="preserve">(TOO REFINED)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Practice Notes, ASOPs, etc. </w:t>
      </w:r>
      <w:r w:rsidRPr="00A060C9">
        <w:rPr>
          <w:rFonts w:asciiTheme="majorHAnsi" w:hAnsiTheme="majorHAnsi" w:cstheme="majorHAnsi"/>
          <w:strike/>
        </w:rPr>
        <w:t>Academy or ASB</w:t>
      </w:r>
      <w:r w:rsidRPr="00A060C9">
        <w:rPr>
          <w:rFonts w:asciiTheme="majorHAnsi" w:hAnsiTheme="majorHAnsi" w:cstheme="majorHAnsi"/>
        </w:rPr>
        <w:t xml:space="preserve"> (REWORDED TO FIT CONTINUING EDUCATION) </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Statutory Accounting</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Solvency Calculations</w:t>
      </w:r>
    </w:p>
    <w:p w:rsidR="002B4B92" w:rsidRPr="00A060C9" w:rsidRDefault="002B4B92" w:rsidP="002B4B92">
      <w:pPr>
        <w:pStyle w:val="ListParagraph"/>
        <w:numPr>
          <w:ilvl w:val="0"/>
          <w:numId w:val="6"/>
        </w:numPr>
        <w:spacing w:before="40" w:after="40"/>
        <w:ind w:left="1080"/>
        <w:contextualSpacing w:val="0"/>
        <w:rPr>
          <w:rFonts w:asciiTheme="majorHAnsi" w:hAnsiTheme="majorHAnsi" w:cstheme="majorHAnsi"/>
        </w:rPr>
      </w:pPr>
      <w:r w:rsidRPr="00A060C9">
        <w:rPr>
          <w:rFonts w:asciiTheme="majorHAnsi" w:hAnsiTheme="majorHAnsi" w:cstheme="majorHAnsi"/>
        </w:rPr>
        <w:t>Company-specific</w:t>
      </w:r>
    </w:p>
    <w:p w:rsidR="002B4B92" w:rsidRPr="00A060C9" w:rsidRDefault="002B4B92" w:rsidP="002B4B92">
      <w:pPr>
        <w:pStyle w:val="ListParagraph"/>
        <w:numPr>
          <w:ilvl w:val="0"/>
          <w:numId w:val="7"/>
        </w:numPr>
        <w:spacing w:before="40" w:after="40"/>
        <w:contextualSpacing w:val="0"/>
        <w:rPr>
          <w:rFonts w:asciiTheme="majorHAnsi" w:hAnsiTheme="majorHAnsi" w:cstheme="majorHAnsi"/>
        </w:rPr>
      </w:pPr>
      <w:r w:rsidRPr="00A060C9">
        <w:rPr>
          <w:rFonts w:asciiTheme="majorHAnsi" w:hAnsiTheme="majorHAnsi" w:cstheme="majorHAnsi"/>
        </w:rPr>
        <w:t xml:space="preserve">Business skills (NONE) </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u w:val="single"/>
        </w:rPr>
      </w:pPr>
      <w:r w:rsidRPr="00A060C9">
        <w:rPr>
          <w:rFonts w:asciiTheme="majorHAnsi" w:hAnsiTheme="majorHAnsi" w:cstheme="majorHAnsi"/>
          <w:u w:val="single"/>
        </w:rPr>
        <w:t>OTHER CE that should be tracked (may be INSIDE or OUTSIDE the specific requirements of 3.1.1.2)</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Risk management</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 xml:space="preserve">Emerging Issues </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 xml:space="preserve">Accounting other than Statutory accounting </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 xml:space="preserve">Analytics   </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 xml:space="preserve">Modeling </w:t>
      </w:r>
    </w:p>
    <w:p w:rsidR="002B4B92" w:rsidRPr="00A060C9" w:rsidRDefault="002B4B92" w:rsidP="002B4B92">
      <w:pPr>
        <w:pStyle w:val="ListParagraph"/>
        <w:numPr>
          <w:ilvl w:val="0"/>
          <w:numId w:val="8"/>
        </w:numPr>
        <w:spacing w:before="40" w:after="40"/>
        <w:contextualSpacing w:val="0"/>
        <w:rPr>
          <w:rFonts w:asciiTheme="majorHAnsi" w:hAnsiTheme="majorHAnsi" w:cstheme="majorHAnsi"/>
        </w:rPr>
      </w:pPr>
      <w:r w:rsidRPr="00A060C9">
        <w:rPr>
          <w:rFonts w:asciiTheme="majorHAnsi" w:hAnsiTheme="majorHAnsi" w:cstheme="majorHAnsi"/>
        </w:rPr>
        <w:t>Professionalism</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rPr>
        <w:t>The CAS and SOA will add a note to the qualified actuary CE collection form that it covers BOTH general (2.2)</w:t>
      </w:r>
      <w:r w:rsidR="00803791" w:rsidRPr="00A060C9">
        <w:rPr>
          <w:rFonts w:asciiTheme="majorHAnsi" w:hAnsiTheme="majorHAnsi" w:cstheme="majorHAnsi"/>
        </w:rPr>
        <w:t xml:space="preserve"> and </w:t>
      </w:r>
      <w:r w:rsidRPr="00A060C9">
        <w:rPr>
          <w:rFonts w:asciiTheme="majorHAnsi" w:hAnsiTheme="majorHAnsi" w:cstheme="majorHAnsi"/>
        </w:rPr>
        <w:t xml:space="preserve">specific continuing education standards (3.3) as a qualified actuary must meet BOTH of those requirements.  </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rPr>
        <w:lastRenderedPageBreak/>
        <w:t xml:space="preserve"> </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b/>
        </w:rPr>
      </w:pPr>
      <w:r w:rsidRPr="00A060C9">
        <w:rPr>
          <w:rFonts w:asciiTheme="majorHAnsi" w:hAnsiTheme="majorHAnsi" w:cstheme="majorHAnsi"/>
          <w:b/>
        </w:rPr>
        <w:t xml:space="preserve">Review Scope &amp; Procedures </w:t>
      </w:r>
    </w:p>
    <w:p w:rsidR="002B4B92" w:rsidRPr="00A060C9" w:rsidRDefault="002B4B92" w:rsidP="002B4B92">
      <w:pPr>
        <w:rPr>
          <w:rFonts w:asciiTheme="majorHAnsi" w:hAnsiTheme="majorHAnsi" w:cstheme="majorHAnsi"/>
        </w:rPr>
      </w:pPr>
    </w:p>
    <w:p w:rsidR="002B4B92" w:rsidRPr="00A060C9" w:rsidRDefault="002B4B92" w:rsidP="002B4B92">
      <w:pPr>
        <w:rPr>
          <w:rFonts w:asciiTheme="majorHAnsi" w:hAnsiTheme="majorHAnsi" w:cstheme="majorHAnsi"/>
        </w:rPr>
      </w:pPr>
      <w:r w:rsidRPr="00A060C9">
        <w:rPr>
          <w:rFonts w:asciiTheme="majorHAnsi" w:hAnsiTheme="majorHAnsi" w:cstheme="majorHAnsi"/>
        </w:rPr>
        <w:t xml:space="preserve">For the yearly report to be presented to </w:t>
      </w:r>
      <w:r w:rsidR="00EB6F0F" w:rsidRPr="00A060C9">
        <w:rPr>
          <w:rFonts w:asciiTheme="majorHAnsi" w:hAnsiTheme="majorHAnsi" w:cstheme="majorHAnsi"/>
        </w:rPr>
        <w:t>the NAIC</w:t>
      </w:r>
      <w:r w:rsidRPr="00A060C9">
        <w:rPr>
          <w:rFonts w:asciiTheme="majorHAnsi" w:hAnsiTheme="majorHAnsi" w:cstheme="majorHAnsi"/>
        </w:rPr>
        <w:t xml:space="preserve">, the CAS and SOA will review a portion of </w:t>
      </w:r>
      <w:r w:rsidR="00B66E4E" w:rsidRPr="00A060C9">
        <w:rPr>
          <w:rFonts w:asciiTheme="majorHAnsi" w:hAnsiTheme="majorHAnsi" w:cstheme="majorHAnsi"/>
        </w:rPr>
        <w:t>CE</w:t>
      </w:r>
      <w:r w:rsidRPr="00A060C9">
        <w:rPr>
          <w:rFonts w:asciiTheme="majorHAnsi" w:hAnsiTheme="majorHAnsi" w:cstheme="majorHAnsi"/>
        </w:rPr>
        <w:t xml:space="preserve"> filers. Below is a rough </w:t>
      </w:r>
      <w:r w:rsidR="00A060C9" w:rsidRPr="00A060C9">
        <w:rPr>
          <w:rFonts w:asciiTheme="majorHAnsi" w:hAnsiTheme="majorHAnsi" w:cstheme="majorHAnsi"/>
        </w:rPr>
        <w:t>sketch</w:t>
      </w:r>
      <w:r w:rsidRPr="00A060C9">
        <w:rPr>
          <w:rFonts w:asciiTheme="majorHAnsi" w:hAnsiTheme="majorHAnsi" w:cstheme="majorHAnsi"/>
        </w:rPr>
        <w:t xml:space="preserve"> of the review process, with the details currently being developed:</w:t>
      </w:r>
    </w:p>
    <w:p w:rsidR="002B4B92" w:rsidRPr="00A060C9" w:rsidRDefault="002B4B92" w:rsidP="002B4B92">
      <w:pPr>
        <w:rPr>
          <w:rFonts w:asciiTheme="majorHAnsi" w:hAnsiTheme="majorHAnsi" w:cstheme="majorHAnsi"/>
        </w:rPr>
      </w:pPr>
    </w:p>
    <w:p w:rsidR="002B4B92" w:rsidRPr="00A060C9" w:rsidRDefault="002B4B92" w:rsidP="002B4B92">
      <w:pPr>
        <w:rPr>
          <w:rFonts w:asciiTheme="majorHAnsi" w:hAnsiTheme="majorHAnsi" w:cstheme="majorHAnsi"/>
        </w:rPr>
      </w:pPr>
      <w:r w:rsidRPr="00A060C9">
        <w:rPr>
          <w:rFonts w:asciiTheme="majorHAnsi" w:hAnsiTheme="majorHAnsi" w:cstheme="majorHAnsi"/>
        </w:rPr>
        <w:t>Rough process</w:t>
      </w:r>
      <w:r w:rsidR="00EB6F0F" w:rsidRPr="00A060C9">
        <w:rPr>
          <w:rFonts w:asciiTheme="majorHAnsi" w:hAnsiTheme="majorHAnsi" w:cstheme="majorHAnsi"/>
        </w:rPr>
        <w:t>:</w:t>
      </w:r>
    </w:p>
    <w:p w:rsidR="002B4B92" w:rsidRPr="00A060C9" w:rsidRDefault="002B4B92" w:rsidP="002B4B92">
      <w:pPr>
        <w:pStyle w:val="ListParagraph"/>
        <w:numPr>
          <w:ilvl w:val="0"/>
          <w:numId w:val="9"/>
        </w:numPr>
        <w:spacing w:before="40" w:after="40"/>
        <w:rPr>
          <w:rFonts w:asciiTheme="majorHAnsi" w:hAnsiTheme="majorHAnsi" w:cstheme="majorHAnsi"/>
        </w:rPr>
      </w:pPr>
      <w:r w:rsidRPr="00A060C9">
        <w:rPr>
          <w:rFonts w:asciiTheme="majorHAnsi" w:hAnsiTheme="majorHAnsi" w:cstheme="majorHAnsi"/>
        </w:rPr>
        <w:t xml:space="preserve">Summary spreadsheet will be sufficient documentation; if there are concerns the reviewers will contact the </w:t>
      </w:r>
      <w:r w:rsidR="002A0093" w:rsidRPr="00A060C9">
        <w:rPr>
          <w:rFonts w:asciiTheme="majorHAnsi" w:hAnsiTheme="majorHAnsi" w:cstheme="majorHAnsi"/>
        </w:rPr>
        <w:t>submitter</w:t>
      </w:r>
      <w:r w:rsidRPr="00A060C9">
        <w:rPr>
          <w:rFonts w:asciiTheme="majorHAnsi" w:hAnsiTheme="majorHAnsi" w:cstheme="majorHAnsi"/>
        </w:rPr>
        <w:t xml:space="preserve">.  </w:t>
      </w:r>
    </w:p>
    <w:p w:rsidR="002B4B92" w:rsidRPr="00A060C9" w:rsidRDefault="002B4B92" w:rsidP="002B4B92">
      <w:pPr>
        <w:pStyle w:val="ListParagraph"/>
        <w:numPr>
          <w:ilvl w:val="0"/>
          <w:numId w:val="9"/>
        </w:numPr>
        <w:spacing w:before="40" w:after="40"/>
        <w:rPr>
          <w:rFonts w:asciiTheme="majorHAnsi" w:hAnsiTheme="majorHAnsi" w:cstheme="majorHAnsi"/>
        </w:rPr>
      </w:pPr>
      <w:r w:rsidRPr="00A060C9">
        <w:rPr>
          <w:rFonts w:asciiTheme="majorHAnsi" w:hAnsiTheme="majorHAnsi" w:cstheme="majorHAnsi"/>
        </w:rPr>
        <w:t xml:space="preserve">Spreadsheets will be reviewed to ensure they meet the “basics” – 30 hours, at least 6 organized, at least 3 professionalism, no more than 3 business skills, 15 hours in topics that meet the specific qualification requirement with at least 6 that are organized on a relevant topic </w:t>
      </w:r>
    </w:p>
    <w:p w:rsidR="002B4B92" w:rsidRPr="00A060C9" w:rsidRDefault="002B4B92" w:rsidP="002B4B92">
      <w:pPr>
        <w:pStyle w:val="ListParagraph"/>
        <w:numPr>
          <w:ilvl w:val="0"/>
          <w:numId w:val="9"/>
        </w:numPr>
        <w:spacing w:before="40" w:after="40"/>
        <w:rPr>
          <w:rFonts w:asciiTheme="majorHAnsi" w:hAnsiTheme="majorHAnsi" w:cstheme="majorHAnsi"/>
        </w:rPr>
      </w:pPr>
      <w:r w:rsidRPr="00A060C9">
        <w:rPr>
          <w:rFonts w:asciiTheme="majorHAnsi" w:hAnsiTheme="majorHAnsi" w:cstheme="majorHAnsi"/>
        </w:rPr>
        <w:t>Titles will be reviewed – if they are “clearly CE” – e.g. session sponsored by a “major” organization, employer sponsored with clearly recognized speakers, self-study on a recognized topic, e.g. “read new regulation on XYZ plus guidance from ABC accounting firm for 2 hours” then it would be deemed OK.</w:t>
      </w:r>
    </w:p>
    <w:p w:rsidR="002B4B92" w:rsidRPr="00A060C9" w:rsidRDefault="002B4B92" w:rsidP="002B4B92">
      <w:pPr>
        <w:pStyle w:val="ListParagraph"/>
        <w:numPr>
          <w:ilvl w:val="0"/>
          <w:numId w:val="9"/>
        </w:numPr>
        <w:spacing w:before="40" w:after="40"/>
        <w:rPr>
          <w:rFonts w:asciiTheme="majorHAnsi" w:hAnsiTheme="majorHAnsi" w:cstheme="majorHAnsi"/>
        </w:rPr>
      </w:pPr>
      <w:r w:rsidRPr="00A060C9">
        <w:rPr>
          <w:rFonts w:asciiTheme="majorHAnsi" w:hAnsiTheme="majorHAnsi" w:cstheme="majorHAnsi"/>
        </w:rPr>
        <w:t xml:space="preserve">Make sure for specific qualification standard – have 15 hours checked in one of the current 3.1.1.2 topics.  Ensure title of sessions meets 3.1.1.2 topic checked.   </w:t>
      </w:r>
    </w:p>
    <w:p w:rsidR="002B4B92" w:rsidRPr="00A060C9" w:rsidRDefault="002B4B92" w:rsidP="002B4B92">
      <w:pPr>
        <w:pStyle w:val="ListParagraph"/>
        <w:numPr>
          <w:ilvl w:val="0"/>
          <w:numId w:val="9"/>
        </w:numPr>
        <w:spacing w:before="40" w:after="40"/>
        <w:rPr>
          <w:rFonts w:asciiTheme="majorHAnsi" w:hAnsiTheme="majorHAnsi" w:cstheme="majorHAnsi"/>
        </w:rPr>
      </w:pPr>
      <w:r w:rsidRPr="00A060C9">
        <w:rPr>
          <w:rFonts w:asciiTheme="majorHAnsi" w:hAnsiTheme="majorHAnsi" w:cstheme="majorHAnsi"/>
        </w:rPr>
        <w:t xml:space="preserve">NOTIFY individuals they are being reviewed before the review starts (and give them an opportunity to submit additional information if they believe it would be helpful for the review) </w:t>
      </w:r>
    </w:p>
    <w:p w:rsidR="002B4B92" w:rsidRPr="00A060C9" w:rsidRDefault="002B4B92" w:rsidP="002B4B92">
      <w:pPr>
        <w:spacing w:before="40" w:after="40"/>
        <w:rPr>
          <w:rFonts w:asciiTheme="majorHAnsi" w:hAnsiTheme="majorHAnsi" w:cstheme="majorHAnsi"/>
        </w:rPr>
      </w:pPr>
    </w:p>
    <w:p w:rsidR="00B66E4E" w:rsidRPr="00A060C9" w:rsidRDefault="002B4B92" w:rsidP="002B4B92">
      <w:pPr>
        <w:spacing w:before="40" w:after="40"/>
        <w:rPr>
          <w:rFonts w:asciiTheme="majorHAnsi" w:hAnsiTheme="majorHAnsi" w:cstheme="majorHAnsi"/>
        </w:rPr>
      </w:pPr>
      <w:r w:rsidRPr="00A060C9">
        <w:rPr>
          <w:rFonts w:asciiTheme="majorHAnsi" w:hAnsiTheme="majorHAnsi" w:cstheme="majorHAnsi"/>
        </w:rPr>
        <w:t xml:space="preserve">For </w:t>
      </w:r>
      <w:r w:rsidR="00EB6F0F" w:rsidRPr="00A060C9">
        <w:rPr>
          <w:rFonts w:asciiTheme="majorHAnsi" w:hAnsiTheme="majorHAnsi" w:cstheme="majorHAnsi"/>
        </w:rPr>
        <w:t>Year 1: The CAS and SOA would review</w:t>
      </w:r>
      <w:r w:rsidRPr="00A060C9">
        <w:rPr>
          <w:rFonts w:asciiTheme="majorHAnsi" w:hAnsiTheme="majorHAnsi" w:cstheme="majorHAnsi"/>
        </w:rPr>
        <w:t xml:space="preserve"> to the current USQS 3.1.1.2 definition</w:t>
      </w:r>
      <w:r w:rsidR="00EB6F0F" w:rsidRPr="00A060C9">
        <w:rPr>
          <w:rFonts w:asciiTheme="majorHAnsi" w:hAnsiTheme="majorHAnsi" w:cstheme="majorHAnsi"/>
        </w:rPr>
        <w:t>. G</w:t>
      </w:r>
      <w:r w:rsidRPr="00A060C9">
        <w:rPr>
          <w:rFonts w:asciiTheme="majorHAnsi" w:hAnsiTheme="majorHAnsi" w:cstheme="majorHAnsi"/>
        </w:rPr>
        <w:t>oing forward</w:t>
      </w:r>
      <w:r w:rsidR="00EB6F0F" w:rsidRPr="00A060C9">
        <w:rPr>
          <w:rFonts w:asciiTheme="majorHAnsi" w:hAnsiTheme="majorHAnsi" w:cstheme="majorHAnsi"/>
        </w:rPr>
        <w:t>,</w:t>
      </w:r>
      <w:r w:rsidRPr="00A060C9">
        <w:rPr>
          <w:rFonts w:asciiTheme="majorHAnsi" w:hAnsiTheme="majorHAnsi" w:cstheme="majorHAnsi"/>
        </w:rPr>
        <w:t xml:space="preserve"> the review will be to the revised categories accepted by CASTF.  </w:t>
      </w:r>
    </w:p>
    <w:p w:rsidR="00B66E4E" w:rsidRPr="00A060C9" w:rsidRDefault="00B66E4E"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rPr>
        <w:t>CASTF may consider requesting the American Academy of Actuaries update the topic list in 3.1.1.2 once the categories for CE are finalized.</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b/>
        </w:rPr>
        <w:t xml:space="preserve">Public reporting </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rPr>
        <w:t>The CAS and SOA would</w:t>
      </w:r>
      <w:r w:rsidR="00EB6F0F" w:rsidRPr="00A060C9">
        <w:rPr>
          <w:rFonts w:asciiTheme="majorHAnsi" w:hAnsiTheme="majorHAnsi" w:cstheme="majorHAnsi"/>
        </w:rPr>
        <w:t xml:space="preserve"> </w:t>
      </w:r>
      <w:r w:rsidRPr="00A060C9">
        <w:rPr>
          <w:rFonts w:asciiTheme="majorHAnsi" w:hAnsiTheme="majorHAnsi" w:cstheme="majorHAnsi"/>
        </w:rPr>
        <w:t>disclose in their respective public membership directories so</w:t>
      </w:r>
      <w:r w:rsidR="00EB6F0F" w:rsidRPr="00A060C9">
        <w:rPr>
          <w:rFonts w:asciiTheme="majorHAnsi" w:hAnsiTheme="majorHAnsi" w:cstheme="majorHAnsi"/>
        </w:rPr>
        <w:t xml:space="preserve"> that </w:t>
      </w:r>
      <w:r w:rsidRPr="00A060C9">
        <w:rPr>
          <w:rFonts w:asciiTheme="majorHAnsi" w:hAnsiTheme="majorHAnsi" w:cstheme="majorHAnsi"/>
        </w:rPr>
        <w:t xml:space="preserve">someone could </w:t>
      </w:r>
      <w:r w:rsidR="00EB6F0F" w:rsidRPr="00A060C9">
        <w:rPr>
          <w:rFonts w:asciiTheme="majorHAnsi" w:hAnsiTheme="majorHAnsi" w:cstheme="majorHAnsi"/>
        </w:rPr>
        <w:t>l</w:t>
      </w:r>
      <w:r w:rsidRPr="00A060C9">
        <w:rPr>
          <w:rFonts w:asciiTheme="majorHAnsi" w:hAnsiTheme="majorHAnsi" w:cstheme="majorHAnsi"/>
        </w:rPr>
        <w:t xml:space="preserve">ook to see if a specific individual had attested to meeting the continuing education requirements for purposes of signing the annual statement.  </w:t>
      </w:r>
    </w:p>
    <w:p w:rsidR="00EB6F0F" w:rsidRPr="00A060C9" w:rsidRDefault="00EB6F0F" w:rsidP="002B4B92">
      <w:pPr>
        <w:spacing w:before="40" w:after="40"/>
        <w:rPr>
          <w:rFonts w:asciiTheme="majorHAnsi" w:hAnsiTheme="majorHAnsi" w:cstheme="majorHAnsi"/>
        </w:rPr>
      </w:pPr>
    </w:p>
    <w:p w:rsidR="00E0313F" w:rsidRPr="00A060C9" w:rsidRDefault="002B4B92" w:rsidP="002B4B92">
      <w:pPr>
        <w:spacing w:before="40" w:after="40"/>
        <w:rPr>
          <w:rFonts w:asciiTheme="majorHAnsi" w:hAnsiTheme="majorHAnsi" w:cstheme="majorHAnsi"/>
          <w:b/>
        </w:rPr>
      </w:pPr>
      <w:r w:rsidRPr="00A060C9">
        <w:rPr>
          <w:rFonts w:asciiTheme="majorHAnsi" w:hAnsiTheme="majorHAnsi" w:cstheme="majorHAnsi"/>
        </w:rPr>
        <w:t>The CAS and SOA w</w:t>
      </w:r>
      <w:r w:rsidR="00EB6F0F" w:rsidRPr="00A060C9">
        <w:rPr>
          <w:rFonts w:asciiTheme="majorHAnsi" w:hAnsiTheme="majorHAnsi" w:cstheme="majorHAnsi"/>
        </w:rPr>
        <w:t xml:space="preserve">ill work on common </w:t>
      </w:r>
      <w:r w:rsidRPr="00A060C9">
        <w:rPr>
          <w:rFonts w:asciiTheme="majorHAnsi" w:hAnsiTheme="majorHAnsi" w:cstheme="majorHAnsi"/>
        </w:rPr>
        <w:t>language</w:t>
      </w:r>
      <w:r w:rsidR="00EB6F0F" w:rsidRPr="00A060C9">
        <w:rPr>
          <w:rFonts w:asciiTheme="majorHAnsi" w:hAnsiTheme="majorHAnsi" w:cstheme="majorHAnsi"/>
        </w:rPr>
        <w:t xml:space="preserve"> to be used by both organizations</w:t>
      </w:r>
      <w:r w:rsidRPr="00A060C9">
        <w:rPr>
          <w:rFonts w:asciiTheme="majorHAnsi" w:hAnsiTheme="majorHAnsi" w:cstheme="majorHAnsi"/>
        </w:rPr>
        <w:t xml:space="preserve"> for both attestation </w:t>
      </w:r>
      <w:r w:rsidR="00B66E4E" w:rsidRPr="00A060C9">
        <w:rPr>
          <w:rFonts w:asciiTheme="majorHAnsi" w:hAnsiTheme="majorHAnsi" w:cstheme="majorHAnsi"/>
        </w:rPr>
        <w:t>and</w:t>
      </w:r>
      <w:r w:rsidRPr="00A060C9">
        <w:rPr>
          <w:rFonts w:asciiTheme="majorHAnsi" w:hAnsiTheme="majorHAnsi" w:cstheme="majorHAnsi"/>
        </w:rPr>
        <w:t xml:space="preserve"> disclosure … “e.g. meets the continuing education requirements of section 3.3. of the USQS for purposes of making an SAO in filing the NAIC P</w:t>
      </w:r>
      <w:r w:rsidR="00B66E4E" w:rsidRPr="00A060C9">
        <w:rPr>
          <w:rFonts w:asciiTheme="majorHAnsi" w:hAnsiTheme="majorHAnsi" w:cstheme="majorHAnsi"/>
        </w:rPr>
        <w:t>/</w:t>
      </w:r>
      <w:r w:rsidRPr="00A060C9">
        <w:rPr>
          <w:rFonts w:asciiTheme="majorHAnsi" w:hAnsiTheme="majorHAnsi" w:cstheme="majorHAnsi"/>
        </w:rPr>
        <w:t>C statement</w:t>
      </w:r>
      <w:r w:rsidR="00A060C9" w:rsidRPr="00A060C9">
        <w:rPr>
          <w:rFonts w:asciiTheme="majorHAnsi" w:hAnsiTheme="majorHAnsi" w:cstheme="majorHAnsi"/>
        </w:rPr>
        <w:t>.</w:t>
      </w:r>
      <w:r w:rsidRPr="00A060C9">
        <w:rPr>
          <w:rFonts w:asciiTheme="majorHAnsi" w:hAnsiTheme="majorHAnsi" w:cstheme="majorHAnsi"/>
        </w:rPr>
        <w:t>”</w:t>
      </w:r>
    </w:p>
    <w:p w:rsidR="00E0313F" w:rsidRPr="00A060C9" w:rsidRDefault="00E0313F" w:rsidP="002B4B92">
      <w:pPr>
        <w:spacing w:before="40" w:after="40"/>
        <w:rPr>
          <w:rFonts w:asciiTheme="majorHAnsi" w:hAnsiTheme="majorHAnsi" w:cstheme="majorHAnsi"/>
          <w:b/>
        </w:rPr>
      </w:pPr>
    </w:p>
    <w:p w:rsidR="00A060C9" w:rsidRPr="00A060C9" w:rsidRDefault="00A060C9" w:rsidP="002B4B92">
      <w:pPr>
        <w:spacing w:before="40" w:after="40"/>
        <w:rPr>
          <w:rFonts w:asciiTheme="majorHAnsi" w:hAnsiTheme="majorHAnsi" w:cstheme="majorHAnsi"/>
          <w:b/>
        </w:rPr>
      </w:pPr>
    </w:p>
    <w:p w:rsidR="00A060C9" w:rsidRPr="00A060C9" w:rsidRDefault="00A060C9" w:rsidP="002B4B92">
      <w:pPr>
        <w:spacing w:before="40" w:after="40"/>
        <w:rPr>
          <w:rFonts w:asciiTheme="majorHAnsi" w:hAnsiTheme="majorHAnsi" w:cstheme="majorHAnsi"/>
          <w:b/>
        </w:rPr>
      </w:pPr>
    </w:p>
    <w:p w:rsidR="00A060C9" w:rsidRPr="00A060C9" w:rsidRDefault="00A060C9" w:rsidP="002B4B92">
      <w:pPr>
        <w:spacing w:before="40" w:after="40"/>
        <w:rPr>
          <w:rFonts w:asciiTheme="majorHAnsi" w:hAnsiTheme="majorHAnsi" w:cstheme="majorHAnsi"/>
          <w:b/>
        </w:rPr>
      </w:pPr>
    </w:p>
    <w:p w:rsidR="002B4B92" w:rsidRPr="00A060C9" w:rsidRDefault="002B4B92" w:rsidP="002B4B92">
      <w:pPr>
        <w:spacing w:before="40" w:after="40"/>
        <w:rPr>
          <w:rFonts w:asciiTheme="majorHAnsi" w:hAnsiTheme="majorHAnsi" w:cstheme="majorHAnsi"/>
          <w:b/>
        </w:rPr>
      </w:pPr>
      <w:r w:rsidRPr="00A060C9">
        <w:rPr>
          <w:rFonts w:asciiTheme="majorHAnsi" w:hAnsiTheme="majorHAnsi" w:cstheme="majorHAnsi"/>
          <w:b/>
        </w:rPr>
        <w:lastRenderedPageBreak/>
        <w:t>NAIC Reporting &amp; Analysis</w:t>
      </w:r>
    </w:p>
    <w:p w:rsidR="002B4B92" w:rsidRPr="00A060C9" w:rsidRDefault="002B4B92" w:rsidP="002B4B92">
      <w:pPr>
        <w:spacing w:before="40" w:after="40"/>
        <w:rPr>
          <w:rFonts w:asciiTheme="majorHAnsi" w:hAnsiTheme="majorHAnsi" w:cstheme="majorHAnsi"/>
          <w:b/>
        </w:rPr>
      </w:pPr>
    </w:p>
    <w:p w:rsidR="002B4B92" w:rsidRPr="00A060C9" w:rsidRDefault="002B4B92" w:rsidP="002B4B92">
      <w:pPr>
        <w:spacing w:before="40" w:after="40"/>
        <w:rPr>
          <w:rFonts w:asciiTheme="majorHAnsi" w:hAnsiTheme="majorHAnsi" w:cstheme="majorHAnsi"/>
          <w:b/>
        </w:rPr>
      </w:pPr>
      <w:r w:rsidRPr="00A060C9">
        <w:rPr>
          <w:rFonts w:asciiTheme="majorHAnsi" w:hAnsiTheme="majorHAnsi" w:cstheme="majorHAnsi"/>
        </w:rPr>
        <w:t xml:space="preserve">The CAS and SOA will </w:t>
      </w:r>
      <w:r w:rsidR="00EB6F0F" w:rsidRPr="00A060C9">
        <w:rPr>
          <w:rFonts w:asciiTheme="majorHAnsi" w:hAnsiTheme="majorHAnsi" w:cstheme="majorHAnsi"/>
        </w:rPr>
        <w:t xml:space="preserve">separately </w:t>
      </w:r>
      <w:r w:rsidRPr="00A060C9">
        <w:rPr>
          <w:rFonts w:asciiTheme="majorHAnsi" w:hAnsiTheme="majorHAnsi" w:cstheme="majorHAnsi"/>
        </w:rPr>
        <w:t>compile the data</w:t>
      </w:r>
      <w:r w:rsidR="00EB6F0F" w:rsidRPr="00A060C9">
        <w:rPr>
          <w:rFonts w:asciiTheme="majorHAnsi" w:hAnsiTheme="majorHAnsi" w:cstheme="majorHAnsi"/>
        </w:rPr>
        <w:t xml:space="preserve"> from </w:t>
      </w:r>
      <w:r w:rsidR="002B091B">
        <w:rPr>
          <w:rFonts w:asciiTheme="majorHAnsi" w:hAnsiTheme="majorHAnsi" w:cstheme="majorHAnsi"/>
        </w:rPr>
        <w:t>our</w:t>
      </w:r>
      <w:r w:rsidR="00EB6F0F" w:rsidRPr="00A060C9">
        <w:rPr>
          <w:rFonts w:asciiTheme="majorHAnsi" w:hAnsiTheme="majorHAnsi" w:cstheme="majorHAnsi"/>
        </w:rPr>
        <w:t xml:space="preserve"> respective organizations</w:t>
      </w:r>
      <w:r w:rsidRPr="00A060C9">
        <w:rPr>
          <w:rFonts w:asciiTheme="majorHAnsi" w:hAnsiTheme="majorHAnsi" w:cstheme="majorHAnsi"/>
        </w:rPr>
        <w:t xml:space="preserve"> for review</w:t>
      </w:r>
      <w:r w:rsidR="00EB6F0F" w:rsidRPr="00A060C9">
        <w:rPr>
          <w:rFonts w:asciiTheme="majorHAnsi" w:hAnsiTheme="majorHAnsi" w:cstheme="majorHAnsi"/>
        </w:rPr>
        <w:t>.</w:t>
      </w:r>
      <w:r w:rsidRPr="00A060C9">
        <w:rPr>
          <w:rFonts w:asciiTheme="majorHAnsi" w:hAnsiTheme="majorHAnsi" w:cstheme="majorHAnsi"/>
        </w:rPr>
        <w:t xml:space="preserve"> After anonymizing the </w:t>
      </w:r>
      <w:r w:rsidR="007B3F63" w:rsidRPr="00A060C9">
        <w:rPr>
          <w:rFonts w:asciiTheme="majorHAnsi" w:hAnsiTheme="majorHAnsi" w:cstheme="majorHAnsi"/>
        </w:rPr>
        <w:t>data,</w:t>
      </w:r>
      <w:r w:rsidRPr="00A060C9">
        <w:rPr>
          <w:rFonts w:asciiTheme="majorHAnsi" w:hAnsiTheme="majorHAnsi" w:cstheme="majorHAnsi"/>
        </w:rPr>
        <w:t xml:space="preserve"> the CAS and SOA will combine the information at the aggregate level for a joint report to the NAIC. </w:t>
      </w:r>
      <w:r w:rsidRPr="00A060C9">
        <w:rPr>
          <w:rFonts w:asciiTheme="majorHAnsi" w:hAnsiTheme="majorHAnsi" w:cstheme="majorHAnsi"/>
          <w:b/>
        </w:rPr>
        <w:t xml:space="preserve"> </w:t>
      </w:r>
    </w:p>
    <w:p w:rsidR="002B4B92" w:rsidRPr="00A060C9" w:rsidRDefault="002B4B92" w:rsidP="002B4B92">
      <w:pPr>
        <w:spacing w:before="40" w:after="40"/>
        <w:rPr>
          <w:rFonts w:asciiTheme="majorHAnsi" w:hAnsiTheme="majorHAnsi" w:cstheme="majorHAnsi"/>
        </w:rPr>
      </w:pPr>
    </w:p>
    <w:p w:rsidR="002B4B92" w:rsidRPr="00A060C9" w:rsidRDefault="002B4B92" w:rsidP="002B4B92">
      <w:pPr>
        <w:spacing w:before="40" w:after="40"/>
        <w:rPr>
          <w:rFonts w:asciiTheme="majorHAnsi" w:hAnsiTheme="majorHAnsi" w:cstheme="majorHAnsi"/>
        </w:rPr>
      </w:pPr>
      <w:r w:rsidRPr="00A060C9">
        <w:rPr>
          <w:rFonts w:asciiTheme="majorHAnsi" w:hAnsiTheme="majorHAnsi" w:cstheme="majorHAnsi"/>
        </w:rPr>
        <w:t>It is anticipated that the report content will contain both qualitative and quantitative information, including:</w:t>
      </w:r>
    </w:p>
    <w:p w:rsidR="002B4B92" w:rsidRPr="00A060C9" w:rsidRDefault="002B4B92" w:rsidP="002B4B92">
      <w:pPr>
        <w:pStyle w:val="ListParagraph"/>
        <w:numPr>
          <w:ilvl w:val="0"/>
          <w:numId w:val="10"/>
        </w:numPr>
        <w:spacing w:before="40" w:after="40"/>
        <w:contextualSpacing w:val="0"/>
        <w:rPr>
          <w:rFonts w:asciiTheme="majorHAnsi" w:hAnsiTheme="majorHAnsi" w:cstheme="majorHAnsi"/>
        </w:rPr>
      </w:pPr>
      <w:r w:rsidRPr="00A060C9">
        <w:rPr>
          <w:rFonts w:asciiTheme="majorHAnsi" w:hAnsiTheme="majorHAnsi" w:cstheme="majorHAnsi"/>
        </w:rPr>
        <w:t>Number of individuals who have attested compliance, number of filers reviewed and basics on the review (what we reviewed, how many passed, any concerns flagged, common pitfalls)</w:t>
      </w:r>
    </w:p>
    <w:p w:rsidR="002B4B92" w:rsidRPr="00A060C9" w:rsidRDefault="002B4B92" w:rsidP="002B4B92">
      <w:pPr>
        <w:pStyle w:val="ListParagraph"/>
        <w:numPr>
          <w:ilvl w:val="0"/>
          <w:numId w:val="10"/>
        </w:numPr>
        <w:spacing w:before="40" w:after="40"/>
        <w:contextualSpacing w:val="0"/>
        <w:rPr>
          <w:rFonts w:asciiTheme="majorHAnsi" w:hAnsiTheme="majorHAnsi" w:cstheme="majorHAnsi"/>
        </w:rPr>
      </w:pPr>
      <w:r w:rsidRPr="00A060C9">
        <w:rPr>
          <w:rFonts w:asciiTheme="majorHAnsi" w:hAnsiTheme="majorHAnsi" w:cstheme="majorHAnsi"/>
        </w:rPr>
        <w:t xml:space="preserve">Basic report on how people are earning their CE – illustrative.  These are the topics we anticipate looking at: </w:t>
      </w:r>
    </w:p>
    <w:p w:rsidR="002B4B92" w:rsidRPr="00A060C9" w:rsidRDefault="002B4B92" w:rsidP="002B4B92">
      <w:pPr>
        <w:pStyle w:val="ListParagraph"/>
        <w:numPr>
          <w:ilvl w:val="1"/>
          <w:numId w:val="11"/>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By DOMAIN (e.g. 3.1.1.2 or the new topic list) </w:t>
      </w:r>
    </w:p>
    <w:p w:rsidR="002B4B92" w:rsidRPr="00A060C9" w:rsidRDefault="002B4B92" w:rsidP="002B4B92">
      <w:pPr>
        <w:pStyle w:val="ListParagraph"/>
        <w:numPr>
          <w:ilvl w:val="1"/>
          <w:numId w:val="11"/>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Organized vs. </w:t>
      </w:r>
      <w:r w:rsidR="002A0093" w:rsidRPr="00A060C9">
        <w:rPr>
          <w:rFonts w:asciiTheme="majorHAnsi" w:hAnsiTheme="majorHAnsi" w:cstheme="majorHAnsi"/>
        </w:rPr>
        <w:t>self-study</w:t>
      </w:r>
      <w:r w:rsidRPr="00A060C9">
        <w:rPr>
          <w:rFonts w:asciiTheme="majorHAnsi" w:hAnsiTheme="majorHAnsi" w:cstheme="majorHAnsi"/>
        </w:rPr>
        <w:t xml:space="preserve"> </w:t>
      </w:r>
    </w:p>
    <w:p w:rsidR="002B4B92" w:rsidRPr="00A060C9" w:rsidRDefault="002B4B92" w:rsidP="002B4B92">
      <w:pPr>
        <w:pStyle w:val="ListParagraph"/>
        <w:numPr>
          <w:ilvl w:val="1"/>
          <w:numId w:val="11"/>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Employer vs. other providers.  Actuarial organizations vs. other providers (? Accounting firms) </w:t>
      </w:r>
    </w:p>
    <w:p w:rsidR="002B4B92" w:rsidRPr="00A060C9" w:rsidRDefault="002B4B92" w:rsidP="002B4B92">
      <w:pPr>
        <w:pStyle w:val="ListParagraph"/>
        <w:numPr>
          <w:ilvl w:val="1"/>
          <w:numId w:val="11"/>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Of the 15 hours for the specific qualification standard – how many get more than 15, how much of this is organized (beyond the </w:t>
      </w:r>
      <w:r w:rsidR="002A0093" w:rsidRPr="00A060C9">
        <w:rPr>
          <w:rFonts w:asciiTheme="majorHAnsi" w:hAnsiTheme="majorHAnsi" w:cstheme="majorHAnsi"/>
        </w:rPr>
        <w:t>6-hour</w:t>
      </w:r>
      <w:r w:rsidRPr="00A060C9">
        <w:rPr>
          <w:rFonts w:asciiTheme="majorHAnsi" w:hAnsiTheme="majorHAnsi" w:cstheme="majorHAnsi"/>
        </w:rPr>
        <w:t xml:space="preserve"> minimum),</w:t>
      </w:r>
    </w:p>
    <w:p w:rsidR="002B4B92" w:rsidRPr="00A060C9" w:rsidRDefault="002B4B92" w:rsidP="002B4B92">
      <w:pPr>
        <w:pStyle w:val="ListParagraph"/>
        <w:numPr>
          <w:ilvl w:val="1"/>
          <w:numId w:val="11"/>
        </w:numPr>
        <w:spacing w:before="40" w:after="40"/>
        <w:ind w:left="1080"/>
        <w:contextualSpacing w:val="0"/>
        <w:rPr>
          <w:rFonts w:asciiTheme="majorHAnsi" w:hAnsiTheme="majorHAnsi" w:cstheme="majorHAnsi"/>
        </w:rPr>
      </w:pPr>
      <w:r w:rsidRPr="00A060C9">
        <w:rPr>
          <w:rFonts w:asciiTheme="majorHAnsi" w:hAnsiTheme="majorHAnsi" w:cstheme="majorHAnsi"/>
        </w:rPr>
        <w:t xml:space="preserve">By event (e.g. major seminars/meetings)     </w:t>
      </w:r>
    </w:p>
    <w:p w:rsidR="002B4B92" w:rsidRPr="00A060C9" w:rsidRDefault="002B4B92" w:rsidP="002B4B92">
      <w:pPr>
        <w:pStyle w:val="ListParagraph"/>
        <w:numPr>
          <w:ilvl w:val="0"/>
          <w:numId w:val="10"/>
        </w:numPr>
        <w:spacing w:before="40" w:after="40"/>
        <w:contextualSpacing w:val="0"/>
        <w:rPr>
          <w:rFonts w:asciiTheme="majorHAnsi" w:hAnsiTheme="majorHAnsi" w:cstheme="majorHAnsi"/>
        </w:rPr>
      </w:pPr>
      <w:r w:rsidRPr="00A060C9">
        <w:rPr>
          <w:rFonts w:asciiTheme="majorHAnsi" w:hAnsiTheme="majorHAnsi" w:cstheme="majorHAnsi"/>
        </w:rPr>
        <w:t>Recommendations – areas we would recommend addressed/changes in CE.</w:t>
      </w:r>
    </w:p>
    <w:p w:rsidR="002B4B92" w:rsidRPr="00A060C9" w:rsidRDefault="002B4B92" w:rsidP="002B4B92">
      <w:pPr>
        <w:spacing w:before="40" w:after="40"/>
        <w:rPr>
          <w:rFonts w:asciiTheme="majorHAnsi" w:hAnsiTheme="majorHAnsi" w:cstheme="majorHAnsi"/>
        </w:rPr>
      </w:pPr>
    </w:p>
    <w:p w:rsidR="002B4B92" w:rsidRDefault="002B4B92" w:rsidP="002B4B92">
      <w:pPr>
        <w:rPr>
          <w:rFonts w:asciiTheme="majorHAnsi" w:hAnsiTheme="majorHAnsi" w:cstheme="majorHAnsi"/>
          <w:b/>
        </w:rPr>
      </w:pPr>
      <w:r w:rsidRPr="00A060C9">
        <w:rPr>
          <w:rFonts w:asciiTheme="majorHAnsi" w:hAnsiTheme="majorHAnsi" w:cstheme="majorHAnsi"/>
          <w:b/>
        </w:rPr>
        <w:t>Requiring Qualified Actuary CE Attestation</w:t>
      </w:r>
    </w:p>
    <w:p w:rsidR="002B091B" w:rsidRPr="00A060C9" w:rsidRDefault="002B091B" w:rsidP="002B4B92">
      <w:pPr>
        <w:rPr>
          <w:rFonts w:asciiTheme="majorHAnsi" w:hAnsiTheme="majorHAnsi" w:cstheme="majorHAnsi"/>
          <w:b/>
        </w:rPr>
      </w:pPr>
    </w:p>
    <w:p w:rsidR="00B66E4E" w:rsidRPr="00A060C9" w:rsidRDefault="002B4B92" w:rsidP="002B4B92">
      <w:pPr>
        <w:rPr>
          <w:rFonts w:asciiTheme="majorHAnsi" w:hAnsiTheme="majorHAnsi" w:cstheme="majorHAnsi"/>
        </w:rPr>
      </w:pPr>
      <w:r w:rsidRPr="00A060C9">
        <w:rPr>
          <w:rFonts w:asciiTheme="majorHAnsi" w:hAnsiTheme="majorHAnsi" w:cstheme="majorHAnsi"/>
        </w:rPr>
        <w:t>The joint task force believes it is logical, and preferable, to include the requirement for a qualified actuary to attest to CE in the NAIC P/C Actuarial Opinion Instruction</w:t>
      </w:r>
      <w:r w:rsidR="002B091B">
        <w:rPr>
          <w:rFonts w:asciiTheme="majorHAnsi" w:hAnsiTheme="majorHAnsi" w:cstheme="majorHAnsi"/>
        </w:rPr>
        <w:t>; i</w:t>
      </w:r>
      <w:r w:rsidRPr="00A060C9">
        <w:rPr>
          <w:rFonts w:asciiTheme="majorHAnsi" w:hAnsiTheme="majorHAnsi" w:cstheme="majorHAnsi"/>
        </w:rPr>
        <w:t xml:space="preserve">nclusion in the instructions will make it clear that the attestation is a regulatory requirement. </w:t>
      </w:r>
      <w:r w:rsidR="002B091B">
        <w:rPr>
          <w:rFonts w:asciiTheme="majorHAnsi" w:hAnsiTheme="majorHAnsi" w:cstheme="majorHAnsi"/>
        </w:rPr>
        <w:t xml:space="preserve">Accordingly, we respectively request CASTF consider revising the instruction to include the CE attestation requirement. </w:t>
      </w:r>
      <w:r w:rsidRPr="00A060C9">
        <w:rPr>
          <w:rFonts w:asciiTheme="majorHAnsi" w:hAnsiTheme="majorHAnsi" w:cstheme="majorHAnsi"/>
        </w:rPr>
        <w:t>Should there be insufficient time</w:t>
      </w:r>
      <w:r w:rsidR="00A060C9" w:rsidRPr="00A060C9">
        <w:rPr>
          <w:rFonts w:asciiTheme="majorHAnsi" w:hAnsiTheme="majorHAnsi" w:cstheme="majorHAnsi"/>
        </w:rPr>
        <w:t xml:space="preserve"> at the NAIC</w:t>
      </w:r>
      <w:r w:rsidRPr="00A060C9">
        <w:rPr>
          <w:rFonts w:asciiTheme="majorHAnsi" w:hAnsiTheme="majorHAnsi" w:cstheme="majorHAnsi"/>
        </w:rPr>
        <w:t xml:space="preserve"> to process </w:t>
      </w:r>
      <w:r w:rsidR="002B091B">
        <w:rPr>
          <w:rFonts w:asciiTheme="majorHAnsi" w:hAnsiTheme="majorHAnsi" w:cstheme="majorHAnsi"/>
        </w:rPr>
        <w:t xml:space="preserve">a </w:t>
      </w:r>
      <w:r w:rsidRPr="00A060C9">
        <w:rPr>
          <w:rFonts w:asciiTheme="majorHAnsi" w:hAnsiTheme="majorHAnsi" w:cstheme="majorHAnsi"/>
        </w:rPr>
        <w:t xml:space="preserve">revision to the instruction in 2019, insertion into the instruction’s guidance could be utilized until the instructions are modified to include the requirement. </w:t>
      </w:r>
    </w:p>
    <w:p w:rsidR="00B66E4E" w:rsidRPr="00A060C9" w:rsidRDefault="00B66E4E" w:rsidP="002B4B92">
      <w:pPr>
        <w:rPr>
          <w:rFonts w:asciiTheme="majorHAnsi" w:hAnsiTheme="majorHAnsi" w:cstheme="majorHAnsi"/>
        </w:rPr>
      </w:pPr>
    </w:p>
    <w:p w:rsidR="002B4B92" w:rsidRPr="00A060C9" w:rsidRDefault="00B66E4E" w:rsidP="002B4B92">
      <w:pPr>
        <w:rPr>
          <w:rFonts w:asciiTheme="majorHAnsi" w:hAnsiTheme="majorHAnsi" w:cstheme="majorHAnsi"/>
        </w:rPr>
      </w:pPr>
      <w:r w:rsidRPr="00A060C9">
        <w:rPr>
          <w:rFonts w:asciiTheme="majorHAnsi" w:hAnsiTheme="majorHAnsi" w:cstheme="majorHAnsi"/>
        </w:rPr>
        <w:t>Once CASTF has confirmed the process outlined in this report, t</w:t>
      </w:r>
      <w:r w:rsidR="002B4B92" w:rsidRPr="00A060C9">
        <w:rPr>
          <w:rFonts w:asciiTheme="majorHAnsi" w:hAnsiTheme="majorHAnsi" w:cstheme="majorHAnsi"/>
        </w:rPr>
        <w:t xml:space="preserve">he CAS and the SOA will work together to craft a joint communication regarding the new requirement </w:t>
      </w:r>
      <w:r w:rsidR="00516F5D" w:rsidRPr="00A060C9">
        <w:rPr>
          <w:rFonts w:asciiTheme="majorHAnsi" w:hAnsiTheme="majorHAnsi" w:cstheme="majorHAnsi"/>
        </w:rPr>
        <w:t xml:space="preserve">for qualified actuaries </w:t>
      </w:r>
      <w:r w:rsidR="002B4B92" w:rsidRPr="00A060C9">
        <w:rPr>
          <w:rFonts w:asciiTheme="majorHAnsi" w:hAnsiTheme="majorHAnsi" w:cstheme="majorHAnsi"/>
        </w:rPr>
        <w:t>to be disseminated to our respective members.</w:t>
      </w:r>
    </w:p>
    <w:p w:rsidR="002B4B92" w:rsidRDefault="002B4B92" w:rsidP="002B4B92">
      <w:pPr>
        <w:rPr>
          <w:rFonts w:asciiTheme="majorHAnsi" w:hAnsiTheme="majorHAnsi" w:cstheme="majorHAnsi"/>
        </w:rPr>
      </w:pPr>
    </w:p>
    <w:p w:rsidR="002B4B92" w:rsidRPr="00540909" w:rsidRDefault="002B4B92" w:rsidP="002B4B92">
      <w:pPr>
        <w:rPr>
          <w:rFonts w:asciiTheme="majorHAnsi" w:hAnsiTheme="majorHAnsi" w:cstheme="majorHAnsi"/>
        </w:rPr>
      </w:pPr>
    </w:p>
    <w:p w:rsidR="002B4B92" w:rsidRDefault="002B4B92" w:rsidP="002B4B92">
      <w:pPr>
        <w:spacing w:before="60" w:after="60"/>
        <w:rPr>
          <w:rFonts w:asciiTheme="majorHAnsi" w:hAnsiTheme="majorHAnsi" w:cstheme="majorHAnsi"/>
        </w:rPr>
      </w:pPr>
    </w:p>
    <w:p w:rsidR="002B4B92" w:rsidRDefault="002B4B92" w:rsidP="002B4B92">
      <w:pPr>
        <w:spacing w:before="60" w:after="60"/>
        <w:rPr>
          <w:rFonts w:asciiTheme="majorHAnsi" w:hAnsiTheme="majorHAnsi" w:cstheme="majorHAnsi"/>
        </w:rPr>
      </w:pPr>
    </w:p>
    <w:p w:rsidR="002B4B92" w:rsidRPr="00EF08E8" w:rsidRDefault="002B4B92" w:rsidP="002B4B92">
      <w:pPr>
        <w:spacing w:before="60" w:after="60"/>
        <w:rPr>
          <w:rFonts w:asciiTheme="majorHAnsi" w:hAnsiTheme="majorHAnsi" w:cstheme="majorHAnsi"/>
        </w:rPr>
      </w:pPr>
    </w:p>
    <w:p w:rsidR="00B2197F" w:rsidRPr="002B4B92" w:rsidRDefault="00B2197F" w:rsidP="002B4B92"/>
    <w:sectPr w:rsidR="00B2197F" w:rsidRPr="002B4B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7A" w:rsidRDefault="00F3007A" w:rsidP="00C537E4">
      <w:r>
        <w:separator/>
      </w:r>
    </w:p>
  </w:endnote>
  <w:endnote w:type="continuationSeparator" w:id="0">
    <w:p w:rsidR="00F3007A" w:rsidRDefault="00F3007A" w:rsidP="00C5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402584"/>
      <w:docPartObj>
        <w:docPartGallery w:val="Page Numbers (Bottom of Page)"/>
        <w:docPartUnique/>
      </w:docPartObj>
    </w:sdtPr>
    <w:sdtEndPr>
      <w:rPr>
        <w:noProof/>
      </w:rPr>
    </w:sdtEndPr>
    <w:sdtContent>
      <w:p w:rsidR="00942E5C" w:rsidRDefault="00942E5C">
        <w:pPr>
          <w:pStyle w:val="Footer"/>
          <w:jc w:val="center"/>
        </w:pPr>
        <w:r>
          <w:fldChar w:fldCharType="begin"/>
        </w:r>
        <w:r>
          <w:instrText xml:space="preserve"> PAGE   \* MERGEFORMAT </w:instrText>
        </w:r>
        <w:r>
          <w:fldChar w:fldCharType="separate"/>
        </w:r>
        <w:r w:rsidR="0075737C">
          <w:rPr>
            <w:noProof/>
          </w:rPr>
          <w:t>1</w:t>
        </w:r>
        <w:r>
          <w:rPr>
            <w:noProof/>
          </w:rPr>
          <w:fldChar w:fldCharType="end"/>
        </w:r>
      </w:p>
    </w:sdtContent>
  </w:sdt>
  <w:p w:rsidR="00942E5C" w:rsidRDefault="0094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7A" w:rsidRDefault="00F3007A" w:rsidP="00C537E4">
      <w:r>
        <w:separator/>
      </w:r>
    </w:p>
  </w:footnote>
  <w:footnote w:type="continuationSeparator" w:id="0">
    <w:p w:rsidR="00F3007A" w:rsidRDefault="00F3007A" w:rsidP="00C5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A3" w:rsidRDefault="006A6282" w:rsidP="009D0BBB">
    <w:pPr>
      <w:pStyle w:val="Header"/>
      <w:jc w:val="center"/>
      <w:rPr>
        <w:b/>
      </w:rPr>
    </w:pPr>
    <w:r>
      <w:rPr>
        <w:noProof/>
      </w:rPr>
      <w:drawing>
        <wp:anchor distT="0" distB="0" distL="114300" distR="114300" simplePos="0" relativeHeight="251665408" behindDoc="1" locked="0" layoutInCell="1" allowOverlap="1" wp14:anchorId="223142BB" wp14:editId="57D3FFD9">
          <wp:simplePos x="0" y="0"/>
          <wp:positionH relativeFrom="margin">
            <wp:align>left</wp:align>
          </wp:positionH>
          <wp:positionV relativeFrom="paragraph">
            <wp:posOffset>-114300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 Logo RGB.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sidR="009D08A3">
      <w:rPr>
        <w:noProof/>
      </w:rPr>
      <w:drawing>
        <wp:anchor distT="0" distB="0" distL="114300" distR="114300" simplePos="0" relativeHeight="251664384" behindDoc="0" locked="0" layoutInCell="1" allowOverlap="1" wp14:anchorId="1E742C65" wp14:editId="6E47E974">
          <wp:simplePos x="0" y="0"/>
          <wp:positionH relativeFrom="margin">
            <wp:posOffset>4316095</wp:posOffset>
          </wp:positionH>
          <wp:positionV relativeFrom="paragraph">
            <wp:posOffset>-114300</wp:posOffset>
          </wp:positionV>
          <wp:extent cx="1627632" cy="5669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logo-RGB.png"/>
                  <pic:cNvPicPr/>
                </pic:nvPicPr>
                <pic:blipFill rotWithShape="1">
                  <a:blip r:embed="rId2" cstate="print">
                    <a:extLst>
                      <a:ext uri="{28A0092B-C50C-407E-A947-70E740481C1C}">
                        <a14:useLocalDpi xmlns:a14="http://schemas.microsoft.com/office/drawing/2010/main" val="0"/>
                      </a:ext>
                    </a:extLst>
                  </a:blip>
                  <a:srcRect t="19900" b="15998"/>
                  <a:stretch/>
                </pic:blipFill>
                <pic:spPr bwMode="auto">
                  <a:xfrm>
                    <a:off x="0" y="0"/>
                    <a:ext cx="1627632" cy="566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08A3" w:rsidRDefault="009D08A3" w:rsidP="009D0BBB">
    <w:pPr>
      <w:pStyle w:val="Header"/>
      <w:jc w:val="center"/>
      <w:rPr>
        <w:b/>
      </w:rPr>
    </w:pPr>
  </w:p>
  <w:p w:rsidR="009D08A3" w:rsidRDefault="00942E5C" w:rsidP="002A0093">
    <w:pPr>
      <w:pStyle w:val="Header"/>
      <w:rPr>
        <w:b/>
      </w:rPr>
    </w:pPr>
    <w:r w:rsidRPr="009D0BBB">
      <w:rPr>
        <w:b/>
      </w:rPr>
      <w:t xml:space="preserve"> </w:t>
    </w:r>
  </w:p>
  <w:p w:rsidR="002B091B" w:rsidRDefault="002B091B" w:rsidP="002A0093">
    <w:pPr>
      <w:pStyle w:val="Header"/>
      <w:rPr>
        <w:b/>
      </w:rPr>
    </w:pPr>
  </w:p>
  <w:p w:rsidR="00942E5C" w:rsidRDefault="00942E5C" w:rsidP="002B091B">
    <w:pPr>
      <w:pStyle w:val="Header"/>
      <w:jc w:val="center"/>
      <w:rPr>
        <w:b/>
      </w:rPr>
    </w:pPr>
    <w:r w:rsidRPr="009D0BBB">
      <w:rPr>
        <w:b/>
      </w:rPr>
      <w:t>CAS/SOA</w:t>
    </w:r>
    <w:r w:rsidR="0099355F">
      <w:rPr>
        <w:b/>
      </w:rPr>
      <w:t xml:space="preserve"> Task Force</w:t>
    </w:r>
    <w:r w:rsidRPr="009D0BBB">
      <w:rPr>
        <w:b/>
      </w:rPr>
      <w:t xml:space="preserve">: </w:t>
    </w:r>
    <w:r w:rsidR="002A0093">
      <w:rPr>
        <w:b/>
      </w:rPr>
      <w:t xml:space="preserve">Appointed Actuary </w:t>
    </w:r>
    <w:r w:rsidRPr="009D0BBB">
      <w:rPr>
        <w:b/>
      </w:rPr>
      <w:t>C</w:t>
    </w:r>
    <w:r w:rsidR="002A0093">
      <w:rPr>
        <w:b/>
      </w:rPr>
      <w:t>ontinuing Education</w:t>
    </w:r>
    <w:r w:rsidR="00080891">
      <w:rPr>
        <w:b/>
      </w:rPr>
      <w:t xml:space="preserve"> Verification P</w:t>
    </w:r>
    <w:r w:rsidRPr="009D0BBB">
      <w:rPr>
        <w:b/>
      </w:rPr>
      <w:t>rocess</w:t>
    </w:r>
  </w:p>
  <w:p w:rsidR="002B4B92" w:rsidRPr="009D0BBB" w:rsidRDefault="002B4B92" w:rsidP="002A0093">
    <w:pPr>
      <w:pStyle w:val="Header"/>
      <w:jc w:val="center"/>
      <w:rPr>
        <w:b/>
      </w:rPr>
    </w:pPr>
    <w:r>
      <w:rPr>
        <w:b/>
      </w:rPr>
      <w:t>Implementation Report to CASTF</w:t>
    </w:r>
    <w:r w:rsidR="002A0093">
      <w:rPr>
        <w:b/>
      </w:rPr>
      <w:t xml:space="preserve"> – </w:t>
    </w:r>
    <w:r w:rsidR="00134D71">
      <w:rPr>
        <w:b/>
      </w:rPr>
      <w:t>April</w:t>
    </w:r>
    <w:r w:rsidR="002A0093">
      <w:rPr>
        <w:b/>
      </w:rPr>
      <w:t xml:space="preserve"> 2019</w:t>
    </w:r>
  </w:p>
  <w:p w:rsidR="00EB6F0F" w:rsidRPr="002B4B92" w:rsidRDefault="00EB6F0F" w:rsidP="009D0B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D5B"/>
    <w:multiLevelType w:val="hybridMultilevel"/>
    <w:tmpl w:val="0B56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0116F"/>
    <w:multiLevelType w:val="hybridMultilevel"/>
    <w:tmpl w:val="FBBC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E5A54"/>
    <w:multiLevelType w:val="hybridMultilevel"/>
    <w:tmpl w:val="48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7CA1"/>
    <w:multiLevelType w:val="hybridMultilevel"/>
    <w:tmpl w:val="0B564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5D01"/>
    <w:multiLevelType w:val="hybridMultilevel"/>
    <w:tmpl w:val="957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95A2B"/>
    <w:multiLevelType w:val="hybridMultilevel"/>
    <w:tmpl w:val="86E8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640F"/>
    <w:multiLevelType w:val="hybridMultilevel"/>
    <w:tmpl w:val="A634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9623D"/>
    <w:multiLevelType w:val="hybridMultilevel"/>
    <w:tmpl w:val="010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4508E"/>
    <w:multiLevelType w:val="hybridMultilevel"/>
    <w:tmpl w:val="270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D4385"/>
    <w:multiLevelType w:val="hybridMultilevel"/>
    <w:tmpl w:val="FB3C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63FCE"/>
    <w:multiLevelType w:val="hybridMultilevel"/>
    <w:tmpl w:val="FE26B2DA"/>
    <w:lvl w:ilvl="0" w:tplc="04090001">
      <w:start w:val="1"/>
      <w:numFmt w:val="bullet"/>
      <w:lvlText w:val=""/>
      <w:lvlJc w:val="left"/>
      <w:pPr>
        <w:ind w:left="720" w:hanging="360"/>
      </w:pPr>
      <w:rPr>
        <w:rFonts w:ascii="Symbol" w:hAnsi="Symbol" w:hint="default"/>
      </w:rPr>
    </w:lvl>
    <w:lvl w:ilvl="1" w:tplc="DB8E69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9"/>
  </w:num>
  <w:num w:numId="6">
    <w:abstractNumId w:val="6"/>
  </w:num>
  <w:num w:numId="7">
    <w:abstractNumId w:val="3"/>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B"/>
    <w:rsid w:val="00061EF3"/>
    <w:rsid w:val="00080891"/>
    <w:rsid w:val="00087B06"/>
    <w:rsid w:val="000A2770"/>
    <w:rsid w:val="000A5F4E"/>
    <w:rsid w:val="000B6BC8"/>
    <w:rsid w:val="000F1B52"/>
    <w:rsid w:val="000F3CBD"/>
    <w:rsid w:val="001159E8"/>
    <w:rsid w:val="00120DD3"/>
    <w:rsid w:val="00134D71"/>
    <w:rsid w:val="001876B2"/>
    <w:rsid w:val="00191F61"/>
    <w:rsid w:val="001E5395"/>
    <w:rsid w:val="002669DA"/>
    <w:rsid w:val="0027577B"/>
    <w:rsid w:val="00275F4A"/>
    <w:rsid w:val="002815DB"/>
    <w:rsid w:val="0029217C"/>
    <w:rsid w:val="002A0093"/>
    <w:rsid w:val="002A3F5A"/>
    <w:rsid w:val="002B091B"/>
    <w:rsid w:val="002B4B92"/>
    <w:rsid w:val="0032405B"/>
    <w:rsid w:val="0034003E"/>
    <w:rsid w:val="00424477"/>
    <w:rsid w:val="00425441"/>
    <w:rsid w:val="00430262"/>
    <w:rsid w:val="00472FE1"/>
    <w:rsid w:val="004C2FB7"/>
    <w:rsid w:val="004E084C"/>
    <w:rsid w:val="005148C4"/>
    <w:rsid w:val="00516F5D"/>
    <w:rsid w:val="00557EC9"/>
    <w:rsid w:val="0056054F"/>
    <w:rsid w:val="00586CDF"/>
    <w:rsid w:val="00591119"/>
    <w:rsid w:val="005C18AD"/>
    <w:rsid w:val="005F18C8"/>
    <w:rsid w:val="005F2200"/>
    <w:rsid w:val="00605286"/>
    <w:rsid w:val="0063272D"/>
    <w:rsid w:val="0064027C"/>
    <w:rsid w:val="0064451E"/>
    <w:rsid w:val="006578AE"/>
    <w:rsid w:val="006847C9"/>
    <w:rsid w:val="006A6282"/>
    <w:rsid w:val="006B1415"/>
    <w:rsid w:val="006B50FB"/>
    <w:rsid w:val="007434CB"/>
    <w:rsid w:val="007551FA"/>
    <w:rsid w:val="0075737C"/>
    <w:rsid w:val="00771B35"/>
    <w:rsid w:val="007B3F63"/>
    <w:rsid w:val="007D2279"/>
    <w:rsid w:val="007E6A33"/>
    <w:rsid w:val="00803791"/>
    <w:rsid w:val="0083617B"/>
    <w:rsid w:val="00836E20"/>
    <w:rsid w:val="0087666E"/>
    <w:rsid w:val="00876D8D"/>
    <w:rsid w:val="008A758B"/>
    <w:rsid w:val="008C22EA"/>
    <w:rsid w:val="008E270B"/>
    <w:rsid w:val="009219AD"/>
    <w:rsid w:val="00942E5C"/>
    <w:rsid w:val="009536EF"/>
    <w:rsid w:val="0099355F"/>
    <w:rsid w:val="00996B7F"/>
    <w:rsid w:val="009C00B0"/>
    <w:rsid w:val="009D08A3"/>
    <w:rsid w:val="009D0BBB"/>
    <w:rsid w:val="00A060C9"/>
    <w:rsid w:val="00A471F8"/>
    <w:rsid w:val="00A540DE"/>
    <w:rsid w:val="00AC7C22"/>
    <w:rsid w:val="00AC7E78"/>
    <w:rsid w:val="00AD3225"/>
    <w:rsid w:val="00AF103B"/>
    <w:rsid w:val="00AF63B3"/>
    <w:rsid w:val="00AF7EC2"/>
    <w:rsid w:val="00B2197F"/>
    <w:rsid w:val="00B23276"/>
    <w:rsid w:val="00B57E74"/>
    <w:rsid w:val="00B6413A"/>
    <w:rsid w:val="00B66E4E"/>
    <w:rsid w:val="00B708FB"/>
    <w:rsid w:val="00B7372F"/>
    <w:rsid w:val="00B90ABD"/>
    <w:rsid w:val="00BB4460"/>
    <w:rsid w:val="00C2301C"/>
    <w:rsid w:val="00C537E4"/>
    <w:rsid w:val="00C56988"/>
    <w:rsid w:val="00C7546C"/>
    <w:rsid w:val="00C76EE8"/>
    <w:rsid w:val="00C93CAF"/>
    <w:rsid w:val="00CA059B"/>
    <w:rsid w:val="00D00140"/>
    <w:rsid w:val="00D22938"/>
    <w:rsid w:val="00D353E5"/>
    <w:rsid w:val="00D54141"/>
    <w:rsid w:val="00D664E0"/>
    <w:rsid w:val="00D77F35"/>
    <w:rsid w:val="00D90A2B"/>
    <w:rsid w:val="00DE4E7D"/>
    <w:rsid w:val="00DE55FC"/>
    <w:rsid w:val="00E0313F"/>
    <w:rsid w:val="00E03522"/>
    <w:rsid w:val="00E20E38"/>
    <w:rsid w:val="00EB2399"/>
    <w:rsid w:val="00EB4969"/>
    <w:rsid w:val="00EB6F0F"/>
    <w:rsid w:val="00ED67A6"/>
    <w:rsid w:val="00F01FD0"/>
    <w:rsid w:val="00F3007A"/>
    <w:rsid w:val="00FD6D76"/>
    <w:rsid w:val="00FE008D"/>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24CA"/>
  <w15:docId w15:val="{6ED32744-A3C8-44C4-9CE4-A0A0713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7B"/>
    <w:pPr>
      <w:spacing w:after="0" w:line="240" w:lineRule="auto"/>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7B"/>
    <w:pPr>
      <w:ind w:left="720"/>
      <w:contextualSpacing/>
    </w:pPr>
  </w:style>
  <w:style w:type="paragraph" w:styleId="FootnoteText">
    <w:name w:val="footnote text"/>
    <w:basedOn w:val="Normal"/>
    <w:link w:val="FootnoteTextChar"/>
    <w:uiPriority w:val="99"/>
    <w:semiHidden/>
    <w:unhideWhenUsed/>
    <w:rsid w:val="00C537E4"/>
    <w:rPr>
      <w:sz w:val="20"/>
      <w:szCs w:val="20"/>
    </w:rPr>
  </w:style>
  <w:style w:type="character" w:customStyle="1" w:styleId="FootnoteTextChar">
    <w:name w:val="Footnote Text Char"/>
    <w:basedOn w:val="DefaultParagraphFont"/>
    <w:link w:val="FootnoteText"/>
    <w:uiPriority w:val="99"/>
    <w:semiHidden/>
    <w:rsid w:val="00C537E4"/>
    <w:rPr>
      <w:rFonts w:ascii="Calibri Light" w:hAnsi="Calibri Light"/>
      <w:sz w:val="20"/>
      <w:szCs w:val="20"/>
    </w:rPr>
  </w:style>
  <w:style w:type="character" w:styleId="FootnoteReference">
    <w:name w:val="footnote reference"/>
    <w:basedOn w:val="DefaultParagraphFont"/>
    <w:uiPriority w:val="99"/>
    <w:semiHidden/>
    <w:unhideWhenUsed/>
    <w:rsid w:val="00C537E4"/>
    <w:rPr>
      <w:vertAlign w:val="superscript"/>
    </w:rPr>
  </w:style>
  <w:style w:type="paragraph" w:styleId="Header">
    <w:name w:val="header"/>
    <w:basedOn w:val="Normal"/>
    <w:link w:val="HeaderChar"/>
    <w:uiPriority w:val="99"/>
    <w:unhideWhenUsed/>
    <w:rsid w:val="009D0BBB"/>
    <w:pPr>
      <w:tabs>
        <w:tab w:val="center" w:pos="4680"/>
        <w:tab w:val="right" w:pos="9360"/>
      </w:tabs>
    </w:pPr>
  </w:style>
  <w:style w:type="character" w:customStyle="1" w:styleId="HeaderChar">
    <w:name w:val="Header Char"/>
    <w:basedOn w:val="DefaultParagraphFont"/>
    <w:link w:val="Header"/>
    <w:uiPriority w:val="99"/>
    <w:rsid w:val="009D0BBB"/>
    <w:rPr>
      <w:rFonts w:ascii="Calibri Light" w:hAnsi="Calibri Light"/>
    </w:rPr>
  </w:style>
  <w:style w:type="paragraph" w:styleId="Footer">
    <w:name w:val="footer"/>
    <w:basedOn w:val="Normal"/>
    <w:link w:val="FooterChar"/>
    <w:uiPriority w:val="99"/>
    <w:unhideWhenUsed/>
    <w:rsid w:val="009D0BBB"/>
    <w:pPr>
      <w:tabs>
        <w:tab w:val="center" w:pos="4680"/>
        <w:tab w:val="right" w:pos="9360"/>
      </w:tabs>
    </w:pPr>
  </w:style>
  <w:style w:type="character" w:customStyle="1" w:styleId="FooterChar">
    <w:name w:val="Footer Char"/>
    <w:basedOn w:val="DefaultParagraphFont"/>
    <w:link w:val="Footer"/>
    <w:uiPriority w:val="99"/>
    <w:rsid w:val="009D0BBB"/>
    <w:rPr>
      <w:rFonts w:ascii="Calibri Light" w:hAnsi="Calibri Light"/>
    </w:rPr>
  </w:style>
  <w:style w:type="character" w:styleId="CommentReference">
    <w:name w:val="annotation reference"/>
    <w:basedOn w:val="DefaultParagraphFont"/>
    <w:uiPriority w:val="99"/>
    <w:semiHidden/>
    <w:unhideWhenUsed/>
    <w:rsid w:val="00472FE1"/>
    <w:rPr>
      <w:sz w:val="16"/>
      <w:szCs w:val="16"/>
    </w:rPr>
  </w:style>
  <w:style w:type="paragraph" w:styleId="CommentText">
    <w:name w:val="annotation text"/>
    <w:basedOn w:val="Normal"/>
    <w:link w:val="CommentTextChar"/>
    <w:uiPriority w:val="99"/>
    <w:semiHidden/>
    <w:unhideWhenUsed/>
    <w:rsid w:val="00472FE1"/>
    <w:rPr>
      <w:sz w:val="20"/>
      <w:szCs w:val="20"/>
    </w:rPr>
  </w:style>
  <w:style w:type="character" w:customStyle="1" w:styleId="CommentTextChar">
    <w:name w:val="Comment Text Char"/>
    <w:basedOn w:val="DefaultParagraphFont"/>
    <w:link w:val="CommentText"/>
    <w:uiPriority w:val="99"/>
    <w:semiHidden/>
    <w:rsid w:val="00472FE1"/>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472FE1"/>
    <w:rPr>
      <w:b/>
      <w:bCs/>
    </w:rPr>
  </w:style>
  <w:style w:type="character" w:customStyle="1" w:styleId="CommentSubjectChar">
    <w:name w:val="Comment Subject Char"/>
    <w:basedOn w:val="CommentTextChar"/>
    <w:link w:val="CommentSubject"/>
    <w:uiPriority w:val="99"/>
    <w:semiHidden/>
    <w:rsid w:val="00472FE1"/>
    <w:rPr>
      <w:rFonts w:ascii="Calibri Light" w:hAnsi="Calibri Light"/>
      <w:b/>
      <w:bCs/>
      <w:sz w:val="20"/>
      <w:szCs w:val="20"/>
    </w:rPr>
  </w:style>
  <w:style w:type="paragraph" w:styleId="BalloonText">
    <w:name w:val="Balloon Text"/>
    <w:basedOn w:val="Normal"/>
    <w:link w:val="BalloonTextChar"/>
    <w:uiPriority w:val="99"/>
    <w:semiHidden/>
    <w:unhideWhenUsed/>
    <w:rsid w:val="0047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E46E-999D-49AF-826E-2E5C72DB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Kessler</dc:creator>
  <cp:lastModifiedBy>Dyke, Kevin (DIFS)</cp:lastModifiedBy>
  <cp:revision>2</cp:revision>
  <cp:lastPrinted>2019-03-14T22:29:00Z</cp:lastPrinted>
  <dcterms:created xsi:type="dcterms:W3CDTF">2019-04-16T17:59:00Z</dcterms:created>
  <dcterms:modified xsi:type="dcterms:W3CDTF">2019-04-16T17:59:00Z</dcterms:modified>
</cp:coreProperties>
</file>