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6BF2C"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04C0DDE5" w14:textId="77777777" w:rsidR="002A1316" w:rsidRPr="00016321" w:rsidRDefault="002A1316">
      <w:pPr>
        <w:jc w:val="center"/>
        <w:rPr>
          <w:b/>
          <w:sz w:val="22"/>
          <w:szCs w:val="22"/>
        </w:rPr>
      </w:pPr>
      <w:r w:rsidRPr="00016321">
        <w:rPr>
          <w:b/>
          <w:sz w:val="22"/>
          <w:szCs w:val="22"/>
        </w:rPr>
        <w:t>Maintenance Agenda Submission Form</w:t>
      </w:r>
    </w:p>
    <w:p w14:paraId="760D44AC" w14:textId="77777777" w:rsidR="002A1316" w:rsidRPr="00016321" w:rsidRDefault="002A1316">
      <w:pPr>
        <w:jc w:val="center"/>
        <w:rPr>
          <w:b/>
          <w:sz w:val="22"/>
          <w:szCs w:val="22"/>
        </w:rPr>
      </w:pPr>
      <w:r w:rsidRPr="00016321">
        <w:rPr>
          <w:b/>
          <w:sz w:val="22"/>
          <w:szCs w:val="22"/>
        </w:rPr>
        <w:t>Form A</w:t>
      </w:r>
    </w:p>
    <w:p w14:paraId="76107A4F" w14:textId="77777777" w:rsidR="002A1316" w:rsidRPr="00016321" w:rsidRDefault="002A1316">
      <w:pPr>
        <w:pStyle w:val="Heading2"/>
        <w:jc w:val="center"/>
        <w:rPr>
          <w:sz w:val="22"/>
          <w:szCs w:val="22"/>
        </w:rPr>
      </w:pPr>
    </w:p>
    <w:p w14:paraId="71312467" w14:textId="5369055E"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E44BF8">
        <w:rPr>
          <w:sz w:val="22"/>
          <w:szCs w:val="22"/>
        </w:rPr>
        <w:t>SSAP No. 101 – Q&amp;A Updates</w:t>
      </w:r>
      <w:r w:rsidR="006B33F3">
        <w:rPr>
          <w:sz w:val="22"/>
          <w:szCs w:val="22"/>
        </w:rPr>
        <w:t xml:space="preserve"> - TCJA</w:t>
      </w:r>
      <w:r w:rsidR="00E44BF8">
        <w:rPr>
          <w:sz w:val="22"/>
          <w:szCs w:val="22"/>
        </w:rPr>
        <w:t xml:space="preserve"> </w:t>
      </w:r>
      <w:r w:rsidR="00F50683">
        <w:rPr>
          <w:sz w:val="22"/>
          <w:szCs w:val="22"/>
        </w:rPr>
        <w:t xml:space="preserve"> </w:t>
      </w:r>
    </w:p>
    <w:p w14:paraId="054E7F6E" w14:textId="77777777" w:rsidR="00B30CA0" w:rsidRPr="00016321" w:rsidRDefault="00B30CA0" w:rsidP="00B30CA0">
      <w:pPr>
        <w:rPr>
          <w:sz w:val="22"/>
          <w:szCs w:val="22"/>
        </w:rPr>
      </w:pPr>
    </w:p>
    <w:p w14:paraId="2F7B43C1" w14:textId="77777777" w:rsidR="002A1316" w:rsidRPr="00016321" w:rsidRDefault="002A1316" w:rsidP="00B30CA0">
      <w:pPr>
        <w:jc w:val="both"/>
        <w:rPr>
          <w:b/>
          <w:sz w:val="22"/>
          <w:szCs w:val="22"/>
        </w:rPr>
      </w:pPr>
      <w:r w:rsidRPr="00016321">
        <w:rPr>
          <w:b/>
          <w:sz w:val="22"/>
          <w:szCs w:val="22"/>
        </w:rPr>
        <w:t>Check (applicable entity):</w:t>
      </w:r>
    </w:p>
    <w:p w14:paraId="26E2FDB6"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6D2BE43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C1206E">
        <w:rPr>
          <w:sz w:val="22"/>
          <w:szCs w:val="22"/>
        </w:rPr>
      </w:r>
      <w:r w:rsidR="00C1206E">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C1206E">
        <w:rPr>
          <w:sz w:val="22"/>
          <w:szCs w:val="22"/>
        </w:rPr>
      </w:r>
      <w:r w:rsidR="00C1206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C1206E">
        <w:rPr>
          <w:sz w:val="22"/>
          <w:szCs w:val="22"/>
        </w:rPr>
      </w:r>
      <w:r w:rsidR="00C1206E">
        <w:rPr>
          <w:sz w:val="22"/>
          <w:szCs w:val="22"/>
        </w:rPr>
        <w:fldChar w:fldCharType="separate"/>
      </w:r>
      <w:r w:rsidRPr="00016321">
        <w:rPr>
          <w:sz w:val="22"/>
          <w:szCs w:val="22"/>
        </w:rPr>
        <w:fldChar w:fldCharType="end"/>
      </w:r>
    </w:p>
    <w:p w14:paraId="47DFF00C"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1206E">
        <w:rPr>
          <w:sz w:val="22"/>
          <w:szCs w:val="22"/>
        </w:rPr>
      </w:r>
      <w:r w:rsidR="00C1206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1206E">
        <w:rPr>
          <w:sz w:val="22"/>
          <w:szCs w:val="22"/>
        </w:rPr>
      </w:r>
      <w:r w:rsidR="00C1206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1206E">
        <w:rPr>
          <w:sz w:val="22"/>
          <w:szCs w:val="22"/>
        </w:rPr>
      </w:r>
      <w:r w:rsidR="00C1206E">
        <w:rPr>
          <w:sz w:val="22"/>
          <w:szCs w:val="22"/>
        </w:rPr>
        <w:fldChar w:fldCharType="separate"/>
      </w:r>
      <w:r w:rsidRPr="00016321">
        <w:rPr>
          <w:sz w:val="22"/>
          <w:szCs w:val="22"/>
        </w:rPr>
        <w:fldChar w:fldCharType="end"/>
      </w:r>
    </w:p>
    <w:p w14:paraId="7508C7CF"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1206E">
        <w:rPr>
          <w:sz w:val="22"/>
          <w:szCs w:val="22"/>
        </w:rPr>
      </w:r>
      <w:r w:rsidR="00C1206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1206E">
        <w:rPr>
          <w:sz w:val="22"/>
          <w:szCs w:val="22"/>
        </w:rPr>
      </w:r>
      <w:r w:rsidR="00C1206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1206E">
        <w:rPr>
          <w:sz w:val="22"/>
          <w:szCs w:val="22"/>
        </w:rPr>
      </w:r>
      <w:r w:rsidR="00C1206E">
        <w:rPr>
          <w:sz w:val="22"/>
          <w:szCs w:val="22"/>
        </w:rPr>
        <w:fldChar w:fldCharType="separate"/>
      </w:r>
      <w:r w:rsidRPr="00016321">
        <w:rPr>
          <w:sz w:val="22"/>
          <w:szCs w:val="22"/>
        </w:rPr>
        <w:fldChar w:fldCharType="end"/>
      </w:r>
    </w:p>
    <w:p w14:paraId="6CE64D07" w14:textId="77777777" w:rsidR="002A1316" w:rsidRPr="00016321" w:rsidRDefault="002A1316" w:rsidP="00B30CA0">
      <w:pPr>
        <w:jc w:val="both"/>
        <w:rPr>
          <w:sz w:val="22"/>
          <w:szCs w:val="22"/>
        </w:rPr>
      </w:pPr>
    </w:p>
    <w:p w14:paraId="61827128" w14:textId="37E5925E" w:rsidR="00521A6D" w:rsidRDefault="002A1316" w:rsidP="00BA3DAA">
      <w:pPr>
        <w:pStyle w:val="BodyText2"/>
        <w:rPr>
          <w:b w:val="0"/>
          <w:szCs w:val="22"/>
        </w:rPr>
      </w:pPr>
      <w:r w:rsidRPr="00016321">
        <w:rPr>
          <w:bCs w:val="0"/>
          <w:szCs w:val="22"/>
        </w:rPr>
        <w:t>Description of Issue:</w:t>
      </w:r>
      <w:r w:rsidR="00E9534C">
        <w:rPr>
          <w:bCs w:val="0"/>
          <w:szCs w:val="22"/>
        </w:rPr>
        <w:t xml:space="preserve"> </w:t>
      </w:r>
      <w:bookmarkStart w:id="1" w:name="_Hlk2672376"/>
      <w:r w:rsidR="00E9534C" w:rsidRPr="00696A2B">
        <w:rPr>
          <w:b w:val="0"/>
          <w:szCs w:val="22"/>
        </w:rPr>
        <w:t xml:space="preserve">This agenda item has been drafted to </w:t>
      </w:r>
      <w:r w:rsidR="00922303">
        <w:rPr>
          <w:b w:val="0"/>
          <w:szCs w:val="22"/>
        </w:rPr>
        <w:t xml:space="preserve">consider </w:t>
      </w:r>
      <w:r w:rsidR="0090236C">
        <w:rPr>
          <w:b w:val="0"/>
          <w:szCs w:val="22"/>
        </w:rPr>
        <w:t>revisions to</w:t>
      </w:r>
      <w:r w:rsidR="00E44BF8">
        <w:rPr>
          <w:b w:val="0"/>
          <w:szCs w:val="22"/>
        </w:rPr>
        <w:t xml:space="preserve"> Exhibit A – Implementation Questions and Answers captured in </w:t>
      </w:r>
      <w:r w:rsidR="00E44BF8" w:rsidRPr="00E44BF8">
        <w:rPr>
          <w:b w:val="0"/>
          <w:i/>
          <w:szCs w:val="22"/>
        </w:rPr>
        <w:t>SSAP No. 101—Income Taxes</w:t>
      </w:r>
      <w:r w:rsidR="00E44BF8">
        <w:rPr>
          <w:b w:val="0"/>
          <w:i/>
          <w:szCs w:val="22"/>
        </w:rPr>
        <w:t xml:space="preserve">. </w:t>
      </w:r>
      <w:r w:rsidR="00521A6D">
        <w:rPr>
          <w:b w:val="0"/>
          <w:szCs w:val="22"/>
        </w:rPr>
        <w:t>Although revisions were previously considered to SSAP No. 101 in response to the federal Tax Cuts and Jobs Act</w:t>
      </w:r>
      <w:r w:rsidR="00601358">
        <w:rPr>
          <w:b w:val="0"/>
          <w:szCs w:val="22"/>
        </w:rPr>
        <w:t xml:space="preserve"> (TCJA)</w:t>
      </w:r>
      <w:r w:rsidR="00521A6D">
        <w:rPr>
          <w:b w:val="0"/>
          <w:szCs w:val="22"/>
        </w:rPr>
        <w:t xml:space="preserve">, only limited revisions were previously considered to the Implementation Q&amp;A. When adopting the SSAP revisions, it was identified that a detailed project would be needed to update the Implementation Q&amp;A, and representatives from industry volunteered to undertake this extensive project. </w:t>
      </w:r>
    </w:p>
    <w:bookmarkEnd w:id="1"/>
    <w:p w14:paraId="6E0583B1" w14:textId="77777777" w:rsidR="00521A6D" w:rsidRDefault="00521A6D" w:rsidP="00BA3DAA">
      <w:pPr>
        <w:pStyle w:val="BodyText2"/>
        <w:rPr>
          <w:b w:val="0"/>
          <w:szCs w:val="22"/>
        </w:rPr>
      </w:pPr>
    </w:p>
    <w:p w14:paraId="6C43A3C9" w14:textId="08EF708E" w:rsidR="00FA20BE" w:rsidRDefault="00521A6D" w:rsidP="00BA3DAA">
      <w:pPr>
        <w:pStyle w:val="BodyText2"/>
        <w:rPr>
          <w:b w:val="0"/>
          <w:szCs w:val="22"/>
        </w:rPr>
      </w:pPr>
      <w:r>
        <w:rPr>
          <w:b w:val="0"/>
          <w:szCs w:val="22"/>
        </w:rPr>
        <w:t xml:space="preserve">On Dec. 11, 2018, NAIC staff received comment letters and proposed revisions to </w:t>
      </w:r>
      <w:r w:rsidR="00601358">
        <w:rPr>
          <w:b w:val="0"/>
          <w:szCs w:val="22"/>
        </w:rPr>
        <w:t xml:space="preserve">update the Implementation Q&amp;A from industry. (NAIC staff is greatly appreciative of the work completed by industry for these updates.) The work completed by industry can be divided into two broad categories: </w:t>
      </w:r>
    </w:p>
    <w:p w14:paraId="64BDB985" w14:textId="5D831D86" w:rsidR="00601358" w:rsidRDefault="00601358" w:rsidP="00BA3DAA">
      <w:pPr>
        <w:pStyle w:val="BodyText2"/>
        <w:rPr>
          <w:b w:val="0"/>
          <w:szCs w:val="22"/>
        </w:rPr>
      </w:pPr>
    </w:p>
    <w:p w14:paraId="0A108157" w14:textId="48009F07" w:rsidR="00601358" w:rsidRDefault="00601358" w:rsidP="00601358">
      <w:pPr>
        <w:pStyle w:val="BodyText2"/>
        <w:numPr>
          <w:ilvl w:val="0"/>
          <w:numId w:val="24"/>
        </w:numPr>
        <w:rPr>
          <w:b w:val="0"/>
          <w:szCs w:val="22"/>
        </w:rPr>
      </w:pPr>
      <w:r>
        <w:rPr>
          <w:b w:val="0"/>
          <w:szCs w:val="22"/>
        </w:rPr>
        <w:t>Revisions to reflect tax changes driven primarily by the TCJA</w:t>
      </w:r>
      <w:r w:rsidR="004D0F03">
        <w:rPr>
          <w:b w:val="0"/>
          <w:szCs w:val="22"/>
        </w:rPr>
        <w:t xml:space="preserve">: </w:t>
      </w:r>
    </w:p>
    <w:p w14:paraId="5B94489F" w14:textId="77777777" w:rsidR="004D0F03" w:rsidRDefault="004D0F03" w:rsidP="004D0F03">
      <w:pPr>
        <w:pStyle w:val="BodyText2"/>
        <w:ind w:left="720"/>
        <w:rPr>
          <w:b w:val="0"/>
          <w:szCs w:val="22"/>
        </w:rPr>
      </w:pPr>
    </w:p>
    <w:p w14:paraId="5AC3B4D1" w14:textId="62B2D7FF" w:rsidR="000F164A" w:rsidRDefault="000F164A" w:rsidP="009337FE">
      <w:pPr>
        <w:pStyle w:val="BodyText2"/>
        <w:numPr>
          <w:ilvl w:val="1"/>
          <w:numId w:val="24"/>
        </w:numPr>
        <w:spacing w:after="120"/>
        <w:rPr>
          <w:b w:val="0"/>
          <w:szCs w:val="22"/>
        </w:rPr>
      </w:pPr>
      <w:r>
        <w:rPr>
          <w:b w:val="0"/>
          <w:szCs w:val="22"/>
        </w:rPr>
        <w:t xml:space="preserve">Reduction in the corporate tax rate (and elimination of the graduated </w:t>
      </w:r>
      <w:r w:rsidR="004D0F03">
        <w:rPr>
          <w:b w:val="0"/>
          <w:szCs w:val="22"/>
        </w:rPr>
        <w:t>corporate</w:t>
      </w:r>
      <w:r>
        <w:rPr>
          <w:b w:val="0"/>
          <w:szCs w:val="22"/>
        </w:rPr>
        <w:t xml:space="preserve"> tax rates); </w:t>
      </w:r>
    </w:p>
    <w:p w14:paraId="0215427C" w14:textId="2BB4DC31" w:rsidR="004D0F03" w:rsidRDefault="004D0F03" w:rsidP="009337FE">
      <w:pPr>
        <w:pStyle w:val="BodyText2"/>
        <w:numPr>
          <w:ilvl w:val="1"/>
          <w:numId w:val="24"/>
        </w:numPr>
        <w:spacing w:after="120"/>
        <w:rPr>
          <w:b w:val="0"/>
          <w:szCs w:val="22"/>
        </w:rPr>
      </w:pPr>
      <w:r>
        <w:rPr>
          <w:b w:val="0"/>
          <w:szCs w:val="22"/>
        </w:rPr>
        <w:t>Repeal of the corporate alternative minimum tax;</w:t>
      </w:r>
    </w:p>
    <w:p w14:paraId="54701B04" w14:textId="58EA15E5" w:rsidR="004D0F03" w:rsidRDefault="004D0F03" w:rsidP="009337FE">
      <w:pPr>
        <w:pStyle w:val="BodyText2"/>
        <w:numPr>
          <w:ilvl w:val="1"/>
          <w:numId w:val="24"/>
        </w:numPr>
        <w:spacing w:after="120"/>
        <w:rPr>
          <w:b w:val="0"/>
          <w:szCs w:val="22"/>
        </w:rPr>
      </w:pPr>
      <w:r>
        <w:rPr>
          <w:b w:val="0"/>
          <w:szCs w:val="22"/>
        </w:rPr>
        <w:t xml:space="preserve">Repeal of the small company deduction; and </w:t>
      </w:r>
    </w:p>
    <w:p w14:paraId="3B2EF9FD" w14:textId="6595CECF" w:rsidR="004D0F03" w:rsidRDefault="004D0F03" w:rsidP="000F164A">
      <w:pPr>
        <w:pStyle w:val="BodyText2"/>
        <w:numPr>
          <w:ilvl w:val="1"/>
          <w:numId w:val="24"/>
        </w:numPr>
        <w:rPr>
          <w:b w:val="0"/>
          <w:szCs w:val="22"/>
        </w:rPr>
      </w:pPr>
      <w:r>
        <w:rPr>
          <w:b w:val="0"/>
          <w:szCs w:val="22"/>
        </w:rPr>
        <w:t xml:space="preserve">Elimination of the net operating carryback for life insurance companies, but allowance of an unlimited carryover period. </w:t>
      </w:r>
    </w:p>
    <w:p w14:paraId="540878B5" w14:textId="77777777" w:rsidR="004D0F03" w:rsidRDefault="004D0F03" w:rsidP="004D0F03">
      <w:pPr>
        <w:pStyle w:val="BodyText2"/>
        <w:ind w:left="1440"/>
        <w:rPr>
          <w:b w:val="0"/>
          <w:szCs w:val="22"/>
        </w:rPr>
      </w:pPr>
    </w:p>
    <w:p w14:paraId="1610BE58" w14:textId="445E46F7" w:rsidR="004D0F03" w:rsidRDefault="004D0F03" w:rsidP="004D0F03">
      <w:pPr>
        <w:pStyle w:val="BodyText2"/>
        <w:numPr>
          <w:ilvl w:val="0"/>
          <w:numId w:val="24"/>
        </w:numPr>
        <w:rPr>
          <w:b w:val="0"/>
          <w:szCs w:val="22"/>
        </w:rPr>
      </w:pPr>
      <w:r>
        <w:rPr>
          <w:b w:val="0"/>
          <w:szCs w:val="22"/>
        </w:rPr>
        <w:t xml:space="preserve">Revisions to clarify application of the SSAP No. 101, paragraph 11.c DTA admittance test.  </w:t>
      </w:r>
    </w:p>
    <w:p w14:paraId="1B62F80F" w14:textId="77777777" w:rsidR="004D0F03" w:rsidRDefault="004D0F03" w:rsidP="004D0F03">
      <w:pPr>
        <w:pStyle w:val="BodyText2"/>
        <w:ind w:left="720"/>
        <w:rPr>
          <w:b w:val="0"/>
          <w:szCs w:val="22"/>
        </w:rPr>
      </w:pPr>
    </w:p>
    <w:p w14:paraId="74189612" w14:textId="43DA7139" w:rsidR="00677DCD" w:rsidRDefault="007A52D0" w:rsidP="007A52D0">
      <w:pPr>
        <w:pStyle w:val="BodyText2"/>
        <w:ind w:left="720"/>
        <w:rPr>
          <w:b w:val="0"/>
          <w:szCs w:val="22"/>
        </w:rPr>
      </w:pPr>
      <w:r>
        <w:rPr>
          <w:b w:val="0"/>
          <w:szCs w:val="22"/>
        </w:rPr>
        <w:t xml:space="preserve">Per the industry comment letter, these revisions have been proposed as varying interpretations exist resulting in inconsistent treatment among entities. </w:t>
      </w:r>
    </w:p>
    <w:p w14:paraId="2E3670E0" w14:textId="7994FAB1" w:rsidR="007A52D0" w:rsidRDefault="007A52D0" w:rsidP="007A52D0">
      <w:pPr>
        <w:pStyle w:val="BodyText2"/>
        <w:ind w:left="1440"/>
        <w:rPr>
          <w:b w:val="0"/>
          <w:szCs w:val="22"/>
        </w:rPr>
      </w:pPr>
    </w:p>
    <w:p w14:paraId="636256C7" w14:textId="57D7D9FD" w:rsidR="007A52D0" w:rsidRDefault="007A52D0" w:rsidP="007A52D0">
      <w:pPr>
        <w:pStyle w:val="BodyText2"/>
        <w:rPr>
          <w:b w:val="0"/>
          <w:szCs w:val="22"/>
        </w:rPr>
      </w:pPr>
      <w:r>
        <w:rPr>
          <w:b w:val="0"/>
          <w:szCs w:val="22"/>
        </w:rPr>
        <w:t xml:space="preserve">This agenda item has been proposed to specifically consider the distinct revisions from the TCJA. A separate agenda item </w:t>
      </w:r>
      <w:r w:rsidR="009C06F0">
        <w:rPr>
          <w:b w:val="0"/>
          <w:szCs w:val="22"/>
        </w:rPr>
        <w:t xml:space="preserve">2019-10 </w:t>
      </w:r>
      <w:r>
        <w:rPr>
          <w:b w:val="0"/>
          <w:szCs w:val="22"/>
        </w:rPr>
        <w:t xml:space="preserve">will consider the revisions related to the DTA admittance test in paragraph 11.c. </w:t>
      </w:r>
    </w:p>
    <w:p w14:paraId="137D4956" w14:textId="48732BD4" w:rsidR="007A52D0" w:rsidRDefault="007A52D0" w:rsidP="007A52D0">
      <w:pPr>
        <w:pStyle w:val="BodyText2"/>
        <w:rPr>
          <w:b w:val="0"/>
          <w:szCs w:val="22"/>
        </w:rPr>
      </w:pPr>
    </w:p>
    <w:p w14:paraId="218B8D03" w14:textId="38B6C336" w:rsidR="00CD0BA2" w:rsidRDefault="002A1316" w:rsidP="001046AA">
      <w:pPr>
        <w:pStyle w:val="BodyText2"/>
        <w:rPr>
          <w:bCs w:val="0"/>
          <w:szCs w:val="22"/>
        </w:rPr>
      </w:pPr>
      <w:r w:rsidRPr="00016321">
        <w:rPr>
          <w:bCs w:val="0"/>
          <w:szCs w:val="22"/>
        </w:rPr>
        <w:t>Existing Authoritative Literature:</w:t>
      </w:r>
      <w:r w:rsidR="009658C4">
        <w:rPr>
          <w:bCs w:val="0"/>
          <w:szCs w:val="22"/>
        </w:rPr>
        <w:t xml:space="preserve"> </w:t>
      </w:r>
    </w:p>
    <w:p w14:paraId="01AD80EA" w14:textId="77777777" w:rsidR="007774EA" w:rsidRDefault="007774EA" w:rsidP="001046AA">
      <w:pPr>
        <w:pStyle w:val="BodyText2"/>
        <w:rPr>
          <w:bCs w:val="0"/>
          <w:szCs w:val="22"/>
        </w:rPr>
      </w:pPr>
    </w:p>
    <w:p w14:paraId="783735CB" w14:textId="6A56BF92" w:rsidR="005257BF" w:rsidRDefault="007A52D0" w:rsidP="005257BF">
      <w:pPr>
        <w:pStyle w:val="ListContinue"/>
        <w:rPr>
          <w:b/>
          <w:bCs/>
          <w:i/>
          <w:szCs w:val="22"/>
        </w:rPr>
      </w:pPr>
      <w:r>
        <w:rPr>
          <w:b/>
          <w:bCs/>
          <w:i/>
          <w:szCs w:val="22"/>
        </w:rPr>
        <w:t xml:space="preserve">SSAP No. 101—Income Taxes </w:t>
      </w:r>
    </w:p>
    <w:p w14:paraId="1D002FA3" w14:textId="604F65B0" w:rsidR="007A52D0" w:rsidRDefault="007A52D0" w:rsidP="005257BF">
      <w:pPr>
        <w:pStyle w:val="ListContinue"/>
        <w:rPr>
          <w:bCs/>
          <w:szCs w:val="22"/>
        </w:rPr>
      </w:pPr>
      <w:r>
        <w:rPr>
          <w:bCs/>
          <w:szCs w:val="22"/>
        </w:rPr>
        <w:t xml:space="preserve">Exhibit A – Implementation Questions and Answers provides detailed information on tax scenarios. The guidance currently in Exhibit A was effective Jan. 1, 2012. </w:t>
      </w:r>
    </w:p>
    <w:p w14:paraId="6663C47E" w14:textId="77777777" w:rsidR="009337FE" w:rsidRDefault="002A1316" w:rsidP="001776D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xml:space="preserve">, SEC, FASB, other State Departments </w:t>
      </w:r>
      <w:r w:rsidRPr="006D0C67">
        <w:rPr>
          <w:szCs w:val="22"/>
        </w:rPr>
        <w:t>of Insurance or other NAIC groups):</w:t>
      </w:r>
      <w:r w:rsidR="004E2BB9" w:rsidRPr="006D0C67">
        <w:rPr>
          <w:szCs w:val="22"/>
        </w:rPr>
        <w:t xml:space="preserve"> </w:t>
      </w:r>
    </w:p>
    <w:p w14:paraId="75E5EFA4" w14:textId="77777777" w:rsidR="009337FE" w:rsidRDefault="009337FE" w:rsidP="001776D0">
      <w:pPr>
        <w:pStyle w:val="BodyText2"/>
        <w:rPr>
          <w:b w:val="0"/>
          <w:szCs w:val="22"/>
        </w:rPr>
      </w:pPr>
    </w:p>
    <w:p w14:paraId="40059F01" w14:textId="77BFCB8D" w:rsidR="007A52D0" w:rsidRDefault="007A52D0" w:rsidP="001776D0">
      <w:pPr>
        <w:pStyle w:val="BodyText2"/>
        <w:rPr>
          <w:b w:val="0"/>
          <w:szCs w:val="22"/>
        </w:rPr>
      </w:pPr>
      <w:r>
        <w:rPr>
          <w:b w:val="0"/>
          <w:szCs w:val="22"/>
        </w:rPr>
        <w:t>The Working Group took</w:t>
      </w:r>
      <w:r w:rsidR="00D66E13">
        <w:rPr>
          <w:b w:val="0"/>
          <w:szCs w:val="22"/>
        </w:rPr>
        <w:t xml:space="preserve"> the following</w:t>
      </w:r>
      <w:r>
        <w:rPr>
          <w:b w:val="0"/>
          <w:szCs w:val="22"/>
        </w:rPr>
        <w:t xml:space="preserve"> action</w:t>
      </w:r>
      <w:r w:rsidR="00D66E13">
        <w:rPr>
          <w:b w:val="0"/>
          <w:szCs w:val="22"/>
        </w:rPr>
        <w:t>s in 2018</w:t>
      </w:r>
      <w:r>
        <w:rPr>
          <w:b w:val="0"/>
          <w:szCs w:val="22"/>
        </w:rPr>
        <w:t xml:space="preserve"> to consider revisions in response to the TCJA: </w:t>
      </w:r>
    </w:p>
    <w:p w14:paraId="69388C73" w14:textId="77777777" w:rsidR="007A52D0" w:rsidRDefault="007A52D0" w:rsidP="001776D0">
      <w:pPr>
        <w:pStyle w:val="BodyText2"/>
        <w:rPr>
          <w:szCs w:val="22"/>
        </w:rPr>
      </w:pPr>
    </w:p>
    <w:p w14:paraId="25074E00" w14:textId="281834C0" w:rsidR="007A52D0" w:rsidRPr="009337FE" w:rsidRDefault="007A52D0" w:rsidP="007A52D0">
      <w:pPr>
        <w:pStyle w:val="BodyText2"/>
        <w:numPr>
          <w:ilvl w:val="0"/>
          <w:numId w:val="25"/>
        </w:numPr>
        <w:rPr>
          <w:b w:val="0"/>
          <w:szCs w:val="22"/>
        </w:rPr>
      </w:pPr>
      <w:r w:rsidRPr="003128F8">
        <w:rPr>
          <w:b w:val="0"/>
          <w:szCs w:val="22"/>
        </w:rPr>
        <w:lastRenderedPageBreak/>
        <w:t xml:space="preserve">Agenda Item 2018-01: </w:t>
      </w:r>
      <w:r w:rsidRPr="003128F8">
        <w:rPr>
          <w:b w:val="0"/>
        </w:rPr>
        <w:t>Federal Income Tax Reform – Adopted revisions to SSAP No. 101 in direct response to the TCJA</w:t>
      </w:r>
      <w:r w:rsidR="003128F8">
        <w:rPr>
          <w:b w:val="0"/>
        </w:rPr>
        <w:t xml:space="preserve">. Pursuant to this adoption, it was identified that additional revisions would be </w:t>
      </w:r>
      <w:r w:rsidR="00B71A12">
        <w:rPr>
          <w:b w:val="0"/>
        </w:rPr>
        <w:t xml:space="preserve">subsequently </w:t>
      </w:r>
      <w:r w:rsidR="003128F8">
        <w:rPr>
          <w:b w:val="0"/>
        </w:rPr>
        <w:t xml:space="preserve">considered to the Implementation Questions and Answers guide. </w:t>
      </w:r>
    </w:p>
    <w:p w14:paraId="43AC817E" w14:textId="77777777" w:rsidR="009337FE" w:rsidRPr="003128F8" w:rsidRDefault="009337FE" w:rsidP="009337FE">
      <w:pPr>
        <w:pStyle w:val="BodyText2"/>
        <w:ind w:left="780"/>
        <w:rPr>
          <w:b w:val="0"/>
          <w:szCs w:val="22"/>
        </w:rPr>
      </w:pPr>
    </w:p>
    <w:p w14:paraId="1D63E2BE" w14:textId="16ED94AA" w:rsidR="00575468" w:rsidRPr="006B33F3" w:rsidRDefault="007A52D0" w:rsidP="007A52D0">
      <w:pPr>
        <w:pStyle w:val="BodyText2"/>
        <w:numPr>
          <w:ilvl w:val="0"/>
          <w:numId w:val="25"/>
        </w:numPr>
        <w:rPr>
          <w:b w:val="0"/>
          <w:szCs w:val="22"/>
        </w:rPr>
      </w:pPr>
      <w:r w:rsidRPr="003128F8">
        <w:rPr>
          <w:b w:val="0"/>
          <w:szCs w:val="22"/>
        </w:rPr>
        <w:t xml:space="preserve">Agenda Item 2018-02: </w:t>
      </w:r>
      <w:r w:rsidRPr="003128F8">
        <w:rPr>
          <w:b w:val="0"/>
        </w:rPr>
        <w:t xml:space="preserve">Tax Act Estimates – Adopted  </w:t>
      </w:r>
      <w:r w:rsidR="00D66E13" w:rsidRPr="00D72766">
        <w:rPr>
          <w:b w:val="0"/>
          <w:i/>
        </w:rPr>
        <w:t>INT 18-01: Updated Tax Estimates under the Tax Cuts and Jobs Act</w:t>
      </w:r>
      <w:r w:rsidR="00D66E13" w:rsidRPr="00D66E13">
        <w:rPr>
          <w:b w:val="0"/>
        </w:rPr>
        <w:t xml:space="preserve"> </w:t>
      </w:r>
      <w:r w:rsidRPr="003128F8">
        <w:rPr>
          <w:b w:val="0"/>
        </w:rPr>
        <w:t xml:space="preserve">to provide immediate application guidance in response to the TCJA. </w:t>
      </w:r>
    </w:p>
    <w:p w14:paraId="336D0BD6" w14:textId="77777777" w:rsidR="006B33F3" w:rsidRPr="003128F8" w:rsidRDefault="006B33F3" w:rsidP="006B33F3">
      <w:pPr>
        <w:pStyle w:val="BodyText2"/>
        <w:rPr>
          <w:b w:val="0"/>
          <w:szCs w:val="22"/>
        </w:rPr>
      </w:pPr>
    </w:p>
    <w:p w14:paraId="6C8E353B" w14:textId="07DF0CAE" w:rsidR="007A52D0" w:rsidRPr="00945182" w:rsidRDefault="007A52D0" w:rsidP="00D72766">
      <w:pPr>
        <w:pStyle w:val="BodyText2"/>
        <w:numPr>
          <w:ilvl w:val="0"/>
          <w:numId w:val="25"/>
        </w:numPr>
        <w:rPr>
          <w:b w:val="0"/>
          <w:szCs w:val="22"/>
        </w:rPr>
      </w:pPr>
      <w:r w:rsidRPr="00945182">
        <w:rPr>
          <w:b w:val="0"/>
          <w:szCs w:val="22"/>
        </w:rPr>
        <w:t xml:space="preserve">Agenda Item 2018-15: Additional Elements under the Federal Tax Cuts and Jobs Act – Adopted </w:t>
      </w:r>
      <w:hyperlink r:id="rId8" w:tgtFrame="_blank" w:history="1">
        <w:r w:rsidR="00D72766" w:rsidRPr="00D72766">
          <w:rPr>
            <w:b w:val="0"/>
            <w:i/>
          </w:rPr>
          <w:t>INT 18-03: Additional Elements Under the Tax Cuts and Jobs Act</w:t>
        </w:r>
      </w:hyperlink>
      <w:r w:rsidR="00D72766">
        <w:rPr>
          <w:bCs w:val="0"/>
          <w:i/>
        </w:rPr>
        <w:t xml:space="preserve"> </w:t>
      </w:r>
      <w:r w:rsidRPr="00945182">
        <w:rPr>
          <w:b w:val="0"/>
          <w:szCs w:val="22"/>
        </w:rPr>
        <w:t xml:space="preserve"> to provide </w:t>
      </w:r>
      <w:r w:rsidR="003128F8" w:rsidRPr="00945182">
        <w:rPr>
          <w:b w:val="0"/>
          <w:szCs w:val="22"/>
        </w:rPr>
        <w:t xml:space="preserve">guidance on additional elements (RTT, AMT Credit and GILTI) under the TCJA. </w:t>
      </w:r>
    </w:p>
    <w:p w14:paraId="1BFE6286" w14:textId="77777777" w:rsidR="005257BF" w:rsidRDefault="005257BF" w:rsidP="001046AA">
      <w:pPr>
        <w:pStyle w:val="BodyText2"/>
        <w:rPr>
          <w:szCs w:val="22"/>
        </w:rPr>
      </w:pPr>
    </w:p>
    <w:p w14:paraId="09167DCF" w14:textId="77777777" w:rsidR="002A1316" w:rsidRPr="009007E4" w:rsidRDefault="002A1316" w:rsidP="00B30CA0">
      <w:pPr>
        <w:pStyle w:val="BodyText"/>
        <w:rPr>
          <w:bCs/>
          <w:sz w:val="22"/>
          <w:szCs w:val="22"/>
        </w:rPr>
      </w:pPr>
      <w:r w:rsidRPr="009007E4">
        <w:rPr>
          <w:b/>
          <w:sz w:val="22"/>
          <w:szCs w:val="22"/>
        </w:rPr>
        <w:t xml:space="preserve">Information or issues (included in </w:t>
      </w:r>
      <w:r w:rsidRPr="009007E4">
        <w:rPr>
          <w:b/>
          <w:i/>
          <w:sz w:val="22"/>
          <w:szCs w:val="22"/>
        </w:rPr>
        <w:t>Description of Issue</w:t>
      </w:r>
      <w:r w:rsidRPr="009007E4">
        <w:rPr>
          <w:b/>
          <w:sz w:val="22"/>
          <w:szCs w:val="22"/>
        </w:rPr>
        <w:t xml:space="preserve">) not previously contemplated by the </w:t>
      </w:r>
      <w:r w:rsidR="00004652" w:rsidRPr="009007E4">
        <w:rPr>
          <w:b/>
          <w:sz w:val="22"/>
          <w:szCs w:val="22"/>
        </w:rPr>
        <w:t>Working Group</w:t>
      </w:r>
      <w:r w:rsidRPr="009007E4">
        <w:rPr>
          <w:b/>
          <w:sz w:val="22"/>
          <w:szCs w:val="22"/>
        </w:rPr>
        <w:t>:</w:t>
      </w:r>
      <w:r w:rsidR="00575468" w:rsidRPr="009007E4">
        <w:rPr>
          <w:b/>
          <w:sz w:val="22"/>
          <w:szCs w:val="22"/>
        </w:rPr>
        <w:t xml:space="preserve"> </w:t>
      </w:r>
      <w:r w:rsidR="00FE7FAA" w:rsidRPr="009007E4">
        <w:rPr>
          <w:bCs/>
          <w:sz w:val="22"/>
          <w:szCs w:val="22"/>
        </w:rPr>
        <w:t>None</w:t>
      </w:r>
    </w:p>
    <w:p w14:paraId="3EE51A7B" w14:textId="77777777" w:rsidR="006B37DD" w:rsidRPr="009007E4" w:rsidRDefault="006B37DD" w:rsidP="00B30CA0">
      <w:pPr>
        <w:pStyle w:val="BodyText2"/>
        <w:rPr>
          <w:b w:val="0"/>
          <w:bCs w:val="0"/>
          <w:szCs w:val="22"/>
        </w:rPr>
      </w:pPr>
    </w:p>
    <w:p w14:paraId="7635C7EF" w14:textId="7861C62A" w:rsidR="00490996" w:rsidRPr="00016321" w:rsidRDefault="00490996" w:rsidP="009000E8">
      <w:pPr>
        <w:pStyle w:val="Default"/>
        <w:jc w:val="both"/>
        <w:rPr>
          <w:b/>
          <w:sz w:val="22"/>
          <w:szCs w:val="22"/>
        </w:rPr>
      </w:pPr>
      <w:r w:rsidRPr="009007E4">
        <w:rPr>
          <w:b/>
          <w:sz w:val="22"/>
          <w:szCs w:val="22"/>
        </w:rPr>
        <w:t>Convergence with International Financial Reporting Standards (IFRS):</w:t>
      </w:r>
      <w:r w:rsidR="0003706E" w:rsidRPr="009007E4">
        <w:rPr>
          <w:b/>
          <w:sz w:val="22"/>
          <w:szCs w:val="22"/>
        </w:rPr>
        <w:t xml:space="preserve"> </w:t>
      </w:r>
      <w:r w:rsidR="005257BF">
        <w:rPr>
          <w:sz w:val="22"/>
          <w:szCs w:val="22"/>
        </w:rPr>
        <w:t xml:space="preserve">Not </w:t>
      </w:r>
      <w:r w:rsidR="00826B0A">
        <w:rPr>
          <w:sz w:val="22"/>
          <w:szCs w:val="22"/>
        </w:rPr>
        <w:t>applicable</w:t>
      </w:r>
      <w:r w:rsidR="005257BF">
        <w:rPr>
          <w:sz w:val="22"/>
          <w:szCs w:val="22"/>
        </w:rPr>
        <w:t xml:space="preserve">. </w:t>
      </w:r>
    </w:p>
    <w:p w14:paraId="08440135" w14:textId="77777777" w:rsidR="006B37DD" w:rsidRPr="00016321" w:rsidRDefault="006B37DD" w:rsidP="00490996">
      <w:pPr>
        <w:pStyle w:val="BodyText2"/>
        <w:rPr>
          <w:b w:val="0"/>
          <w:bCs w:val="0"/>
          <w:szCs w:val="22"/>
        </w:rPr>
      </w:pPr>
    </w:p>
    <w:p w14:paraId="33EEF897" w14:textId="77777777" w:rsidR="002A1316" w:rsidRPr="009967BA" w:rsidRDefault="002A1316" w:rsidP="00BA3DAA">
      <w:pPr>
        <w:pStyle w:val="BodyText2"/>
        <w:widowControl w:val="0"/>
        <w:rPr>
          <w:szCs w:val="22"/>
          <w:u w:val="single"/>
        </w:rPr>
      </w:pPr>
      <w:r w:rsidRPr="009967BA">
        <w:rPr>
          <w:szCs w:val="22"/>
          <w:u w:val="single"/>
        </w:rPr>
        <w:t>Staff Recommendation:</w:t>
      </w:r>
    </w:p>
    <w:p w14:paraId="6C22C28C" w14:textId="7B2BE3DD" w:rsidR="00BA3DAA" w:rsidRDefault="009D4A56" w:rsidP="00BA3DAA">
      <w:pPr>
        <w:pStyle w:val="BodyText2"/>
        <w:widowControl w:val="0"/>
        <w:rPr>
          <w:szCs w:val="22"/>
        </w:rPr>
      </w:pPr>
      <w:bookmarkStart w:id="2" w:name="_Hlk2672405"/>
      <w:r w:rsidRPr="005257BF">
        <w:rPr>
          <w:szCs w:val="22"/>
        </w:rPr>
        <w:t xml:space="preserve">NAIC staff recommends that the Working Group move this item to the active listing, categorized as </w:t>
      </w:r>
      <w:r w:rsidR="006E63D6">
        <w:rPr>
          <w:szCs w:val="22"/>
        </w:rPr>
        <w:t xml:space="preserve">an </w:t>
      </w:r>
      <w:r w:rsidR="00BA3DAA">
        <w:rPr>
          <w:szCs w:val="22"/>
        </w:rPr>
        <w:t xml:space="preserve">nonsubstantive, and </w:t>
      </w:r>
      <w:r w:rsidR="003128F8">
        <w:rPr>
          <w:szCs w:val="22"/>
        </w:rPr>
        <w:t xml:space="preserve">expose revisions to the SSAP No. 101 Implementation Q&amp;A to update the guidance as recommended by interested parties for the TCJA. </w:t>
      </w:r>
    </w:p>
    <w:p w14:paraId="5DD187C6" w14:textId="4A52A5C0" w:rsidR="003128F8" w:rsidRDefault="003128F8" w:rsidP="00BA3DAA">
      <w:pPr>
        <w:pStyle w:val="BodyText2"/>
        <w:widowControl w:val="0"/>
        <w:rPr>
          <w:b w:val="0"/>
          <w:szCs w:val="22"/>
        </w:rPr>
      </w:pPr>
    </w:p>
    <w:p w14:paraId="5FAD8307" w14:textId="05191B41" w:rsidR="003128F8" w:rsidRDefault="003128F8" w:rsidP="00BA3DAA">
      <w:pPr>
        <w:pStyle w:val="BodyText2"/>
        <w:widowControl w:val="0"/>
        <w:rPr>
          <w:b w:val="0"/>
          <w:szCs w:val="22"/>
        </w:rPr>
      </w:pPr>
      <w:r>
        <w:rPr>
          <w:b w:val="0"/>
          <w:szCs w:val="22"/>
        </w:rPr>
        <w:t>Due to the extent of the revisions, th</w:t>
      </w:r>
      <w:r w:rsidR="00370C0A">
        <w:rPr>
          <w:b w:val="0"/>
          <w:szCs w:val="22"/>
        </w:rPr>
        <w:t xml:space="preserve">e proposed revisions are </w:t>
      </w:r>
      <w:r>
        <w:rPr>
          <w:b w:val="0"/>
          <w:szCs w:val="22"/>
        </w:rPr>
        <w:t>presented in a separate file.</w:t>
      </w:r>
      <w:r w:rsidR="009337FE">
        <w:rPr>
          <w:b w:val="0"/>
          <w:szCs w:val="22"/>
        </w:rPr>
        <w:t xml:space="preserve"> The revisions are </w:t>
      </w:r>
      <w:bookmarkEnd w:id="2"/>
      <w:r w:rsidR="009337FE">
        <w:rPr>
          <w:b w:val="0"/>
          <w:szCs w:val="22"/>
        </w:rPr>
        <w:t xml:space="preserve">summarized by section as follows: </w:t>
      </w:r>
    </w:p>
    <w:p w14:paraId="2F37426A" w14:textId="75FBA004" w:rsidR="009337FE" w:rsidRPr="009337FE" w:rsidRDefault="009337FE" w:rsidP="00BA3DAA">
      <w:pPr>
        <w:pStyle w:val="BodyText2"/>
        <w:widowControl w:val="0"/>
        <w:rPr>
          <w:szCs w:val="22"/>
        </w:rPr>
      </w:pPr>
    </w:p>
    <w:tbl>
      <w:tblPr>
        <w:tblStyle w:val="TableGrid"/>
        <w:tblW w:w="0" w:type="auto"/>
        <w:tblLook w:val="04A0" w:firstRow="1" w:lastRow="0" w:firstColumn="1" w:lastColumn="0" w:noHBand="0" w:noVBand="1"/>
      </w:tblPr>
      <w:tblGrid>
        <w:gridCol w:w="1548"/>
        <w:gridCol w:w="8748"/>
      </w:tblGrid>
      <w:tr w:rsidR="009337FE" w:rsidRPr="009337FE" w14:paraId="3DFD06D4" w14:textId="77777777" w:rsidTr="00841DB5">
        <w:tc>
          <w:tcPr>
            <w:tcW w:w="1548" w:type="dxa"/>
          </w:tcPr>
          <w:p w14:paraId="77EE7EB9" w14:textId="77777777" w:rsidR="00841DB5" w:rsidRDefault="009337FE" w:rsidP="00841DB5">
            <w:pPr>
              <w:pStyle w:val="BodyText2"/>
              <w:jc w:val="center"/>
              <w:rPr>
                <w:szCs w:val="22"/>
              </w:rPr>
            </w:pPr>
            <w:r w:rsidRPr="009337FE">
              <w:rPr>
                <w:szCs w:val="22"/>
              </w:rPr>
              <w:t>Section</w:t>
            </w:r>
          </w:p>
          <w:p w14:paraId="5CC89539" w14:textId="2FC62299" w:rsidR="00841DB5" w:rsidRPr="009337FE" w:rsidRDefault="00841DB5" w:rsidP="00841DB5">
            <w:pPr>
              <w:pStyle w:val="BodyText2"/>
              <w:jc w:val="center"/>
              <w:rPr>
                <w:szCs w:val="22"/>
              </w:rPr>
            </w:pPr>
            <w:r>
              <w:rPr>
                <w:szCs w:val="22"/>
              </w:rPr>
              <w:t>(Old Section)</w:t>
            </w:r>
          </w:p>
        </w:tc>
        <w:tc>
          <w:tcPr>
            <w:tcW w:w="8748" w:type="dxa"/>
          </w:tcPr>
          <w:p w14:paraId="1611A53E" w14:textId="25F7BA30" w:rsidR="009337FE" w:rsidRPr="009337FE" w:rsidRDefault="009337FE" w:rsidP="00BA3DAA">
            <w:pPr>
              <w:pStyle w:val="BodyText2"/>
              <w:rPr>
                <w:szCs w:val="22"/>
              </w:rPr>
            </w:pPr>
            <w:r>
              <w:rPr>
                <w:szCs w:val="22"/>
              </w:rPr>
              <w:t>Revisions Summary</w:t>
            </w:r>
          </w:p>
        </w:tc>
      </w:tr>
      <w:tr w:rsidR="009337FE" w14:paraId="3CA18715" w14:textId="77777777" w:rsidTr="00841DB5">
        <w:tc>
          <w:tcPr>
            <w:tcW w:w="1548" w:type="dxa"/>
          </w:tcPr>
          <w:p w14:paraId="2EFBBB8C" w14:textId="03C54622" w:rsidR="009337FE" w:rsidRDefault="009337FE" w:rsidP="009337FE">
            <w:pPr>
              <w:pStyle w:val="BodyText2"/>
              <w:jc w:val="center"/>
              <w:rPr>
                <w:b w:val="0"/>
                <w:szCs w:val="22"/>
              </w:rPr>
            </w:pPr>
            <w:r>
              <w:rPr>
                <w:b w:val="0"/>
                <w:szCs w:val="22"/>
              </w:rPr>
              <w:t>Intro</w:t>
            </w:r>
          </w:p>
        </w:tc>
        <w:tc>
          <w:tcPr>
            <w:tcW w:w="8748" w:type="dxa"/>
          </w:tcPr>
          <w:p w14:paraId="0A56BD1C" w14:textId="54422ABC" w:rsidR="009337FE" w:rsidRDefault="009337FE" w:rsidP="00BA3DAA">
            <w:pPr>
              <w:pStyle w:val="BodyText2"/>
              <w:rPr>
                <w:b w:val="0"/>
                <w:szCs w:val="22"/>
              </w:rPr>
            </w:pPr>
            <w:r>
              <w:rPr>
                <w:b w:val="0"/>
                <w:szCs w:val="22"/>
              </w:rPr>
              <w:t xml:space="preserve">Revised to reflect new revisions and updated effective date. </w:t>
            </w:r>
          </w:p>
        </w:tc>
      </w:tr>
      <w:tr w:rsidR="009337FE" w14:paraId="4A7D105D" w14:textId="77777777" w:rsidTr="00841DB5">
        <w:tc>
          <w:tcPr>
            <w:tcW w:w="1548" w:type="dxa"/>
          </w:tcPr>
          <w:p w14:paraId="1BC7F50A" w14:textId="41952ED3" w:rsidR="009337FE" w:rsidRDefault="009337FE" w:rsidP="009337FE">
            <w:pPr>
              <w:pStyle w:val="BodyText2"/>
              <w:jc w:val="center"/>
              <w:rPr>
                <w:b w:val="0"/>
                <w:szCs w:val="22"/>
              </w:rPr>
            </w:pPr>
            <w:r>
              <w:rPr>
                <w:b w:val="0"/>
                <w:szCs w:val="22"/>
              </w:rPr>
              <w:t>Index</w:t>
            </w:r>
          </w:p>
        </w:tc>
        <w:tc>
          <w:tcPr>
            <w:tcW w:w="8748" w:type="dxa"/>
          </w:tcPr>
          <w:p w14:paraId="61105440" w14:textId="72EA7E83" w:rsidR="009337FE" w:rsidRDefault="009337FE" w:rsidP="00BA3DAA">
            <w:pPr>
              <w:pStyle w:val="BodyText2"/>
              <w:rPr>
                <w:b w:val="0"/>
                <w:szCs w:val="22"/>
              </w:rPr>
            </w:pPr>
            <w:r>
              <w:rPr>
                <w:b w:val="0"/>
                <w:szCs w:val="22"/>
              </w:rPr>
              <w:t xml:space="preserve">No revisions. Will be updated to reflect update paragraphs and page numbers when final. </w:t>
            </w:r>
          </w:p>
        </w:tc>
      </w:tr>
      <w:tr w:rsidR="009337FE" w14:paraId="308F06DC" w14:textId="77777777" w:rsidTr="00841DB5">
        <w:tc>
          <w:tcPr>
            <w:tcW w:w="1548" w:type="dxa"/>
          </w:tcPr>
          <w:p w14:paraId="3AE995F4" w14:textId="1085C6BF" w:rsidR="009337FE" w:rsidRDefault="009337FE" w:rsidP="009337FE">
            <w:pPr>
              <w:pStyle w:val="BodyText2"/>
              <w:jc w:val="center"/>
              <w:rPr>
                <w:b w:val="0"/>
                <w:szCs w:val="22"/>
              </w:rPr>
            </w:pPr>
            <w:r>
              <w:rPr>
                <w:b w:val="0"/>
                <w:szCs w:val="22"/>
              </w:rPr>
              <w:t>1.13</w:t>
            </w:r>
          </w:p>
        </w:tc>
        <w:tc>
          <w:tcPr>
            <w:tcW w:w="8748" w:type="dxa"/>
          </w:tcPr>
          <w:p w14:paraId="2E2A8723" w14:textId="1988B71D" w:rsidR="009337FE" w:rsidRDefault="009337FE" w:rsidP="00BA3DAA">
            <w:pPr>
              <w:pStyle w:val="BodyText2"/>
              <w:rPr>
                <w:b w:val="0"/>
                <w:szCs w:val="22"/>
              </w:rPr>
            </w:pPr>
            <w:r>
              <w:rPr>
                <w:b w:val="0"/>
                <w:szCs w:val="22"/>
              </w:rPr>
              <w:t xml:space="preserve">No revisions. Consider whether to include new, limited-term disclosures for RTT and AMT. </w:t>
            </w:r>
          </w:p>
        </w:tc>
      </w:tr>
      <w:tr w:rsidR="009337FE" w14:paraId="239DDFDE" w14:textId="77777777" w:rsidTr="00841DB5">
        <w:tc>
          <w:tcPr>
            <w:tcW w:w="1548" w:type="dxa"/>
          </w:tcPr>
          <w:p w14:paraId="7A06E1C9" w14:textId="77CD5FE9" w:rsidR="009337FE" w:rsidRDefault="009337FE" w:rsidP="009337FE">
            <w:pPr>
              <w:pStyle w:val="BodyText2"/>
              <w:jc w:val="center"/>
              <w:rPr>
                <w:b w:val="0"/>
                <w:szCs w:val="22"/>
              </w:rPr>
            </w:pPr>
            <w:r>
              <w:rPr>
                <w:b w:val="0"/>
                <w:szCs w:val="22"/>
              </w:rPr>
              <w:t>2.3</w:t>
            </w:r>
          </w:p>
        </w:tc>
        <w:tc>
          <w:tcPr>
            <w:tcW w:w="8748" w:type="dxa"/>
          </w:tcPr>
          <w:p w14:paraId="7510E13D" w14:textId="5AA46E79" w:rsidR="009337FE" w:rsidRDefault="009337FE" w:rsidP="00BA3DAA">
            <w:pPr>
              <w:pStyle w:val="BodyText2"/>
              <w:rPr>
                <w:b w:val="0"/>
                <w:szCs w:val="22"/>
              </w:rPr>
            </w:pPr>
            <w:r>
              <w:rPr>
                <w:b w:val="0"/>
                <w:szCs w:val="22"/>
              </w:rPr>
              <w:t xml:space="preserve">Illustration reflects updated tax rate. Footnote 4 revised for reserve difference. </w:t>
            </w:r>
          </w:p>
        </w:tc>
      </w:tr>
      <w:tr w:rsidR="009337FE" w14:paraId="284A7067" w14:textId="77777777" w:rsidTr="00841DB5">
        <w:tc>
          <w:tcPr>
            <w:tcW w:w="1548" w:type="dxa"/>
          </w:tcPr>
          <w:p w14:paraId="7AA2011D" w14:textId="52E95F43" w:rsidR="009337FE" w:rsidRDefault="009337FE" w:rsidP="009337FE">
            <w:pPr>
              <w:pStyle w:val="BodyText2"/>
              <w:jc w:val="center"/>
              <w:rPr>
                <w:b w:val="0"/>
                <w:szCs w:val="22"/>
              </w:rPr>
            </w:pPr>
            <w:r>
              <w:rPr>
                <w:b w:val="0"/>
                <w:szCs w:val="22"/>
              </w:rPr>
              <w:t>2.7</w:t>
            </w:r>
          </w:p>
        </w:tc>
        <w:tc>
          <w:tcPr>
            <w:tcW w:w="8748" w:type="dxa"/>
          </w:tcPr>
          <w:p w14:paraId="3411C1F4" w14:textId="63807F6F" w:rsidR="009337FE" w:rsidRDefault="009337FE" w:rsidP="00BA3DAA">
            <w:pPr>
              <w:pStyle w:val="BodyText2"/>
              <w:rPr>
                <w:b w:val="0"/>
                <w:szCs w:val="22"/>
              </w:rPr>
            </w:pPr>
            <w:r>
              <w:rPr>
                <w:b w:val="0"/>
                <w:szCs w:val="22"/>
              </w:rPr>
              <w:t xml:space="preserve">Footnote 6 revised for carrybacks / carryforwards and indefinite-lived intangible assets. </w:t>
            </w:r>
            <w:r w:rsidRPr="009337FE">
              <w:rPr>
                <w:b w:val="0"/>
                <w:i/>
                <w:szCs w:val="22"/>
              </w:rPr>
              <w:t>(Note – indefinite lived intangible assets do not exist for SAP, but would be a SAP / Tax difference.)</w:t>
            </w:r>
            <w:r>
              <w:rPr>
                <w:b w:val="0"/>
                <w:szCs w:val="22"/>
              </w:rPr>
              <w:t xml:space="preserve"> </w:t>
            </w:r>
          </w:p>
        </w:tc>
      </w:tr>
      <w:tr w:rsidR="009337FE" w14:paraId="500A7A8D" w14:textId="77777777" w:rsidTr="00841DB5">
        <w:tc>
          <w:tcPr>
            <w:tcW w:w="1548" w:type="dxa"/>
          </w:tcPr>
          <w:p w14:paraId="4AC6F330" w14:textId="68605145" w:rsidR="009337FE" w:rsidRDefault="009337FE" w:rsidP="009337FE">
            <w:pPr>
              <w:pStyle w:val="BodyText2"/>
              <w:jc w:val="center"/>
              <w:rPr>
                <w:b w:val="0"/>
                <w:szCs w:val="22"/>
              </w:rPr>
            </w:pPr>
            <w:r>
              <w:rPr>
                <w:b w:val="0"/>
                <w:szCs w:val="22"/>
              </w:rPr>
              <w:t>2.10-2.11</w:t>
            </w:r>
          </w:p>
        </w:tc>
        <w:tc>
          <w:tcPr>
            <w:tcW w:w="8748" w:type="dxa"/>
          </w:tcPr>
          <w:p w14:paraId="4D6C5520" w14:textId="30F2DD9C" w:rsidR="009337FE" w:rsidRDefault="009337FE" w:rsidP="00BA3DAA">
            <w:pPr>
              <w:pStyle w:val="BodyText2"/>
              <w:rPr>
                <w:b w:val="0"/>
                <w:szCs w:val="22"/>
              </w:rPr>
            </w:pPr>
            <w:r>
              <w:rPr>
                <w:b w:val="0"/>
                <w:szCs w:val="22"/>
              </w:rPr>
              <w:t xml:space="preserve">Illustration reflects updated tax rate. </w:t>
            </w:r>
          </w:p>
        </w:tc>
      </w:tr>
      <w:tr w:rsidR="009337FE" w14:paraId="7B1E03AE" w14:textId="77777777" w:rsidTr="00841DB5">
        <w:tc>
          <w:tcPr>
            <w:tcW w:w="1548" w:type="dxa"/>
          </w:tcPr>
          <w:p w14:paraId="3D0C4977" w14:textId="25286BE8" w:rsidR="009337FE" w:rsidRDefault="009337FE" w:rsidP="009337FE">
            <w:pPr>
              <w:pStyle w:val="BodyText2"/>
              <w:jc w:val="center"/>
              <w:rPr>
                <w:b w:val="0"/>
                <w:szCs w:val="22"/>
              </w:rPr>
            </w:pPr>
            <w:r>
              <w:rPr>
                <w:b w:val="0"/>
                <w:szCs w:val="22"/>
              </w:rPr>
              <w:t>3.4-3.6</w:t>
            </w:r>
          </w:p>
        </w:tc>
        <w:tc>
          <w:tcPr>
            <w:tcW w:w="8748" w:type="dxa"/>
          </w:tcPr>
          <w:p w14:paraId="1B6B36B2" w14:textId="1BF3D7F7" w:rsidR="009337FE" w:rsidRDefault="009337FE" w:rsidP="00BA3DAA">
            <w:pPr>
              <w:pStyle w:val="BodyText2"/>
              <w:rPr>
                <w:b w:val="0"/>
                <w:szCs w:val="22"/>
              </w:rPr>
            </w:pPr>
            <w:r>
              <w:rPr>
                <w:b w:val="0"/>
                <w:szCs w:val="22"/>
              </w:rPr>
              <w:t xml:space="preserve">Deleted as no longer applicable. (Paragraphs 3.4 and 3.5 were deleted in agenda item 2018-01, the deletion of 3.6 is consistent with the prior action.) </w:t>
            </w:r>
          </w:p>
        </w:tc>
      </w:tr>
      <w:tr w:rsidR="009337FE" w14:paraId="58E4EA26" w14:textId="77777777" w:rsidTr="00841DB5">
        <w:tc>
          <w:tcPr>
            <w:tcW w:w="1548" w:type="dxa"/>
          </w:tcPr>
          <w:p w14:paraId="201A69B1" w14:textId="46DBC6C0" w:rsidR="009337FE" w:rsidRDefault="009337FE" w:rsidP="009337FE">
            <w:pPr>
              <w:pStyle w:val="BodyText2"/>
              <w:jc w:val="center"/>
              <w:rPr>
                <w:b w:val="0"/>
                <w:szCs w:val="22"/>
              </w:rPr>
            </w:pPr>
            <w:r>
              <w:rPr>
                <w:b w:val="0"/>
                <w:szCs w:val="22"/>
              </w:rPr>
              <w:t>4.3</w:t>
            </w:r>
          </w:p>
        </w:tc>
        <w:tc>
          <w:tcPr>
            <w:tcW w:w="8748" w:type="dxa"/>
          </w:tcPr>
          <w:p w14:paraId="30557136" w14:textId="739C1B9A" w:rsidR="009337FE" w:rsidRDefault="009337FE" w:rsidP="00BA3DAA">
            <w:pPr>
              <w:pStyle w:val="BodyText2"/>
              <w:rPr>
                <w:b w:val="0"/>
                <w:szCs w:val="22"/>
              </w:rPr>
            </w:pPr>
            <w:r>
              <w:rPr>
                <w:b w:val="0"/>
                <w:szCs w:val="22"/>
              </w:rPr>
              <w:t xml:space="preserve">Footnote 10 reflects revisions already incorporated from agenda item 2018-01. </w:t>
            </w:r>
          </w:p>
        </w:tc>
      </w:tr>
      <w:tr w:rsidR="009337FE" w14:paraId="3217B4F0" w14:textId="77777777" w:rsidTr="00841DB5">
        <w:tc>
          <w:tcPr>
            <w:tcW w:w="1548" w:type="dxa"/>
          </w:tcPr>
          <w:p w14:paraId="60F7A339" w14:textId="20459EA5" w:rsidR="009337FE" w:rsidRDefault="009337FE" w:rsidP="009337FE">
            <w:pPr>
              <w:pStyle w:val="BodyText2"/>
              <w:jc w:val="center"/>
              <w:rPr>
                <w:b w:val="0"/>
                <w:szCs w:val="22"/>
              </w:rPr>
            </w:pPr>
            <w:r>
              <w:rPr>
                <w:b w:val="0"/>
                <w:szCs w:val="22"/>
              </w:rPr>
              <w:t>4.4</w:t>
            </w:r>
          </w:p>
        </w:tc>
        <w:tc>
          <w:tcPr>
            <w:tcW w:w="8748" w:type="dxa"/>
          </w:tcPr>
          <w:p w14:paraId="173D9F5F" w14:textId="13BF5024" w:rsidR="009337FE" w:rsidRDefault="009337FE" w:rsidP="00BA3DAA">
            <w:pPr>
              <w:pStyle w:val="BodyText2"/>
              <w:rPr>
                <w:b w:val="0"/>
                <w:szCs w:val="22"/>
              </w:rPr>
            </w:pPr>
            <w:r>
              <w:rPr>
                <w:b w:val="0"/>
                <w:szCs w:val="22"/>
              </w:rPr>
              <w:t xml:space="preserve">Retain AMT guidance, but revisions clarify that it applies to carrybacks for pre-2018 years. </w:t>
            </w:r>
          </w:p>
        </w:tc>
      </w:tr>
      <w:tr w:rsidR="009337FE" w14:paraId="641740CB" w14:textId="77777777" w:rsidTr="00841DB5">
        <w:tc>
          <w:tcPr>
            <w:tcW w:w="1548" w:type="dxa"/>
          </w:tcPr>
          <w:p w14:paraId="0CC087D1" w14:textId="25896635" w:rsidR="009337FE" w:rsidRDefault="009337FE" w:rsidP="009337FE">
            <w:pPr>
              <w:pStyle w:val="BodyText2"/>
              <w:jc w:val="center"/>
              <w:rPr>
                <w:b w:val="0"/>
                <w:szCs w:val="22"/>
              </w:rPr>
            </w:pPr>
            <w:r>
              <w:rPr>
                <w:b w:val="0"/>
                <w:szCs w:val="22"/>
              </w:rPr>
              <w:t>4.14-4.15</w:t>
            </w:r>
          </w:p>
        </w:tc>
        <w:tc>
          <w:tcPr>
            <w:tcW w:w="8748" w:type="dxa"/>
          </w:tcPr>
          <w:p w14:paraId="512719D7" w14:textId="1C51C79C" w:rsidR="009337FE" w:rsidRDefault="009337FE" w:rsidP="00BA3DAA">
            <w:pPr>
              <w:pStyle w:val="BodyText2"/>
              <w:rPr>
                <w:b w:val="0"/>
                <w:szCs w:val="22"/>
              </w:rPr>
            </w:pPr>
            <w:r>
              <w:rPr>
                <w:b w:val="0"/>
                <w:szCs w:val="22"/>
              </w:rPr>
              <w:t xml:space="preserve">Revisions for AMT guidance applicable to small life companies. </w:t>
            </w:r>
          </w:p>
        </w:tc>
      </w:tr>
      <w:tr w:rsidR="009337FE" w14:paraId="445C246E" w14:textId="77777777" w:rsidTr="00841DB5">
        <w:tc>
          <w:tcPr>
            <w:tcW w:w="1548" w:type="dxa"/>
          </w:tcPr>
          <w:p w14:paraId="6B1D96F7" w14:textId="23A620F0" w:rsidR="009337FE" w:rsidRDefault="009337FE" w:rsidP="009337FE">
            <w:pPr>
              <w:pStyle w:val="BodyText2"/>
              <w:jc w:val="center"/>
              <w:rPr>
                <w:b w:val="0"/>
                <w:szCs w:val="22"/>
              </w:rPr>
            </w:pPr>
            <w:r>
              <w:rPr>
                <w:b w:val="0"/>
                <w:szCs w:val="22"/>
              </w:rPr>
              <w:t>4.17-4.19</w:t>
            </w:r>
          </w:p>
        </w:tc>
        <w:tc>
          <w:tcPr>
            <w:tcW w:w="8748" w:type="dxa"/>
          </w:tcPr>
          <w:p w14:paraId="69357F29" w14:textId="648074AF" w:rsidR="009337FE" w:rsidRDefault="009337FE" w:rsidP="00BA3DAA">
            <w:pPr>
              <w:pStyle w:val="BodyText2"/>
              <w:rPr>
                <w:b w:val="0"/>
                <w:szCs w:val="22"/>
              </w:rPr>
            </w:pPr>
            <w:r>
              <w:rPr>
                <w:b w:val="0"/>
                <w:szCs w:val="22"/>
              </w:rPr>
              <w:t xml:space="preserve">Several revisions incorporate various updated elements including the tax rate, AMT, and net operating loss carryback for a small life company. </w:t>
            </w:r>
            <w:r w:rsidRPr="009337FE">
              <w:rPr>
                <w:b w:val="0"/>
                <w:i/>
                <w:szCs w:val="22"/>
              </w:rPr>
              <w:t xml:space="preserve">(Note – Industry proposed revisions for step 3 of the DTA admittance test (offset to DTLs) are included, but are shaded as they will be discussed separately in a different agenda item.) </w:t>
            </w:r>
          </w:p>
        </w:tc>
      </w:tr>
      <w:tr w:rsidR="009337FE" w14:paraId="3B040B92" w14:textId="77777777" w:rsidTr="00841DB5">
        <w:tc>
          <w:tcPr>
            <w:tcW w:w="1548" w:type="dxa"/>
          </w:tcPr>
          <w:p w14:paraId="1DEE7651" w14:textId="6E4C7B20" w:rsidR="009337FE" w:rsidRDefault="009337FE" w:rsidP="009337FE">
            <w:pPr>
              <w:pStyle w:val="BodyText2"/>
              <w:jc w:val="center"/>
              <w:rPr>
                <w:b w:val="0"/>
                <w:szCs w:val="22"/>
              </w:rPr>
            </w:pPr>
            <w:r>
              <w:rPr>
                <w:b w:val="0"/>
                <w:szCs w:val="22"/>
              </w:rPr>
              <w:t>4.20-4.22</w:t>
            </w:r>
          </w:p>
        </w:tc>
        <w:tc>
          <w:tcPr>
            <w:tcW w:w="8748" w:type="dxa"/>
          </w:tcPr>
          <w:p w14:paraId="603DB98C" w14:textId="7FF254B1" w:rsidR="009337FE" w:rsidRDefault="009337FE" w:rsidP="00BA3DAA">
            <w:pPr>
              <w:pStyle w:val="BodyText2"/>
              <w:rPr>
                <w:b w:val="0"/>
                <w:szCs w:val="22"/>
              </w:rPr>
            </w:pPr>
            <w:r>
              <w:rPr>
                <w:b w:val="0"/>
                <w:szCs w:val="22"/>
              </w:rPr>
              <w:t xml:space="preserve">Several revisions reflect changes in tax rate and AMT. </w:t>
            </w:r>
          </w:p>
        </w:tc>
      </w:tr>
      <w:tr w:rsidR="009337FE" w14:paraId="59D2192A" w14:textId="77777777" w:rsidTr="00841DB5">
        <w:tc>
          <w:tcPr>
            <w:tcW w:w="1548" w:type="dxa"/>
          </w:tcPr>
          <w:p w14:paraId="253CC678" w14:textId="2D738546" w:rsidR="009337FE" w:rsidRDefault="009337FE" w:rsidP="009337FE">
            <w:pPr>
              <w:pStyle w:val="BodyText2"/>
              <w:jc w:val="center"/>
              <w:rPr>
                <w:b w:val="0"/>
                <w:szCs w:val="22"/>
              </w:rPr>
            </w:pPr>
            <w:r>
              <w:rPr>
                <w:b w:val="0"/>
                <w:szCs w:val="22"/>
              </w:rPr>
              <w:t>4.23-4.25</w:t>
            </w:r>
          </w:p>
        </w:tc>
        <w:tc>
          <w:tcPr>
            <w:tcW w:w="8748" w:type="dxa"/>
          </w:tcPr>
          <w:p w14:paraId="2796A8AF" w14:textId="4EBF1192" w:rsidR="009337FE" w:rsidRDefault="009337FE" w:rsidP="00BA3DAA">
            <w:pPr>
              <w:pStyle w:val="BodyText2"/>
              <w:rPr>
                <w:b w:val="0"/>
                <w:szCs w:val="22"/>
              </w:rPr>
            </w:pPr>
            <w:r>
              <w:rPr>
                <w:b w:val="0"/>
                <w:szCs w:val="22"/>
              </w:rPr>
              <w:t xml:space="preserve">Several changes reflect changes in tax rate and AMT. </w:t>
            </w:r>
          </w:p>
        </w:tc>
      </w:tr>
      <w:tr w:rsidR="009337FE" w14:paraId="114163A3" w14:textId="77777777" w:rsidTr="00841DB5">
        <w:tc>
          <w:tcPr>
            <w:tcW w:w="1548" w:type="dxa"/>
          </w:tcPr>
          <w:p w14:paraId="472E88B3" w14:textId="3DDBD807" w:rsidR="009337FE" w:rsidRDefault="009337FE" w:rsidP="009337FE">
            <w:pPr>
              <w:pStyle w:val="BodyText2"/>
              <w:jc w:val="center"/>
              <w:rPr>
                <w:b w:val="0"/>
                <w:szCs w:val="22"/>
              </w:rPr>
            </w:pPr>
            <w:r>
              <w:rPr>
                <w:b w:val="0"/>
                <w:szCs w:val="22"/>
              </w:rPr>
              <w:t>4.33</w:t>
            </w:r>
          </w:p>
        </w:tc>
        <w:tc>
          <w:tcPr>
            <w:tcW w:w="8748" w:type="dxa"/>
          </w:tcPr>
          <w:p w14:paraId="5F3F0F78" w14:textId="105B17B0" w:rsidR="009337FE" w:rsidRDefault="009337FE" w:rsidP="00BA3DAA">
            <w:pPr>
              <w:pStyle w:val="BodyText2"/>
              <w:rPr>
                <w:b w:val="0"/>
                <w:szCs w:val="22"/>
              </w:rPr>
            </w:pPr>
            <w:r>
              <w:rPr>
                <w:b w:val="0"/>
                <w:szCs w:val="22"/>
              </w:rPr>
              <w:t xml:space="preserve">Updated from 2011 RBC reports. </w:t>
            </w:r>
            <w:r w:rsidRPr="009337FE">
              <w:rPr>
                <w:b w:val="0"/>
                <w:i/>
                <w:szCs w:val="22"/>
              </w:rPr>
              <w:t>(Note – Rather tha</w:t>
            </w:r>
            <w:r w:rsidR="008A3153">
              <w:rPr>
                <w:b w:val="0"/>
                <w:i/>
                <w:szCs w:val="22"/>
              </w:rPr>
              <w:t>n</w:t>
            </w:r>
            <w:r w:rsidRPr="009337FE">
              <w:rPr>
                <w:b w:val="0"/>
                <w:i/>
                <w:szCs w:val="22"/>
              </w:rPr>
              <w:t xml:space="preserve"> include the “source of the data” should reference be included to the RBC instructions? With reference to the RBC instructions, the information will not be subsequently outdated with changes in RBC.)</w:t>
            </w:r>
            <w:r>
              <w:rPr>
                <w:b w:val="0"/>
                <w:szCs w:val="22"/>
              </w:rPr>
              <w:t xml:space="preserve"> </w:t>
            </w:r>
          </w:p>
        </w:tc>
      </w:tr>
      <w:tr w:rsidR="009337FE" w14:paraId="41BD175F" w14:textId="77777777" w:rsidTr="00841DB5">
        <w:tc>
          <w:tcPr>
            <w:tcW w:w="1548" w:type="dxa"/>
          </w:tcPr>
          <w:p w14:paraId="14980D0E" w14:textId="0BC75D30" w:rsidR="009337FE" w:rsidRDefault="009337FE" w:rsidP="009337FE">
            <w:pPr>
              <w:pStyle w:val="BodyText2"/>
              <w:jc w:val="center"/>
              <w:rPr>
                <w:b w:val="0"/>
                <w:szCs w:val="22"/>
              </w:rPr>
            </w:pPr>
            <w:r>
              <w:rPr>
                <w:b w:val="0"/>
                <w:szCs w:val="22"/>
              </w:rPr>
              <w:t>5.9</w:t>
            </w:r>
          </w:p>
        </w:tc>
        <w:tc>
          <w:tcPr>
            <w:tcW w:w="8748" w:type="dxa"/>
          </w:tcPr>
          <w:p w14:paraId="28398557" w14:textId="7CDB642F" w:rsidR="009337FE" w:rsidRDefault="009337FE" w:rsidP="00BA3DAA">
            <w:pPr>
              <w:pStyle w:val="BodyText2"/>
              <w:rPr>
                <w:b w:val="0"/>
                <w:szCs w:val="22"/>
              </w:rPr>
            </w:pPr>
            <w:r>
              <w:rPr>
                <w:b w:val="0"/>
                <w:szCs w:val="22"/>
              </w:rPr>
              <w:t>Add new Footnote 28 to</w:t>
            </w:r>
            <w:r w:rsidR="006C2CD4">
              <w:rPr>
                <w:b w:val="0"/>
                <w:szCs w:val="22"/>
              </w:rPr>
              <w:t xml:space="preserve"> clarify the loss payment period. </w:t>
            </w:r>
          </w:p>
        </w:tc>
      </w:tr>
      <w:tr w:rsidR="009337FE" w14:paraId="0224C328" w14:textId="77777777" w:rsidTr="00841DB5">
        <w:tc>
          <w:tcPr>
            <w:tcW w:w="1548" w:type="dxa"/>
          </w:tcPr>
          <w:p w14:paraId="0E367D45" w14:textId="4D71703D" w:rsidR="009337FE" w:rsidRDefault="006C2CD4" w:rsidP="009337FE">
            <w:pPr>
              <w:pStyle w:val="BodyText2"/>
              <w:jc w:val="center"/>
              <w:rPr>
                <w:b w:val="0"/>
                <w:szCs w:val="22"/>
              </w:rPr>
            </w:pPr>
            <w:r>
              <w:rPr>
                <w:b w:val="0"/>
                <w:szCs w:val="22"/>
              </w:rPr>
              <w:t>5.14</w:t>
            </w:r>
          </w:p>
        </w:tc>
        <w:tc>
          <w:tcPr>
            <w:tcW w:w="8748" w:type="dxa"/>
          </w:tcPr>
          <w:p w14:paraId="5B7066CE" w14:textId="38F1E52D" w:rsidR="009337FE" w:rsidRDefault="006C2CD4" w:rsidP="00BA3DAA">
            <w:pPr>
              <w:pStyle w:val="BodyText2"/>
              <w:rPr>
                <w:b w:val="0"/>
                <w:szCs w:val="22"/>
              </w:rPr>
            </w:pPr>
            <w:r>
              <w:rPr>
                <w:b w:val="0"/>
                <w:szCs w:val="22"/>
              </w:rPr>
              <w:t xml:space="preserve">Update reference to SSAP No. 30R. </w:t>
            </w:r>
          </w:p>
        </w:tc>
      </w:tr>
      <w:tr w:rsidR="009337FE" w14:paraId="458FA2FF" w14:textId="77777777" w:rsidTr="00841DB5">
        <w:tc>
          <w:tcPr>
            <w:tcW w:w="1548" w:type="dxa"/>
          </w:tcPr>
          <w:p w14:paraId="5DB0A273" w14:textId="0F97BF9E" w:rsidR="009337FE" w:rsidRDefault="006C2CD4" w:rsidP="009337FE">
            <w:pPr>
              <w:pStyle w:val="BodyText2"/>
              <w:jc w:val="center"/>
              <w:rPr>
                <w:b w:val="0"/>
                <w:szCs w:val="22"/>
              </w:rPr>
            </w:pPr>
            <w:r>
              <w:rPr>
                <w:b w:val="0"/>
                <w:szCs w:val="22"/>
              </w:rPr>
              <w:t>6.5-6.9</w:t>
            </w:r>
          </w:p>
        </w:tc>
        <w:tc>
          <w:tcPr>
            <w:tcW w:w="8748" w:type="dxa"/>
          </w:tcPr>
          <w:p w14:paraId="5C550AE4" w14:textId="42917827" w:rsidR="009337FE" w:rsidRDefault="006C2CD4" w:rsidP="00BA3DAA">
            <w:pPr>
              <w:pStyle w:val="BodyText2"/>
              <w:rPr>
                <w:b w:val="0"/>
                <w:szCs w:val="22"/>
              </w:rPr>
            </w:pPr>
            <w:r>
              <w:rPr>
                <w:b w:val="0"/>
                <w:szCs w:val="22"/>
              </w:rPr>
              <w:t xml:space="preserve">Revisions delete full examples due to repeal of AMT and small life company deduction. </w:t>
            </w:r>
          </w:p>
        </w:tc>
      </w:tr>
      <w:tr w:rsidR="009337FE" w14:paraId="2D86BB02" w14:textId="77777777" w:rsidTr="00841DB5">
        <w:tc>
          <w:tcPr>
            <w:tcW w:w="1548" w:type="dxa"/>
          </w:tcPr>
          <w:p w14:paraId="326CE622" w14:textId="6E6BC3CE" w:rsidR="009337FE" w:rsidRDefault="007415EE" w:rsidP="009337FE">
            <w:pPr>
              <w:pStyle w:val="BodyText2"/>
              <w:jc w:val="center"/>
              <w:rPr>
                <w:b w:val="0"/>
                <w:szCs w:val="22"/>
              </w:rPr>
            </w:pPr>
            <w:r>
              <w:rPr>
                <w:b w:val="0"/>
                <w:szCs w:val="22"/>
              </w:rPr>
              <w:t>6.10-6-13</w:t>
            </w:r>
          </w:p>
        </w:tc>
        <w:tc>
          <w:tcPr>
            <w:tcW w:w="8748" w:type="dxa"/>
          </w:tcPr>
          <w:p w14:paraId="16C5637F" w14:textId="586B05BE" w:rsidR="009337FE" w:rsidRDefault="007415EE" w:rsidP="00BA3DAA">
            <w:pPr>
              <w:pStyle w:val="BodyText2"/>
              <w:rPr>
                <w:b w:val="0"/>
                <w:szCs w:val="22"/>
              </w:rPr>
            </w:pPr>
            <w:r>
              <w:rPr>
                <w:b w:val="0"/>
                <w:szCs w:val="22"/>
              </w:rPr>
              <w:t xml:space="preserve">Retained example revised for repeal of AMT. </w:t>
            </w:r>
          </w:p>
        </w:tc>
      </w:tr>
      <w:tr w:rsidR="009337FE" w14:paraId="7A237760" w14:textId="77777777" w:rsidTr="00841DB5">
        <w:tc>
          <w:tcPr>
            <w:tcW w:w="1548" w:type="dxa"/>
          </w:tcPr>
          <w:p w14:paraId="24C0F439" w14:textId="1638698C" w:rsidR="009337FE" w:rsidRDefault="002011E8" w:rsidP="009337FE">
            <w:pPr>
              <w:pStyle w:val="BodyText2"/>
              <w:jc w:val="center"/>
              <w:rPr>
                <w:b w:val="0"/>
                <w:szCs w:val="22"/>
              </w:rPr>
            </w:pPr>
            <w:r>
              <w:rPr>
                <w:b w:val="0"/>
                <w:szCs w:val="22"/>
              </w:rPr>
              <w:t>7.1-7.2</w:t>
            </w:r>
          </w:p>
        </w:tc>
        <w:tc>
          <w:tcPr>
            <w:tcW w:w="8748" w:type="dxa"/>
          </w:tcPr>
          <w:p w14:paraId="196606E6" w14:textId="6FB0CD18" w:rsidR="009337FE" w:rsidRDefault="002011E8" w:rsidP="00BA3DAA">
            <w:pPr>
              <w:pStyle w:val="BodyText2"/>
              <w:rPr>
                <w:b w:val="0"/>
                <w:szCs w:val="22"/>
              </w:rPr>
            </w:pPr>
            <w:r>
              <w:rPr>
                <w:b w:val="0"/>
                <w:szCs w:val="22"/>
              </w:rPr>
              <w:t xml:space="preserve">Deleted references to AMT and add the word “applicable” for carryback periods. </w:t>
            </w:r>
          </w:p>
        </w:tc>
      </w:tr>
      <w:tr w:rsidR="002011E8" w14:paraId="14BEE37A" w14:textId="77777777" w:rsidTr="00841DB5">
        <w:tc>
          <w:tcPr>
            <w:tcW w:w="1548" w:type="dxa"/>
          </w:tcPr>
          <w:p w14:paraId="48F70D7F" w14:textId="276A1FF2" w:rsidR="002011E8" w:rsidRDefault="002011E8" w:rsidP="009337FE">
            <w:pPr>
              <w:pStyle w:val="BodyText2"/>
              <w:jc w:val="center"/>
              <w:rPr>
                <w:b w:val="0"/>
                <w:szCs w:val="22"/>
              </w:rPr>
            </w:pPr>
            <w:r>
              <w:rPr>
                <w:b w:val="0"/>
                <w:szCs w:val="22"/>
              </w:rPr>
              <w:lastRenderedPageBreak/>
              <w:t>7.3</w:t>
            </w:r>
          </w:p>
        </w:tc>
        <w:tc>
          <w:tcPr>
            <w:tcW w:w="8748" w:type="dxa"/>
          </w:tcPr>
          <w:p w14:paraId="48CDA850" w14:textId="1427D8E2" w:rsidR="002011E8" w:rsidRDefault="002011E8" w:rsidP="00BA3DAA">
            <w:pPr>
              <w:pStyle w:val="BodyText2"/>
              <w:rPr>
                <w:b w:val="0"/>
                <w:szCs w:val="22"/>
              </w:rPr>
            </w:pPr>
            <w:r>
              <w:rPr>
                <w:b w:val="0"/>
                <w:szCs w:val="22"/>
              </w:rPr>
              <w:t>New paragraph to clarify guidance before / after Dec. 31, 2017.</w:t>
            </w:r>
          </w:p>
        </w:tc>
      </w:tr>
      <w:tr w:rsidR="002011E8" w14:paraId="02AEB9F0" w14:textId="77777777" w:rsidTr="00841DB5">
        <w:tc>
          <w:tcPr>
            <w:tcW w:w="1548" w:type="dxa"/>
          </w:tcPr>
          <w:p w14:paraId="31A02AA2" w14:textId="05647947" w:rsidR="002011E8" w:rsidRDefault="002011E8" w:rsidP="009337FE">
            <w:pPr>
              <w:pStyle w:val="BodyText2"/>
              <w:jc w:val="center"/>
              <w:rPr>
                <w:b w:val="0"/>
                <w:szCs w:val="22"/>
              </w:rPr>
            </w:pPr>
            <w:r>
              <w:rPr>
                <w:b w:val="0"/>
                <w:szCs w:val="22"/>
              </w:rPr>
              <w:t>8.5-8.10</w:t>
            </w:r>
          </w:p>
        </w:tc>
        <w:tc>
          <w:tcPr>
            <w:tcW w:w="8748" w:type="dxa"/>
          </w:tcPr>
          <w:p w14:paraId="68904B89" w14:textId="03D0E65C" w:rsidR="002011E8" w:rsidRDefault="002011E8" w:rsidP="00BA3DAA">
            <w:pPr>
              <w:pStyle w:val="BodyText2"/>
              <w:rPr>
                <w:b w:val="0"/>
                <w:szCs w:val="22"/>
              </w:rPr>
            </w:pPr>
            <w:r>
              <w:rPr>
                <w:b w:val="0"/>
                <w:szCs w:val="22"/>
              </w:rPr>
              <w:t xml:space="preserve">Example revised to reflect a nonlife company. Footnote 33 updated to provide the guidance for capital loss carrybacks for both life and nonlife companies. </w:t>
            </w:r>
          </w:p>
        </w:tc>
      </w:tr>
      <w:tr w:rsidR="002011E8" w14:paraId="615DF159" w14:textId="77777777" w:rsidTr="00841DB5">
        <w:tc>
          <w:tcPr>
            <w:tcW w:w="1548" w:type="dxa"/>
          </w:tcPr>
          <w:p w14:paraId="0E916834" w14:textId="6471B31E" w:rsidR="002011E8" w:rsidRDefault="002011E8" w:rsidP="009337FE">
            <w:pPr>
              <w:pStyle w:val="BodyText2"/>
              <w:jc w:val="center"/>
              <w:rPr>
                <w:b w:val="0"/>
                <w:szCs w:val="22"/>
              </w:rPr>
            </w:pPr>
            <w:r>
              <w:rPr>
                <w:b w:val="0"/>
                <w:szCs w:val="22"/>
              </w:rPr>
              <w:t>9.6-9.7</w:t>
            </w:r>
          </w:p>
        </w:tc>
        <w:tc>
          <w:tcPr>
            <w:tcW w:w="8748" w:type="dxa"/>
          </w:tcPr>
          <w:p w14:paraId="7B575B7E" w14:textId="467501DD" w:rsidR="002011E8" w:rsidRDefault="002011E8" w:rsidP="00BA3DAA">
            <w:pPr>
              <w:pStyle w:val="BodyText2"/>
              <w:rPr>
                <w:b w:val="0"/>
                <w:szCs w:val="22"/>
              </w:rPr>
            </w:pPr>
            <w:r>
              <w:rPr>
                <w:b w:val="0"/>
                <w:szCs w:val="22"/>
              </w:rPr>
              <w:t xml:space="preserve">Revisions reflect change in tax rate. </w:t>
            </w:r>
          </w:p>
        </w:tc>
      </w:tr>
      <w:tr w:rsidR="002011E8" w14:paraId="07D1D1A7" w14:textId="77777777" w:rsidTr="00841DB5">
        <w:tc>
          <w:tcPr>
            <w:tcW w:w="1548" w:type="dxa"/>
          </w:tcPr>
          <w:p w14:paraId="6C00D7D8" w14:textId="5243786F" w:rsidR="002011E8" w:rsidRDefault="002011E8" w:rsidP="009337FE">
            <w:pPr>
              <w:pStyle w:val="BodyText2"/>
              <w:jc w:val="center"/>
              <w:rPr>
                <w:b w:val="0"/>
                <w:szCs w:val="22"/>
              </w:rPr>
            </w:pPr>
            <w:r>
              <w:rPr>
                <w:b w:val="0"/>
                <w:szCs w:val="22"/>
              </w:rPr>
              <w:t>10.3-10.4</w:t>
            </w:r>
          </w:p>
        </w:tc>
        <w:tc>
          <w:tcPr>
            <w:tcW w:w="8748" w:type="dxa"/>
          </w:tcPr>
          <w:p w14:paraId="7765649D" w14:textId="30719FED" w:rsidR="002011E8" w:rsidRDefault="002011E8" w:rsidP="00BA3DAA">
            <w:pPr>
              <w:pStyle w:val="BodyText2"/>
              <w:rPr>
                <w:b w:val="0"/>
                <w:szCs w:val="22"/>
              </w:rPr>
            </w:pPr>
            <w:r>
              <w:rPr>
                <w:b w:val="0"/>
                <w:szCs w:val="22"/>
              </w:rPr>
              <w:t xml:space="preserve">Revisions reflect change in tax rate. Footnote 35 was deleted. </w:t>
            </w:r>
          </w:p>
        </w:tc>
      </w:tr>
      <w:tr w:rsidR="002011E8" w14:paraId="47F37BBA" w14:textId="77777777" w:rsidTr="00841DB5">
        <w:tc>
          <w:tcPr>
            <w:tcW w:w="1548" w:type="dxa"/>
          </w:tcPr>
          <w:p w14:paraId="17649577" w14:textId="7B65ADE4" w:rsidR="002011E8" w:rsidRDefault="000428C1" w:rsidP="009337FE">
            <w:pPr>
              <w:pStyle w:val="BodyText2"/>
              <w:jc w:val="center"/>
              <w:rPr>
                <w:b w:val="0"/>
                <w:szCs w:val="22"/>
              </w:rPr>
            </w:pPr>
            <w:r>
              <w:rPr>
                <w:b w:val="0"/>
                <w:szCs w:val="22"/>
              </w:rPr>
              <w:t>10.8-10.10</w:t>
            </w:r>
          </w:p>
        </w:tc>
        <w:tc>
          <w:tcPr>
            <w:tcW w:w="8748" w:type="dxa"/>
          </w:tcPr>
          <w:p w14:paraId="08C6A6A3" w14:textId="45BD3872" w:rsidR="002011E8" w:rsidRDefault="000428C1" w:rsidP="00BA3DAA">
            <w:pPr>
              <w:pStyle w:val="BodyText2"/>
              <w:rPr>
                <w:b w:val="0"/>
                <w:szCs w:val="22"/>
              </w:rPr>
            </w:pPr>
            <w:r>
              <w:rPr>
                <w:b w:val="0"/>
                <w:szCs w:val="22"/>
              </w:rPr>
              <w:t xml:space="preserve">Revisions reflect change in tax rate. </w:t>
            </w:r>
          </w:p>
        </w:tc>
      </w:tr>
      <w:tr w:rsidR="002011E8" w14:paraId="5C663A2D" w14:textId="77777777" w:rsidTr="00841DB5">
        <w:tc>
          <w:tcPr>
            <w:tcW w:w="1548" w:type="dxa"/>
          </w:tcPr>
          <w:p w14:paraId="041FE6A3" w14:textId="3AAD2629" w:rsidR="002011E8" w:rsidRDefault="000428C1" w:rsidP="009337FE">
            <w:pPr>
              <w:pStyle w:val="BodyText2"/>
              <w:jc w:val="center"/>
              <w:rPr>
                <w:b w:val="0"/>
                <w:szCs w:val="22"/>
              </w:rPr>
            </w:pPr>
            <w:r>
              <w:rPr>
                <w:b w:val="0"/>
                <w:szCs w:val="22"/>
              </w:rPr>
              <w:t>11.3-11.5</w:t>
            </w:r>
          </w:p>
        </w:tc>
        <w:tc>
          <w:tcPr>
            <w:tcW w:w="8748" w:type="dxa"/>
          </w:tcPr>
          <w:p w14:paraId="56DFA267" w14:textId="23505988" w:rsidR="002011E8" w:rsidRDefault="000428C1" w:rsidP="00BA3DAA">
            <w:pPr>
              <w:pStyle w:val="BodyText2"/>
              <w:rPr>
                <w:b w:val="0"/>
                <w:szCs w:val="22"/>
              </w:rPr>
            </w:pPr>
            <w:r>
              <w:rPr>
                <w:b w:val="0"/>
                <w:szCs w:val="22"/>
              </w:rPr>
              <w:t xml:space="preserve">Revisions reflect change in tax rate. </w:t>
            </w:r>
          </w:p>
        </w:tc>
      </w:tr>
      <w:tr w:rsidR="002011E8" w14:paraId="0F02BD2B" w14:textId="77777777" w:rsidTr="00841DB5">
        <w:tc>
          <w:tcPr>
            <w:tcW w:w="1548" w:type="dxa"/>
          </w:tcPr>
          <w:p w14:paraId="48EA1A90" w14:textId="7DE3E54C" w:rsidR="002011E8" w:rsidRDefault="000428C1" w:rsidP="009337FE">
            <w:pPr>
              <w:pStyle w:val="BodyText2"/>
              <w:jc w:val="center"/>
              <w:rPr>
                <w:b w:val="0"/>
                <w:szCs w:val="22"/>
              </w:rPr>
            </w:pPr>
            <w:r>
              <w:rPr>
                <w:b w:val="0"/>
                <w:szCs w:val="22"/>
              </w:rPr>
              <w:t>11.8-11.9</w:t>
            </w:r>
          </w:p>
        </w:tc>
        <w:tc>
          <w:tcPr>
            <w:tcW w:w="8748" w:type="dxa"/>
          </w:tcPr>
          <w:p w14:paraId="5809E77E" w14:textId="3BA3D66B" w:rsidR="002011E8" w:rsidRDefault="000428C1" w:rsidP="00BA3DAA">
            <w:pPr>
              <w:pStyle w:val="BodyText2"/>
              <w:rPr>
                <w:b w:val="0"/>
                <w:szCs w:val="22"/>
              </w:rPr>
            </w:pPr>
            <w:r>
              <w:rPr>
                <w:b w:val="0"/>
                <w:szCs w:val="22"/>
              </w:rPr>
              <w:t xml:space="preserve">Revisions reflect change in tax rate. </w:t>
            </w:r>
          </w:p>
        </w:tc>
      </w:tr>
      <w:tr w:rsidR="002011E8" w14:paraId="438671D9" w14:textId="77777777" w:rsidTr="00841DB5">
        <w:tc>
          <w:tcPr>
            <w:tcW w:w="1548" w:type="dxa"/>
          </w:tcPr>
          <w:p w14:paraId="771FDFC7" w14:textId="6F9ED247" w:rsidR="002011E8" w:rsidRDefault="000428C1" w:rsidP="009337FE">
            <w:pPr>
              <w:pStyle w:val="BodyText2"/>
              <w:jc w:val="center"/>
              <w:rPr>
                <w:b w:val="0"/>
                <w:szCs w:val="22"/>
              </w:rPr>
            </w:pPr>
            <w:r>
              <w:rPr>
                <w:b w:val="0"/>
                <w:szCs w:val="22"/>
              </w:rPr>
              <w:t>11.12-11.13</w:t>
            </w:r>
          </w:p>
        </w:tc>
        <w:tc>
          <w:tcPr>
            <w:tcW w:w="8748" w:type="dxa"/>
          </w:tcPr>
          <w:p w14:paraId="1CD8C83C" w14:textId="610B87D7" w:rsidR="002011E8" w:rsidRDefault="000428C1" w:rsidP="00BA3DAA">
            <w:pPr>
              <w:pStyle w:val="BodyText2"/>
              <w:rPr>
                <w:b w:val="0"/>
                <w:szCs w:val="22"/>
              </w:rPr>
            </w:pPr>
            <w:r>
              <w:rPr>
                <w:b w:val="0"/>
                <w:szCs w:val="22"/>
              </w:rPr>
              <w:t xml:space="preserve">Example revisions to reflect a nonlife company, with changes in tax rate. Footnote 37 revised. </w:t>
            </w:r>
          </w:p>
        </w:tc>
      </w:tr>
      <w:tr w:rsidR="000428C1" w14:paraId="3E58C85D" w14:textId="77777777" w:rsidTr="00841DB5">
        <w:tc>
          <w:tcPr>
            <w:tcW w:w="1548" w:type="dxa"/>
          </w:tcPr>
          <w:p w14:paraId="0189E9CB" w14:textId="51218527" w:rsidR="000428C1" w:rsidRDefault="000428C1" w:rsidP="009337FE">
            <w:pPr>
              <w:pStyle w:val="BodyText2"/>
              <w:jc w:val="center"/>
              <w:rPr>
                <w:b w:val="0"/>
                <w:szCs w:val="22"/>
              </w:rPr>
            </w:pPr>
            <w:r>
              <w:rPr>
                <w:b w:val="0"/>
                <w:szCs w:val="22"/>
              </w:rPr>
              <w:t>12.1-12.7</w:t>
            </w:r>
          </w:p>
        </w:tc>
        <w:tc>
          <w:tcPr>
            <w:tcW w:w="8748" w:type="dxa"/>
          </w:tcPr>
          <w:p w14:paraId="22DAC8DF" w14:textId="12E7BE6D" w:rsidR="000428C1" w:rsidRDefault="000428C1" w:rsidP="00BA3DAA">
            <w:pPr>
              <w:pStyle w:val="BodyText2"/>
              <w:rPr>
                <w:b w:val="0"/>
                <w:szCs w:val="22"/>
              </w:rPr>
            </w:pPr>
            <w:r>
              <w:rPr>
                <w:b w:val="0"/>
                <w:szCs w:val="22"/>
              </w:rPr>
              <w:t xml:space="preserve">Significant revisions delete one part of the answer (resulting in 3 parts). Deletion reflects paragraphs 12.2 through 12.7, which pertained to initial adoption of SSAP No. 101. </w:t>
            </w:r>
          </w:p>
        </w:tc>
      </w:tr>
      <w:tr w:rsidR="000428C1" w14:paraId="4FAF8769" w14:textId="77777777" w:rsidTr="00841DB5">
        <w:tc>
          <w:tcPr>
            <w:tcW w:w="1548" w:type="dxa"/>
          </w:tcPr>
          <w:p w14:paraId="6F0B6359" w14:textId="58A06BD2" w:rsidR="000428C1" w:rsidRDefault="000761D7" w:rsidP="009337FE">
            <w:pPr>
              <w:pStyle w:val="BodyText2"/>
              <w:jc w:val="center"/>
              <w:rPr>
                <w:b w:val="0"/>
                <w:szCs w:val="22"/>
              </w:rPr>
            </w:pPr>
            <w:r>
              <w:rPr>
                <w:b w:val="0"/>
                <w:szCs w:val="22"/>
              </w:rPr>
              <w:t>12.10-12.12</w:t>
            </w:r>
          </w:p>
        </w:tc>
        <w:tc>
          <w:tcPr>
            <w:tcW w:w="8748" w:type="dxa"/>
          </w:tcPr>
          <w:p w14:paraId="22EF4179" w14:textId="4C79E643" w:rsidR="000428C1" w:rsidRDefault="000761D7" w:rsidP="00BA3DAA">
            <w:pPr>
              <w:pStyle w:val="BodyText2"/>
              <w:rPr>
                <w:b w:val="0"/>
                <w:szCs w:val="22"/>
              </w:rPr>
            </w:pPr>
            <w:r>
              <w:rPr>
                <w:b w:val="0"/>
                <w:szCs w:val="22"/>
              </w:rPr>
              <w:t xml:space="preserve">Revisions reflect change in tax rate. </w:t>
            </w:r>
          </w:p>
        </w:tc>
      </w:tr>
      <w:tr w:rsidR="000428C1" w14:paraId="54047B3F" w14:textId="77777777" w:rsidTr="00841DB5">
        <w:tc>
          <w:tcPr>
            <w:tcW w:w="1548" w:type="dxa"/>
          </w:tcPr>
          <w:p w14:paraId="23EF53FD" w14:textId="3C507483" w:rsidR="000428C1" w:rsidRDefault="000761D7" w:rsidP="009337FE">
            <w:pPr>
              <w:pStyle w:val="BodyText2"/>
              <w:jc w:val="center"/>
              <w:rPr>
                <w:b w:val="0"/>
                <w:szCs w:val="22"/>
              </w:rPr>
            </w:pPr>
            <w:r>
              <w:rPr>
                <w:b w:val="0"/>
                <w:szCs w:val="22"/>
              </w:rPr>
              <w:t>12.14-12.22</w:t>
            </w:r>
          </w:p>
        </w:tc>
        <w:tc>
          <w:tcPr>
            <w:tcW w:w="8748" w:type="dxa"/>
          </w:tcPr>
          <w:p w14:paraId="2F75C49D" w14:textId="4694434B" w:rsidR="000428C1" w:rsidRDefault="000761D7" w:rsidP="00BA3DAA">
            <w:pPr>
              <w:pStyle w:val="BodyText2"/>
              <w:rPr>
                <w:b w:val="0"/>
                <w:szCs w:val="22"/>
              </w:rPr>
            </w:pPr>
            <w:r>
              <w:rPr>
                <w:b w:val="0"/>
                <w:szCs w:val="22"/>
              </w:rPr>
              <w:t xml:space="preserve">Revisions reflect change in tax rate. </w:t>
            </w:r>
          </w:p>
        </w:tc>
      </w:tr>
      <w:tr w:rsidR="000428C1" w14:paraId="5B3FFEA1" w14:textId="77777777" w:rsidTr="00841DB5">
        <w:tc>
          <w:tcPr>
            <w:tcW w:w="1548" w:type="dxa"/>
          </w:tcPr>
          <w:p w14:paraId="4AF91347" w14:textId="4976B3C5" w:rsidR="000428C1" w:rsidRDefault="00BB7CB1" w:rsidP="009337FE">
            <w:pPr>
              <w:pStyle w:val="BodyText2"/>
              <w:jc w:val="center"/>
              <w:rPr>
                <w:b w:val="0"/>
                <w:szCs w:val="22"/>
              </w:rPr>
            </w:pPr>
            <w:r>
              <w:rPr>
                <w:b w:val="0"/>
                <w:szCs w:val="22"/>
              </w:rPr>
              <w:t>12.23</w:t>
            </w:r>
          </w:p>
        </w:tc>
        <w:tc>
          <w:tcPr>
            <w:tcW w:w="8748" w:type="dxa"/>
          </w:tcPr>
          <w:p w14:paraId="50655A24" w14:textId="038B9AC6" w:rsidR="000428C1" w:rsidRDefault="00BB7CB1" w:rsidP="00BA3DAA">
            <w:pPr>
              <w:pStyle w:val="BodyText2"/>
              <w:rPr>
                <w:b w:val="0"/>
                <w:szCs w:val="22"/>
              </w:rPr>
            </w:pPr>
            <w:r>
              <w:rPr>
                <w:b w:val="0"/>
                <w:szCs w:val="22"/>
              </w:rPr>
              <w:t>Deleted Footnote 41.</w:t>
            </w:r>
          </w:p>
        </w:tc>
      </w:tr>
      <w:tr w:rsidR="000428C1" w14:paraId="03E2DD4D" w14:textId="77777777" w:rsidTr="00841DB5">
        <w:tc>
          <w:tcPr>
            <w:tcW w:w="1548" w:type="dxa"/>
          </w:tcPr>
          <w:p w14:paraId="41184160" w14:textId="4E6A584C" w:rsidR="000428C1" w:rsidRDefault="00BB7CB1" w:rsidP="009337FE">
            <w:pPr>
              <w:pStyle w:val="BodyText2"/>
              <w:jc w:val="center"/>
              <w:rPr>
                <w:b w:val="0"/>
                <w:szCs w:val="22"/>
              </w:rPr>
            </w:pPr>
            <w:r>
              <w:rPr>
                <w:b w:val="0"/>
                <w:szCs w:val="22"/>
              </w:rPr>
              <w:t>12.24</w:t>
            </w:r>
          </w:p>
        </w:tc>
        <w:tc>
          <w:tcPr>
            <w:tcW w:w="8748" w:type="dxa"/>
          </w:tcPr>
          <w:p w14:paraId="5A90E660" w14:textId="29FEBAA4" w:rsidR="000428C1" w:rsidRDefault="00BB7CB1" w:rsidP="00BA3DAA">
            <w:pPr>
              <w:pStyle w:val="BodyText2"/>
              <w:rPr>
                <w:b w:val="0"/>
                <w:szCs w:val="22"/>
              </w:rPr>
            </w:pPr>
            <w:r>
              <w:rPr>
                <w:b w:val="0"/>
                <w:szCs w:val="22"/>
              </w:rPr>
              <w:t xml:space="preserve">Deleted guidance related to initial adoption of SSAP No. 101. </w:t>
            </w:r>
          </w:p>
        </w:tc>
      </w:tr>
      <w:tr w:rsidR="00BB7CB1" w14:paraId="0EA1C0E3" w14:textId="77777777" w:rsidTr="00841DB5">
        <w:tc>
          <w:tcPr>
            <w:tcW w:w="1548" w:type="dxa"/>
          </w:tcPr>
          <w:p w14:paraId="48A38179" w14:textId="0B8D2E58" w:rsidR="00BB7CB1" w:rsidRDefault="00BB7CB1" w:rsidP="009337FE">
            <w:pPr>
              <w:pStyle w:val="BodyText2"/>
              <w:jc w:val="center"/>
              <w:rPr>
                <w:b w:val="0"/>
                <w:szCs w:val="22"/>
              </w:rPr>
            </w:pPr>
            <w:r>
              <w:rPr>
                <w:b w:val="0"/>
                <w:szCs w:val="22"/>
              </w:rPr>
              <w:t>12.25</w:t>
            </w:r>
          </w:p>
        </w:tc>
        <w:tc>
          <w:tcPr>
            <w:tcW w:w="8748" w:type="dxa"/>
          </w:tcPr>
          <w:p w14:paraId="43AAE862" w14:textId="108D166F" w:rsidR="00BB7CB1" w:rsidRDefault="00BB7CB1" w:rsidP="00BA3DAA">
            <w:pPr>
              <w:pStyle w:val="BodyText2"/>
              <w:rPr>
                <w:b w:val="0"/>
                <w:szCs w:val="22"/>
              </w:rPr>
            </w:pPr>
            <w:r>
              <w:rPr>
                <w:b w:val="0"/>
                <w:szCs w:val="22"/>
              </w:rPr>
              <w:t xml:space="preserve">Revisions reflect change in tax rate. </w:t>
            </w:r>
          </w:p>
        </w:tc>
      </w:tr>
      <w:tr w:rsidR="00BB7CB1" w14:paraId="4A80144B" w14:textId="77777777" w:rsidTr="00841DB5">
        <w:tc>
          <w:tcPr>
            <w:tcW w:w="1548" w:type="dxa"/>
          </w:tcPr>
          <w:p w14:paraId="1E385E00" w14:textId="78C5B570" w:rsidR="00BB7CB1" w:rsidRDefault="00BB7CB1" w:rsidP="009337FE">
            <w:pPr>
              <w:pStyle w:val="BodyText2"/>
              <w:jc w:val="center"/>
              <w:rPr>
                <w:b w:val="0"/>
                <w:szCs w:val="22"/>
              </w:rPr>
            </w:pPr>
            <w:r>
              <w:rPr>
                <w:b w:val="0"/>
                <w:szCs w:val="22"/>
              </w:rPr>
              <w:t>12.27</w:t>
            </w:r>
          </w:p>
        </w:tc>
        <w:tc>
          <w:tcPr>
            <w:tcW w:w="8748" w:type="dxa"/>
          </w:tcPr>
          <w:p w14:paraId="737AD667" w14:textId="7D81E0CA" w:rsidR="00BB7CB1" w:rsidRDefault="00BB7CB1" w:rsidP="00BA3DAA">
            <w:pPr>
              <w:pStyle w:val="BodyText2"/>
              <w:rPr>
                <w:b w:val="0"/>
                <w:szCs w:val="22"/>
              </w:rPr>
            </w:pPr>
            <w:r>
              <w:rPr>
                <w:b w:val="0"/>
                <w:szCs w:val="22"/>
              </w:rPr>
              <w:t xml:space="preserve">Revisions incorporate reference to foreign withholding taxes. </w:t>
            </w:r>
          </w:p>
        </w:tc>
      </w:tr>
      <w:tr w:rsidR="00BB7CB1" w14:paraId="0FE3DD11" w14:textId="77777777" w:rsidTr="00841DB5">
        <w:tc>
          <w:tcPr>
            <w:tcW w:w="1548" w:type="dxa"/>
          </w:tcPr>
          <w:p w14:paraId="2E976A39" w14:textId="47083B9E" w:rsidR="00BB7CB1" w:rsidRDefault="00BB7CB1" w:rsidP="009337FE">
            <w:pPr>
              <w:pStyle w:val="BodyText2"/>
              <w:jc w:val="center"/>
              <w:rPr>
                <w:b w:val="0"/>
                <w:szCs w:val="22"/>
              </w:rPr>
            </w:pPr>
            <w:r>
              <w:rPr>
                <w:b w:val="0"/>
                <w:szCs w:val="22"/>
              </w:rPr>
              <w:t>12.31</w:t>
            </w:r>
          </w:p>
        </w:tc>
        <w:tc>
          <w:tcPr>
            <w:tcW w:w="8748" w:type="dxa"/>
          </w:tcPr>
          <w:p w14:paraId="01D2D28B" w14:textId="2A9DCF18" w:rsidR="00BB7CB1" w:rsidRDefault="00BB7CB1" w:rsidP="00BA3DAA">
            <w:pPr>
              <w:pStyle w:val="BodyText2"/>
              <w:rPr>
                <w:b w:val="0"/>
                <w:szCs w:val="22"/>
              </w:rPr>
            </w:pPr>
            <w:r>
              <w:rPr>
                <w:b w:val="0"/>
                <w:szCs w:val="22"/>
              </w:rPr>
              <w:t xml:space="preserve">Revisions reflect change in tax rate. </w:t>
            </w:r>
          </w:p>
        </w:tc>
      </w:tr>
      <w:tr w:rsidR="00BB7CB1" w14:paraId="229EA97E" w14:textId="77777777" w:rsidTr="00841DB5">
        <w:tc>
          <w:tcPr>
            <w:tcW w:w="1548" w:type="dxa"/>
          </w:tcPr>
          <w:p w14:paraId="221F7743" w14:textId="1FB5F89C" w:rsidR="00BB7CB1" w:rsidRDefault="00BB7CB1" w:rsidP="009337FE">
            <w:pPr>
              <w:pStyle w:val="BodyText2"/>
              <w:jc w:val="center"/>
              <w:rPr>
                <w:b w:val="0"/>
                <w:szCs w:val="22"/>
              </w:rPr>
            </w:pPr>
            <w:r>
              <w:rPr>
                <w:b w:val="0"/>
                <w:szCs w:val="22"/>
              </w:rPr>
              <w:t>13.7</w:t>
            </w:r>
          </w:p>
        </w:tc>
        <w:tc>
          <w:tcPr>
            <w:tcW w:w="8748" w:type="dxa"/>
          </w:tcPr>
          <w:p w14:paraId="2C2F034F" w14:textId="319BF9BF" w:rsidR="00BB7CB1" w:rsidRDefault="00BB7CB1" w:rsidP="00BA3DAA">
            <w:pPr>
              <w:pStyle w:val="BodyText2"/>
              <w:rPr>
                <w:b w:val="0"/>
                <w:szCs w:val="22"/>
              </w:rPr>
            </w:pPr>
            <w:r>
              <w:rPr>
                <w:b w:val="0"/>
                <w:szCs w:val="22"/>
              </w:rPr>
              <w:t xml:space="preserve">Revisions add reference to tax credit carryforward. </w:t>
            </w:r>
          </w:p>
        </w:tc>
      </w:tr>
      <w:tr w:rsidR="00BB7CB1" w14:paraId="46813A48" w14:textId="77777777" w:rsidTr="00841DB5">
        <w:tc>
          <w:tcPr>
            <w:tcW w:w="1548" w:type="dxa"/>
          </w:tcPr>
          <w:p w14:paraId="535F4FFC" w14:textId="503B2FFA" w:rsidR="00BB7CB1" w:rsidRDefault="00BB7CB1" w:rsidP="009337FE">
            <w:pPr>
              <w:pStyle w:val="BodyText2"/>
              <w:jc w:val="center"/>
              <w:rPr>
                <w:b w:val="0"/>
                <w:szCs w:val="22"/>
              </w:rPr>
            </w:pPr>
            <w:r>
              <w:rPr>
                <w:b w:val="0"/>
                <w:szCs w:val="22"/>
              </w:rPr>
              <w:t>13.9-13.10</w:t>
            </w:r>
          </w:p>
        </w:tc>
        <w:tc>
          <w:tcPr>
            <w:tcW w:w="8748" w:type="dxa"/>
          </w:tcPr>
          <w:p w14:paraId="0A8C6166" w14:textId="6C38FAD9" w:rsidR="00BB7CB1" w:rsidRDefault="00BB7CB1" w:rsidP="00BA3DAA">
            <w:pPr>
              <w:pStyle w:val="BodyText2"/>
              <w:rPr>
                <w:b w:val="0"/>
                <w:szCs w:val="22"/>
              </w:rPr>
            </w:pPr>
            <w:r>
              <w:rPr>
                <w:b w:val="0"/>
                <w:szCs w:val="22"/>
              </w:rPr>
              <w:t xml:space="preserve">Revisions reflect change in tax rate. </w:t>
            </w:r>
          </w:p>
        </w:tc>
      </w:tr>
    </w:tbl>
    <w:p w14:paraId="0C8E591E" w14:textId="6262A1E8" w:rsidR="00BA3DAA" w:rsidRDefault="00BA3DAA" w:rsidP="00BA3DAA">
      <w:pPr>
        <w:pStyle w:val="BodyText2"/>
        <w:rPr>
          <w:b w:val="0"/>
          <w:szCs w:val="22"/>
        </w:rPr>
      </w:pPr>
    </w:p>
    <w:p w14:paraId="19896557" w14:textId="1B05C7FA" w:rsidR="007000C2" w:rsidRPr="00187B02" w:rsidRDefault="007000C2" w:rsidP="007000C2">
      <w:pPr>
        <w:pStyle w:val="BodyText2"/>
        <w:rPr>
          <w:bCs w:val="0"/>
          <w:szCs w:val="22"/>
        </w:rPr>
      </w:pPr>
      <w:r w:rsidRPr="007000C2">
        <w:rPr>
          <w:b w:val="0"/>
        </w:rPr>
        <w:t>Note: Agenda item 2019-10 addresses specific DTA and DTL offsetting issues in the SSAP No. 101 QA which are being separately discussed. Agenda item 2019-10 has proposed revisions to paragraphs: 2.5- 2.7, 4.1, 4.2, 4.9, 4.13, 4.17, 4.18, 4.21, 4.24, 5.1 and 5.3. The final QA will reflect the results of both agenda items specifically paragraphs 4.18, 4.21 and 4.24 have revisions that should be read together.</w:t>
      </w:r>
      <w:r>
        <w:rPr>
          <w:b w:val="0"/>
        </w:rPr>
        <w:t xml:space="preserve"> </w:t>
      </w:r>
    </w:p>
    <w:p w14:paraId="24F030E7" w14:textId="77777777" w:rsidR="001776D0" w:rsidRPr="00150915" w:rsidRDefault="001776D0" w:rsidP="00B3143E">
      <w:pPr>
        <w:pStyle w:val="BodyText2"/>
        <w:rPr>
          <w:b w:val="0"/>
          <w:szCs w:val="22"/>
        </w:rPr>
      </w:pPr>
    </w:p>
    <w:p w14:paraId="7308C5B2" w14:textId="2FF85061" w:rsidR="002A1316" w:rsidRDefault="002A1316" w:rsidP="00B30CA0">
      <w:pPr>
        <w:pStyle w:val="BodyText2"/>
        <w:rPr>
          <w:szCs w:val="22"/>
        </w:rPr>
      </w:pPr>
      <w:r w:rsidRPr="00016321">
        <w:rPr>
          <w:szCs w:val="22"/>
        </w:rPr>
        <w:t>Staff Review Completed by:</w:t>
      </w:r>
    </w:p>
    <w:p w14:paraId="329539F9" w14:textId="4C92A84F" w:rsidR="006B3694" w:rsidRDefault="003F7A14" w:rsidP="00B30CA0">
      <w:pPr>
        <w:pStyle w:val="BodyText2"/>
        <w:rPr>
          <w:b w:val="0"/>
          <w:szCs w:val="22"/>
        </w:rPr>
      </w:pPr>
      <w:r w:rsidRPr="00E97041">
        <w:rPr>
          <w:b w:val="0"/>
          <w:szCs w:val="22"/>
        </w:rPr>
        <w:t xml:space="preserve">Julie Gann, NAIC Staff – </w:t>
      </w:r>
      <w:r w:rsidR="008A3153">
        <w:rPr>
          <w:b w:val="0"/>
          <w:szCs w:val="22"/>
        </w:rPr>
        <w:t>January 2019</w:t>
      </w:r>
    </w:p>
    <w:p w14:paraId="314FBA43" w14:textId="5AA974D4" w:rsidR="009A2191" w:rsidRDefault="009A2191" w:rsidP="00B30CA0">
      <w:pPr>
        <w:pStyle w:val="BodyText2"/>
        <w:rPr>
          <w:b w:val="0"/>
          <w:szCs w:val="22"/>
        </w:rPr>
      </w:pPr>
    </w:p>
    <w:p w14:paraId="31F3D6B6" w14:textId="24E853E1" w:rsidR="009A2191" w:rsidRDefault="009A2191" w:rsidP="00B30CA0">
      <w:pPr>
        <w:pStyle w:val="BodyText2"/>
        <w:rPr>
          <w:szCs w:val="22"/>
        </w:rPr>
      </w:pPr>
      <w:r>
        <w:rPr>
          <w:szCs w:val="22"/>
        </w:rPr>
        <w:t>Status:</w:t>
      </w:r>
    </w:p>
    <w:p w14:paraId="7A6BB144" w14:textId="107C6BA0" w:rsidR="00C1206E" w:rsidRDefault="009A2191" w:rsidP="00C1206E">
      <w:pPr>
        <w:pStyle w:val="BodyText2"/>
        <w:widowControl w:val="0"/>
        <w:rPr>
          <w:b w:val="0"/>
          <w:szCs w:val="22"/>
        </w:rPr>
      </w:pPr>
      <w:r>
        <w:rPr>
          <w:b w:val="0"/>
          <w:szCs w:val="22"/>
        </w:rPr>
        <w:t xml:space="preserve">On April 6, 2019, the Statutory Accounting Principles (E) Working Group moved this agenda item to the active listing, categorized as nonsubstantive, and </w:t>
      </w:r>
      <w:r w:rsidR="008D68D7">
        <w:rPr>
          <w:b w:val="0"/>
          <w:szCs w:val="22"/>
        </w:rPr>
        <w:t xml:space="preserve">exposed revisions to the </w:t>
      </w:r>
      <w:r w:rsidR="008D68D7">
        <w:rPr>
          <w:b w:val="0"/>
          <w:i/>
          <w:szCs w:val="22"/>
        </w:rPr>
        <w:t>SSAP No. 101—Income Taxes</w:t>
      </w:r>
      <w:r w:rsidR="008D68D7">
        <w:rPr>
          <w:b w:val="0"/>
          <w:szCs w:val="22"/>
        </w:rPr>
        <w:t xml:space="preserve"> Implementation Q&amp;A to </w:t>
      </w:r>
      <w:r w:rsidR="00252C86">
        <w:rPr>
          <w:b w:val="0"/>
          <w:szCs w:val="22"/>
        </w:rPr>
        <w:t xml:space="preserve">reflect tax changes driven primarily by the </w:t>
      </w:r>
      <w:r w:rsidR="008D68D7">
        <w:rPr>
          <w:b w:val="0"/>
          <w:szCs w:val="22"/>
        </w:rPr>
        <w:t>Tax Cuts and Jobs Act</w:t>
      </w:r>
      <w:r w:rsidR="00252C86">
        <w:rPr>
          <w:b w:val="0"/>
          <w:szCs w:val="22"/>
        </w:rPr>
        <w:t xml:space="preserve"> (</w:t>
      </w:r>
      <w:proofErr w:type="spellStart"/>
      <w:r w:rsidR="00252C86">
        <w:rPr>
          <w:b w:val="0"/>
          <w:szCs w:val="22"/>
        </w:rPr>
        <w:t>TCJA</w:t>
      </w:r>
      <w:proofErr w:type="spellEnd"/>
      <w:r w:rsidR="00252C86">
        <w:rPr>
          <w:b w:val="0"/>
          <w:szCs w:val="22"/>
        </w:rPr>
        <w:t>).</w:t>
      </w:r>
      <w:r w:rsidR="00C1206E" w:rsidRPr="00C1206E">
        <w:rPr>
          <w:b w:val="0"/>
          <w:szCs w:val="22"/>
        </w:rPr>
        <w:t xml:space="preserve"> </w:t>
      </w:r>
      <w:r w:rsidR="00C1206E" w:rsidRPr="00F427FB">
        <w:rPr>
          <w:b w:val="0"/>
          <w:szCs w:val="22"/>
        </w:rPr>
        <w:t>Due to the extent of the revisions, the proposed revisions are presented in a separate file. Note that some of the revi</w:t>
      </w:r>
      <w:bookmarkStart w:id="3" w:name="_GoBack"/>
      <w:bookmarkEnd w:id="3"/>
      <w:r w:rsidR="00C1206E" w:rsidRPr="00F427FB">
        <w:rPr>
          <w:b w:val="0"/>
          <w:szCs w:val="22"/>
        </w:rPr>
        <w:t>sions to paragraphs 4.18, 4.21,4.24 will also be affected by agenda item 2019-</w:t>
      </w:r>
      <w:r w:rsidR="00C1206E">
        <w:rPr>
          <w:b w:val="0"/>
          <w:szCs w:val="22"/>
        </w:rPr>
        <w:t>10</w:t>
      </w:r>
      <w:r w:rsidR="00C1206E" w:rsidRPr="00F427FB">
        <w:rPr>
          <w:b w:val="0"/>
          <w:szCs w:val="22"/>
        </w:rPr>
        <w:t>.</w:t>
      </w:r>
    </w:p>
    <w:p w14:paraId="7FE69A74" w14:textId="4A8D6230" w:rsidR="009A2191" w:rsidRPr="008D68D7" w:rsidRDefault="009A2191" w:rsidP="00B30CA0">
      <w:pPr>
        <w:pStyle w:val="BodyText2"/>
        <w:rPr>
          <w:b w:val="0"/>
          <w:szCs w:val="22"/>
        </w:rPr>
      </w:pPr>
    </w:p>
    <w:p w14:paraId="0EC272A8" w14:textId="77777777" w:rsidR="009A2191" w:rsidRPr="009A2191" w:rsidRDefault="009A2191" w:rsidP="00B30CA0">
      <w:pPr>
        <w:pStyle w:val="BodyText2"/>
        <w:rPr>
          <w:b w:val="0"/>
          <w:szCs w:val="22"/>
        </w:rPr>
      </w:pPr>
    </w:p>
    <w:p w14:paraId="545CD6D9" w14:textId="77777777" w:rsidR="009A2191" w:rsidRDefault="009A2191" w:rsidP="00B30CA0">
      <w:pPr>
        <w:pStyle w:val="BodyText2"/>
        <w:rPr>
          <w:b w:val="0"/>
          <w:szCs w:val="22"/>
        </w:rPr>
      </w:pPr>
    </w:p>
    <w:p w14:paraId="313BA09D" w14:textId="77777777" w:rsidR="00A63D2A" w:rsidRDefault="00A63D2A" w:rsidP="00B30CA0">
      <w:pPr>
        <w:pStyle w:val="BodyText2"/>
        <w:rPr>
          <w:b w:val="0"/>
          <w:szCs w:val="22"/>
        </w:rPr>
      </w:pPr>
    </w:p>
    <w:p w14:paraId="1D70B3F5" w14:textId="2EC3117E" w:rsidR="001A6D44" w:rsidRPr="009717BA" w:rsidRDefault="00B65A8C" w:rsidP="00FA20BE">
      <w:pPr>
        <w:rPr>
          <w:sz w:val="20"/>
          <w:szCs w:val="20"/>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252C86">
        <w:rPr>
          <w:noProof/>
          <w:sz w:val="16"/>
          <w:szCs w:val="16"/>
        </w:rPr>
        <w:t>G:\FRS\DATA\Stat Acctg\3. National Meetings\A. National Meeting Materials\2019\Spring\NM Exposures\19-09 - 101 - QA TCJA.docx</w:t>
      </w:r>
      <w:r w:rsidRPr="000579B6">
        <w:rPr>
          <w:sz w:val="16"/>
          <w:szCs w:val="16"/>
        </w:rPr>
        <w:fldChar w:fldCharType="end"/>
      </w:r>
    </w:p>
    <w:sectPr w:rsidR="001A6D44" w:rsidRPr="009717BA" w:rsidSect="0039600A">
      <w:headerReference w:type="default" r:id="rId9"/>
      <w:footerReference w:type="default" r:id="rId10"/>
      <w:headerReference w:type="first" r:id="rId11"/>
      <w:footerReference w:type="first" r:id="rId1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42D6B" w14:textId="77777777" w:rsidR="008D68D7" w:rsidRDefault="008D68D7">
      <w:r>
        <w:separator/>
      </w:r>
    </w:p>
  </w:endnote>
  <w:endnote w:type="continuationSeparator" w:id="0">
    <w:p w14:paraId="635168AC" w14:textId="77777777" w:rsidR="008D68D7" w:rsidRDefault="008D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148C" w14:textId="49874636" w:rsidR="008D68D7" w:rsidRDefault="008D68D7">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8</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7DF0" w14:textId="5F0DF813" w:rsidR="008D68D7" w:rsidRDefault="008D68D7"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4D38" w14:textId="77777777" w:rsidR="008D68D7" w:rsidRDefault="008D68D7">
      <w:r>
        <w:separator/>
      </w:r>
    </w:p>
  </w:footnote>
  <w:footnote w:type="continuationSeparator" w:id="0">
    <w:p w14:paraId="6994E547" w14:textId="77777777" w:rsidR="008D68D7" w:rsidRDefault="008D6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8107" w14:textId="2A9B9181" w:rsidR="008D68D7" w:rsidRPr="00F04F9A" w:rsidRDefault="008D68D7">
    <w:pPr>
      <w:pStyle w:val="Header"/>
      <w:jc w:val="right"/>
      <w:rPr>
        <w:bCs/>
        <w:sz w:val="20"/>
      </w:rPr>
    </w:pPr>
    <w:r w:rsidRPr="00F04F9A">
      <w:rPr>
        <w:bCs/>
        <w:sz w:val="20"/>
      </w:rPr>
      <w:t>Ref #</w:t>
    </w:r>
    <w:r>
      <w:rPr>
        <w:bCs/>
        <w:sz w:val="20"/>
      </w:rPr>
      <w:t>2019-09</w:t>
    </w:r>
  </w:p>
  <w:p w14:paraId="74FDDD9B" w14:textId="77777777" w:rsidR="008D68D7" w:rsidRDefault="008D68D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B302" w14:textId="2E287195" w:rsidR="008D68D7" w:rsidRPr="00F04F9A" w:rsidRDefault="008D68D7" w:rsidP="00AE74CF">
    <w:pPr>
      <w:pStyle w:val="Header"/>
      <w:jc w:val="right"/>
      <w:rPr>
        <w:bCs/>
        <w:sz w:val="20"/>
      </w:rPr>
    </w:pPr>
    <w:r w:rsidRPr="00F04F9A">
      <w:rPr>
        <w:bCs/>
        <w:sz w:val="20"/>
      </w:rPr>
      <w:t>Ref #</w:t>
    </w:r>
    <w:r>
      <w:rPr>
        <w:bCs/>
        <w:sz w:val="20"/>
      </w:rPr>
      <w:t>2019-09</w:t>
    </w:r>
  </w:p>
  <w:p w14:paraId="323707BA" w14:textId="77777777" w:rsidR="008D68D7" w:rsidRDefault="008D68D7"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1F77EF4"/>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86C3A38"/>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2E21901"/>
    <w:multiLevelType w:val="hybridMultilevel"/>
    <w:tmpl w:val="1F6CB4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00823"/>
    <w:multiLevelType w:val="hybridMultilevel"/>
    <w:tmpl w:val="D25CA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606DDA"/>
    <w:multiLevelType w:val="hybridMultilevel"/>
    <w:tmpl w:val="FAC4BD8E"/>
    <w:lvl w:ilvl="0" w:tplc="1010AD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010AD4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A2992"/>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C6452A9"/>
    <w:multiLevelType w:val="hybridMultilevel"/>
    <w:tmpl w:val="7F30B5A2"/>
    <w:lvl w:ilvl="0" w:tplc="2C18EF8C">
      <w:start w:val="1"/>
      <w:numFmt w:val="lowerLetter"/>
      <w:lvlText w:val="%1."/>
      <w:lvlJc w:val="left"/>
      <w:pPr>
        <w:tabs>
          <w:tab w:val="num" w:pos="0"/>
        </w:tabs>
        <w:ind w:left="1440" w:hanging="720"/>
      </w:pPr>
      <w:rPr>
        <w:rFonts w:hint="default"/>
      </w:rPr>
    </w:lvl>
    <w:lvl w:ilvl="1" w:tplc="04EC11C0">
      <w:start w:val="1"/>
      <w:numFmt w:val="lowerRoman"/>
      <w:lvlText w:val="%2."/>
      <w:lvlJc w:val="left"/>
      <w:pPr>
        <w:tabs>
          <w:tab w:val="num" w:pos="2160"/>
        </w:tabs>
        <w:ind w:left="216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C7B4EBE"/>
    <w:multiLevelType w:val="hybridMultilevel"/>
    <w:tmpl w:val="D25CA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976DE1"/>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9170C83"/>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F587763"/>
    <w:multiLevelType w:val="hybridMultilevel"/>
    <w:tmpl w:val="7F30B5A2"/>
    <w:lvl w:ilvl="0" w:tplc="2C18EF8C">
      <w:start w:val="1"/>
      <w:numFmt w:val="lowerLetter"/>
      <w:lvlText w:val="%1."/>
      <w:lvlJc w:val="left"/>
      <w:pPr>
        <w:tabs>
          <w:tab w:val="num" w:pos="0"/>
        </w:tabs>
        <w:ind w:left="1440" w:hanging="720"/>
      </w:pPr>
      <w:rPr>
        <w:rFonts w:hint="default"/>
      </w:rPr>
    </w:lvl>
    <w:lvl w:ilvl="1" w:tplc="04EC11C0">
      <w:start w:val="1"/>
      <w:numFmt w:val="lowerRoman"/>
      <w:lvlText w:val="%2."/>
      <w:lvlJc w:val="left"/>
      <w:pPr>
        <w:tabs>
          <w:tab w:val="num" w:pos="2160"/>
        </w:tabs>
        <w:ind w:left="216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63E1842"/>
    <w:multiLevelType w:val="hybridMultilevel"/>
    <w:tmpl w:val="A9140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03D67"/>
    <w:multiLevelType w:val="hybridMultilevel"/>
    <w:tmpl w:val="AC188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0FC29F1"/>
    <w:multiLevelType w:val="hybridMultilevel"/>
    <w:tmpl w:val="6E649638"/>
    <w:lvl w:ilvl="0" w:tplc="FEA8FD12">
      <w:start w:val="1"/>
      <w:numFmt w:val="lowerRoman"/>
      <w:lvlText w:val="%1."/>
      <w:lvlJc w:val="lef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74F28A2"/>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ACA3E58"/>
    <w:multiLevelType w:val="hybridMultilevel"/>
    <w:tmpl w:val="6E649638"/>
    <w:lvl w:ilvl="0" w:tplc="FEA8FD12">
      <w:start w:val="1"/>
      <w:numFmt w:val="lowerRoman"/>
      <w:lvlText w:val="%1."/>
      <w:lvlJc w:val="lef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E73901"/>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5751639"/>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9B64B4F"/>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D93402A"/>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DBC5D86"/>
    <w:multiLevelType w:val="hybridMultilevel"/>
    <w:tmpl w:val="8A26779E"/>
    <w:lvl w:ilvl="0" w:tplc="B27CBF8A">
      <w:start w:val="12"/>
      <w:numFmt w:val="decimal"/>
      <w:pStyle w:val="ListContinu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24"/>
  </w:num>
  <w:num w:numId="6">
    <w:abstractNumId w:val="5"/>
  </w:num>
  <w:num w:numId="7">
    <w:abstractNumId w:val="9"/>
  </w:num>
  <w:num w:numId="8">
    <w:abstractNumId w:val="16"/>
  </w:num>
  <w:num w:numId="9">
    <w:abstractNumId w:val="23"/>
  </w:num>
  <w:num w:numId="10">
    <w:abstractNumId w:val="20"/>
  </w:num>
  <w:num w:numId="11">
    <w:abstractNumId w:val="7"/>
  </w:num>
  <w:num w:numId="12">
    <w:abstractNumId w:val="17"/>
  </w:num>
  <w:num w:numId="13">
    <w:abstractNumId w:val="3"/>
  </w:num>
  <w:num w:numId="14">
    <w:abstractNumId w:val="12"/>
  </w:num>
  <w:num w:numId="15">
    <w:abstractNumId w:val="13"/>
  </w:num>
  <w:num w:numId="16">
    <w:abstractNumId w:val="18"/>
  </w:num>
  <w:num w:numId="17">
    <w:abstractNumId w:val="4"/>
  </w:num>
  <w:num w:numId="18">
    <w:abstractNumId w:val="8"/>
  </w:num>
  <w:num w:numId="19">
    <w:abstractNumId w:val="21"/>
  </w:num>
  <w:num w:numId="20">
    <w:abstractNumId w:val="11"/>
  </w:num>
  <w:num w:numId="21">
    <w:abstractNumId w:val="22"/>
  </w:num>
  <w:num w:numId="22">
    <w:abstractNumId w:val="6"/>
  </w:num>
  <w:num w:numId="23">
    <w:abstractNumId w:val="10"/>
  </w:num>
  <w:num w:numId="24">
    <w:abstractNumId w:val="14"/>
  </w:num>
  <w:num w:numId="2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9B4"/>
    <w:rsid w:val="00004652"/>
    <w:rsid w:val="000051FD"/>
    <w:rsid w:val="00006D67"/>
    <w:rsid w:val="00016321"/>
    <w:rsid w:val="00017839"/>
    <w:rsid w:val="0002018A"/>
    <w:rsid w:val="0002231C"/>
    <w:rsid w:val="00023609"/>
    <w:rsid w:val="00032B59"/>
    <w:rsid w:val="00034B2F"/>
    <w:rsid w:val="0003706E"/>
    <w:rsid w:val="000428C1"/>
    <w:rsid w:val="000430E7"/>
    <w:rsid w:val="0004584A"/>
    <w:rsid w:val="0005401D"/>
    <w:rsid w:val="000579B6"/>
    <w:rsid w:val="00057B96"/>
    <w:rsid w:val="00062300"/>
    <w:rsid w:val="000753B1"/>
    <w:rsid w:val="000761D7"/>
    <w:rsid w:val="00084977"/>
    <w:rsid w:val="000856AB"/>
    <w:rsid w:val="000856DD"/>
    <w:rsid w:val="0009137A"/>
    <w:rsid w:val="00091380"/>
    <w:rsid w:val="000967FA"/>
    <w:rsid w:val="000A3415"/>
    <w:rsid w:val="000A42EF"/>
    <w:rsid w:val="000C0902"/>
    <w:rsid w:val="000C0C41"/>
    <w:rsid w:val="000D3B0E"/>
    <w:rsid w:val="000D40B9"/>
    <w:rsid w:val="000D6AE8"/>
    <w:rsid w:val="000E1131"/>
    <w:rsid w:val="000E16CA"/>
    <w:rsid w:val="000F164A"/>
    <w:rsid w:val="00101F77"/>
    <w:rsid w:val="001046AA"/>
    <w:rsid w:val="00106427"/>
    <w:rsid w:val="001139FA"/>
    <w:rsid w:val="00124A81"/>
    <w:rsid w:val="00124F80"/>
    <w:rsid w:val="00133830"/>
    <w:rsid w:val="0013539B"/>
    <w:rsid w:val="0015491D"/>
    <w:rsid w:val="00160690"/>
    <w:rsid w:val="001662E7"/>
    <w:rsid w:val="00170277"/>
    <w:rsid w:val="0017749C"/>
    <w:rsid w:val="001776D0"/>
    <w:rsid w:val="00184144"/>
    <w:rsid w:val="0019505A"/>
    <w:rsid w:val="001A43EE"/>
    <w:rsid w:val="001A6D44"/>
    <w:rsid w:val="001B3138"/>
    <w:rsid w:val="001C1371"/>
    <w:rsid w:val="001C3B92"/>
    <w:rsid w:val="001E50B2"/>
    <w:rsid w:val="001F1A4A"/>
    <w:rsid w:val="001F3747"/>
    <w:rsid w:val="001F3CF4"/>
    <w:rsid w:val="001F436D"/>
    <w:rsid w:val="001F46EB"/>
    <w:rsid w:val="001F4A28"/>
    <w:rsid w:val="002011E8"/>
    <w:rsid w:val="00203FF7"/>
    <w:rsid w:val="002046F5"/>
    <w:rsid w:val="00207ED5"/>
    <w:rsid w:val="00221BF8"/>
    <w:rsid w:val="00223F17"/>
    <w:rsid w:val="00230E0B"/>
    <w:rsid w:val="00252C86"/>
    <w:rsid w:val="00261273"/>
    <w:rsid w:val="0026366C"/>
    <w:rsid w:val="00273F92"/>
    <w:rsid w:val="00274AB3"/>
    <w:rsid w:val="00275AB5"/>
    <w:rsid w:val="002A1316"/>
    <w:rsid w:val="002A44FE"/>
    <w:rsid w:val="002A635B"/>
    <w:rsid w:val="002B412F"/>
    <w:rsid w:val="002C0046"/>
    <w:rsid w:val="002D301A"/>
    <w:rsid w:val="002E3CDB"/>
    <w:rsid w:val="002E3DC2"/>
    <w:rsid w:val="002F243C"/>
    <w:rsid w:val="002F590F"/>
    <w:rsid w:val="002F6FF9"/>
    <w:rsid w:val="00304CEC"/>
    <w:rsid w:val="003128F8"/>
    <w:rsid w:val="003148E8"/>
    <w:rsid w:val="0031727E"/>
    <w:rsid w:val="00317CBB"/>
    <w:rsid w:val="00325660"/>
    <w:rsid w:val="003325E9"/>
    <w:rsid w:val="00333FC0"/>
    <w:rsid w:val="003415C3"/>
    <w:rsid w:val="003424D4"/>
    <w:rsid w:val="0034544B"/>
    <w:rsid w:val="00347D82"/>
    <w:rsid w:val="0035609F"/>
    <w:rsid w:val="003564E5"/>
    <w:rsid w:val="00357190"/>
    <w:rsid w:val="00361CD9"/>
    <w:rsid w:val="00363FE2"/>
    <w:rsid w:val="00370C0A"/>
    <w:rsid w:val="003778A3"/>
    <w:rsid w:val="00393DC9"/>
    <w:rsid w:val="0039545F"/>
    <w:rsid w:val="0039600A"/>
    <w:rsid w:val="003B12DE"/>
    <w:rsid w:val="003D3705"/>
    <w:rsid w:val="003D3AD8"/>
    <w:rsid w:val="003D3B8D"/>
    <w:rsid w:val="003E397C"/>
    <w:rsid w:val="003F0C56"/>
    <w:rsid w:val="003F1199"/>
    <w:rsid w:val="003F7A14"/>
    <w:rsid w:val="003F7CA1"/>
    <w:rsid w:val="0040093D"/>
    <w:rsid w:val="00402DF0"/>
    <w:rsid w:val="00422A4F"/>
    <w:rsid w:val="00430217"/>
    <w:rsid w:val="00434970"/>
    <w:rsid w:val="00435DAC"/>
    <w:rsid w:val="0044022E"/>
    <w:rsid w:val="00446244"/>
    <w:rsid w:val="004516AB"/>
    <w:rsid w:val="00452842"/>
    <w:rsid w:val="00461F86"/>
    <w:rsid w:val="00463195"/>
    <w:rsid w:val="004674DA"/>
    <w:rsid w:val="00473EEA"/>
    <w:rsid w:val="00476AE6"/>
    <w:rsid w:val="004829CD"/>
    <w:rsid w:val="0048680B"/>
    <w:rsid w:val="00486D15"/>
    <w:rsid w:val="00490996"/>
    <w:rsid w:val="004953BB"/>
    <w:rsid w:val="0049733D"/>
    <w:rsid w:val="004A166E"/>
    <w:rsid w:val="004A5F7E"/>
    <w:rsid w:val="004B11E4"/>
    <w:rsid w:val="004B51B6"/>
    <w:rsid w:val="004C6362"/>
    <w:rsid w:val="004D0F03"/>
    <w:rsid w:val="004D40AD"/>
    <w:rsid w:val="004D4855"/>
    <w:rsid w:val="004D6A82"/>
    <w:rsid w:val="004E2BB9"/>
    <w:rsid w:val="004E3B7D"/>
    <w:rsid w:val="004E3CCB"/>
    <w:rsid w:val="004E5687"/>
    <w:rsid w:val="004E58E2"/>
    <w:rsid w:val="004E5AA2"/>
    <w:rsid w:val="00502A9F"/>
    <w:rsid w:val="00503D03"/>
    <w:rsid w:val="00506A5D"/>
    <w:rsid w:val="00521A6D"/>
    <w:rsid w:val="005257BF"/>
    <w:rsid w:val="0053330E"/>
    <w:rsid w:val="00541644"/>
    <w:rsid w:val="005439D0"/>
    <w:rsid w:val="00562444"/>
    <w:rsid w:val="00572AED"/>
    <w:rsid w:val="00575468"/>
    <w:rsid w:val="00581E27"/>
    <w:rsid w:val="00596C30"/>
    <w:rsid w:val="005A259E"/>
    <w:rsid w:val="005B6A96"/>
    <w:rsid w:val="005C40BE"/>
    <w:rsid w:val="005D104A"/>
    <w:rsid w:val="005D753E"/>
    <w:rsid w:val="005E15E0"/>
    <w:rsid w:val="00601358"/>
    <w:rsid w:val="00610D76"/>
    <w:rsid w:val="00620CAC"/>
    <w:rsid w:val="00621E93"/>
    <w:rsid w:val="00624E04"/>
    <w:rsid w:val="00625196"/>
    <w:rsid w:val="00626152"/>
    <w:rsid w:val="0062670E"/>
    <w:rsid w:val="00626EC0"/>
    <w:rsid w:val="00630368"/>
    <w:rsid w:val="00634598"/>
    <w:rsid w:val="00637C40"/>
    <w:rsid w:val="006470D1"/>
    <w:rsid w:val="00654938"/>
    <w:rsid w:val="00676A9F"/>
    <w:rsid w:val="00677DCD"/>
    <w:rsid w:val="006809FD"/>
    <w:rsid w:val="00681DC9"/>
    <w:rsid w:val="00683433"/>
    <w:rsid w:val="00690138"/>
    <w:rsid w:val="006A7E76"/>
    <w:rsid w:val="006B33F3"/>
    <w:rsid w:val="006B3694"/>
    <w:rsid w:val="006B37DD"/>
    <w:rsid w:val="006B5481"/>
    <w:rsid w:val="006C0D06"/>
    <w:rsid w:val="006C2CD4"/>
    <w:rsid w:val="006D0C67"/>
    <w:rsid w:val="006D3A59"/>
    <w:rsid w:val="006D4D92"/>
    <w:rsid w:val="006E057B"/>
    <w:rsid w:val="006E63D6"/>
    <w:rsid w:val="006E6EE6"/>
    <w:rsid w:val="007000C2"/>
    <w:rsid w:val="00706B68"/>
    <w:rsid w:val="00715743"/>
    <w:rsid w:val="0072525D"/>
    <w:rsid w:val="007306B9"/>
    <w:rsid w:val="00730DB6"/>
    <w:rsid w:val="007415EE"/>
    <w:rsid w:val="0074334D"/>
    <w:rsid w:val="00756AE3"/>
    <w:rsid w:val="00757363"/>
    <w:rsid w:val="007574AB"/>
    <w:rsid w:val="00761440"/>
    <w:rsid w:val="007631AC"/>
    <w:rsid w:val="00774EEB"/>
    <w:rsid w:val="007767B8"/>
    <w:rsid w:val="007774AA"/>
    <w:rsid w:val="007774EA"/>
    <w:rsid w:val="00794B81"/>
    <w:rsid w:val="007955A0"/>
    <w:rsid w:val="00795898"/>
    <w:rsid w:val="007A0536"/>
    <w:rsid w:val="007A3593"/>
    <w:rsid w:val="007A52D0"/>
    <w:rsid w:val="007B4554"/>
    <w:rsid w:val="007D5D86"/>
    <w:rsid w:val="007F1389"/>
    <w:rsid w:val="007F344C"/>
    <w:rsid w:val="007F7A03"/>
    <w:rsid w:val="00801505"/>
    <w:rsid w:val="00813347"/>
    <w:rsid w:val="008148B5"/>
    <w:rsid w:val="00826B0A"/>
    <w:rsid w:val="00834B0A"/>
    <w:rsid w:val="00840C5F"/>
    <w:rsid w:val="00841DB5"/>
    <w:rsid w:val="00850A97"/>
    <w:rsid w:val="00857863"/>
    <w:rsid w:val="00865809"/>
    <w:rsid w:val="008758B4"/>
    <w:rsid w:val="00883E5D"/>
    <w:rsid w:val="008869A6"/>
    <w:rsid w:val="00886B8D"/>
    <w:rsid w:val="008A2BAC"/>
    <w:rsid w:val="008A3153"/>
    <w:rsid w:val="008B1DD0"/>
    <w:rsid w:val="008B447E"/>
    <w:rsid w:val="008C3A60"/>
    <w:rsid w:val="008C59AA"/>
    <w:rsid w:val="008D68D7"/>
    <w:rsid w:val="008E4647"/>
    <w:rsid w:val="008F573D"/>
    <w:rsid w:val="008F6375"/>
    <w:rsid w:val="009000E8"/>
    <w:rsid w:val="009007E4"/>
    <w:rsid w:val="0090236C"/>
    <w:rsid w:val="00910D1F"/>
    <w:rsid w:val="0092196B"/>
    <w:rsid w:val="00922303"/>
    <w:rsid w:val="009231CB"/>
    <w:rsid w:val="009249B4"/>
    <w:rsid w:val="009337FE"/>
    <w:rsid w:val="0094369C"/>
    <w:rsid w:val="00945182"/>
    <w:rsid w:val="00947118"/>
    <w:rsid w:val="00957780"/>
    <w:rsid w:val="009658C4"/>
    <w:rsid w:val="0097101C"/>
    <w:rsid w:val="00971236"/>
    <w:rsid w:val="009717BA"/>
    <w:rsid w:val="0097219F"/>
    <w:rsid w:val="00972A11"/>
    <w:rsid w:val="00975903"/>
    <w:rsid w:val="00976658"/>
    <w:rsid w:val="00980638"/>
    <w:rsid w:val="00984FA6"/>
    <w:rsid w:val="0098632A"/>
    <w:rsid w:val="009967BA"/>
    <w:rsid w:val="009979E2"/>
    <w:rsid w:val="009A2191"/>
    <w:rsid w:val="009A244D"/>
    <w:rsid w:val="009A2590"/>
    <w:rsid w:val="009A2E12"/>
    <w:rsid w:val="009A65BD"/>
    <w:rsid w:val="009B20EB"/>
    <w:rsid w:val="009B5DA6"/>
    <w:rsid w:val="009B7BE4"/>
    <w:rsid w:val="009C06F0"/>
    <w:rsid w:val="009C702B"/>
    <w:rsid w:val="009D171A"/>
    <w:rsid w:val="009D416D"/>
    <w:rsid w:val="009D47B3"/>
    <w:rsid w:val="009D4A56"/>
    <w:rsid w:val="009F05FC"/>
    <w:rsid w:val="009F1E4C"/>
    <w:rsid w:val="00A007B6"/>
    <w:rsid w:val="00A11581"/>
    <w:rsid w:val="00A1454D"/>
    <w:rsid w:val="00A202AF"/>
    <w:rsid w:val="00A328F4"/>
    <w:rsid w:val="00A36FA6"/>
    <w:rsid w:val="00A37488"/>
    <w:rsid w:val="00A4209E"/>
    <w:rsid w:val="00A51959"/>
    <w:rsid w:val="00A52E93"/>
    <w:rsid w:val="00A63D2A"/>
    <w:rsid w:val="00A82C39"/>
    <w:rsid w:val="00A92C59"/>
    <w:rsid w:val="00AA1DC0"/>
    <w:rsid w:val="00AA3133"/>
    <w:rsid w:val="00AA6691"/>
    <w:rsid w:val="00AB022A"/>
    <w:rsid w:val="00AC14AF"/>
    <w:rsid w:val="00AD750E"/>
    <w:rsid w:val="00AE6149"/>
    <w:rsid w:val="00AE74CF"/>
    <w:rsid w:val="00AF01E6"/>
    <w:rsid w:val="00AF3C18"/>
    <w:rsid w:val="00B03F69"/>
    <w:rsid w:val="00B057D0"/>
    <w:rsid w:val="00B10C19"/>
    <w:rsid w:val="00B12C38"/>
    <w:rsid w:val="00B14397"/>
    <w:rsid w:val="00B16DFA"/>
    <w:rsid w:val="00B30CA0"/>
    <w:rsid w:val="00B3143E"/>
    <w:rsid w:val="00B41EA7"/>
    <w:rsid w:val="00B448BC"/>
    <w:rsid w:val="00B65A8C"/>
    <w:rsid w:val="00B71A12"/>
    <w:rsid w:val="00B73A42"/>
    <w:rsid w:val="00B86F57"/>
    <w:rsid w:val="00BA3DAA"/>
    <w:rsid w:val="00BB19C3"/>
    <w:rsid w:val="00BB5939"/>
    <w:rsid w:val="00BB7CB1"/>
    <w:rsid w:val="00BD3FA9"/>
    <w:rsid w:val="00BD5884"/>
    <w:rsid w:val="00BD6252"/>
    <w:rsid w:val="00BE3488"/>
    <w:rsid w:val="00BE3CF2"/>
    <w:rsid w:val="00BF4898"/>
    <w:rsid w:val="00BF5391"/>
    <w:rsid w:val="00C04FA0"/>
    <w:rsid w:val="00C051DB"/>
    <w:rsid w:val="00C1206E"/>
    <w:rsid w:val="00C14BDC"/>
    <w:rsid w:val="00C23C10"/>
    <w:rsid w:val="00C23F32"/>
    <w:rsid w:val="00C24D35"/>
    <w:rsid w:val="00C26B71"/>
    <w:rsid w:val="00C427EA"/>
    <w:rsid w:val="00C444F9"/>
    <w:rsid w:val="00C4767C"/>
    <w:rsid w:val="00C55391"/>
    <w:rsid w:val="00C61A39"/>
    <w:rsid w:val="00C6544D"/>
    <w:rsid w:val="00C77879"/>
    <w:rsid w:val="00C80F8D"/>
    <w:rsid w:val="00C82065"/>
    <w:rsid w:val="00C8341A"/>
    <w:rsid w:val="00C9066D"/>
    <w:rsid w:val="00C90D11"/>
    <w:rsid w:val="00C935B0"/>
    <w:rsid w:val="00CA39BF"/>
    <w:rsid w:val="00CA574C"/>
    <w:rsid w:val="00CA74EA"/>
    <w:rsid w:val="00CB1E29"/>
    <w:rsid w:val="00CB7CFA"/>
    <w:rsid w:val="00CC46DA"/>
    <w:rsid w:val="00CC53AA"/>
    <w:rsid w:val="00CC68BC"/>
    <w:rsid w:val="00CD0BA2"/>
    <w:rsid w:val="00CD50FB"/>
    <w:rsid w:val="00CE1342"/>
    <w:rsid w:val="00CE3B76"/>
    <w:rsid w:val="00CE5C41"/>
    <w:rsid w:val="00CE6A7E"/>
    <w:rsid w:val="00CF3623"/>
    <w:rsid w:val="00CF3750"/>
    <w:rsid w:val="00D00320"/>
    <w:rsid w:val="00D1513E"/>
    <w:rsid w:val="00D16D25"/>
    <w:rsid w:val="00D21513"/>
    <w:rsid w:val="00D27443"/>
    <w:rsid w:val="00D46E62"/>
    <w:rsid w:val="00D506C4"/>
    <w:rsid w:val="00D55D77"/>
    <w:rsid w:val="00D66E13"/>
    <w:rsid w:val="00D72766"/>
    <w:rsid w:val="00D75D4C"/>
    <w:rsid w:val="00D924B0"/>
    <w:rsid w:val="00D92712"/>
    <w:rsid w:val="00D92EF5"/>
    <w:rsid w:val="00DA1C46"/>
    <w:rsid w:val="00DB3047"/>
    <w:rsid w:val="00DB65BF"/>
    <w:rsid w:val="00DB773D"/>
    <w:rsid w:val="00DC071A"/>
    <w:rsid w:val="00DC47CB"/>
    <w:rsid w:val="00DF31E1"/>
    <w:rsid w:val="00E077F0"/>
    <w:rsid w:val="00E136A0"/>
    <w:rsid w:val="00E15C8D"/>
    <w:rsid w:val="00E2329B"/>
    <w:rsid w:val="00E2404E"/>
    <w:rsid w:val="00E2462E"/>
    <w:rsid w:val="00E30ACC"/>
    <w:rsid w:val="00E44BF8"/>
    <w:rsid w:val="00E544A4"/>
    <w:rsid w:val="00E556A3"/>
    <w:rsid w:val="00E60C33"/>
    <w:rsid w:val="00E63596"/>
    <w:rsid w:val="00E65747"/>
    <w:rsid w:val="00E65E7C"/>
    <w:rsid w:val="00E90A65"/>
    <w:rsid w:val="00E9534C"/>
    <w:rsid w:val="00E97041"/>
    <w:rsid w:val="00EA2736"/>
    <w:rsid w:val="00EA2C14"/>
    <w:rsid w:val="00EB572D"/>
    <w:rsid w:val="00EC09C5"/>
    <w:rsid w:val="00EC15C1"/>
    <w:rsid w:val="00EC61F1"/>
    <w:rsid w:val="00EF0A91"/>
    <w:rsid w:val="00EF3995"/>
    <w:rsid w:val="00EF720B"/>
    <w:rsid w:val="00F04F9A"/>
    <w:rsid w:val="00F05F13"/>
    <w:rsid w:val="00F168AE"/>
    <w:rsid w:val="00F179AD"/>
    <w:rsid w:val="00F204AD"/>
    <w:rsid w:val="00F314FE"/>
    <w:rsid w:val="00F36D97"/>
    <w:rsid w:val="00F4168C"/>
    <w:rsid w:val="00F4438B"/>
    <w:rsid w:val="00F45D51"/>
    <w:rsid w:val="00F50683"/>
    <w:rsid w:val="00F65B19"/>
    <w:rsid w:val="00F700DF"/>
    <w:rsid w:val="00F723F1"/>
    <w:rsid w:val="00F858B9"/>
    <w:rsid w:val="00FA20BE"/>
    <w:rsid w:val="00FB0ACF"/>
    <w:rsid w:val="00FB5409"/>
    <w:rsid w:val="00FC4552"/>
    <w:rsid w:val="00FD6C3A"/>
    <w:rsid w:val="00FE0FF7"/>
    <w:rsid w:val="00FE7FAA"/>
    <w:rsid w:val="00FF1017"/>
    <w:rsid w:val="00FF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54A23D67"/>
  <w15:docId w15:val="{C664E43D-284A-42DF-926E-9C62314E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99"/>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43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uiPriority w:val="22"/>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9658C4"/>
    <w:pPr>
      <w:ind w:left="720"/>
    </w:pPr>
    <w:rPr>
      <w:sz w:val="22"/>
    </w:rPr>
  </w:style>
  <w:style w:type="paragraph" w:customStyle="1" w:styleId="ListContinued">
    <w:name w:val="List Continued"/>
    <w:basedOn w:val="Normal"/>
    <w:qFormat/>
    <w:rsid w:val="009658C4"/>
    <w:pPr>
      <w:numPr>
        <w:numId w:val="5"/>
      </w:numPr>
      <w:spacing w:after="220"/>
      <w:jc w:val="both"/>
    </w:pPr>
    <w:rPr>
      <w:rFonts w:ascii="Times" w:hAnsi="Times"/>
      <w:sz w:val="22"/>
      <w:szCs w:val="20"/>
    </w:rPr>
  </w:style>
  <w:style w:type="character" w:customStyle="1" w:styleId="CharChar">
    <w:name w:val="Char Char"/>
    <w:rsid w:val="009658C4"/>
    <w:rPr>
      <w:sz w:val="22"/>
      <w:lang w:val="en-US" w:eastAsia="en-US" w:bidi="ar-SA"/>
    </w:rPr>
  </w:style>
  <w:style w:type="character" w:customStyle="1" w:styleId="FootnoteTextChar">
    <w:name w:val="Footnote Text Char"/>
    <w:aliases w:val="Car Char"/>
    <w:link w:val="FootnoteText"/>
    <w:rsid w:val="003D3705"/>
  </w:style>
  <w:style w:type="character" w:customStyle="1" w:styleId="Heading2Char">
    <w:name w:val="Heading 2 Char"/>
    <w:basedOn w:val="DefaultParagraphFont"/>
    <w:link w:val="Heading2"/>
    <w:rsid w:val="00D27443"/>
    <w:rPr>
      <w:sz w:val="24"/>
    </w:rPr>
  </w:style>
  <w:style w:type="paragraph" w:customStyle="1" w:styleId="TOC2">
    <w:name w:val="TOC2"/>
    <w:basedOn w:val="Heading1"/>
    <w:link w:val="TOC2Char"/>
    <w:qFormat/>
    <w:rsid w:val="0094369C"/>
    <w:pPr>
      <w:keepNext w:val="0"/>
      <w:keepLines w:val="0"/>
      <w:tabs>
        <w:tab w:val="left" w:pos="1080"/>
      </w:tabs>
      <w:spacing w:before="0" w:after="220"/>
      <w:ind w:left="720"/>
      <w:jc w:val="both"/>
    </w:pPr>
    <w:rPr>
      <w:rFonts w:ascii="Times New Roman" w:eastAsia="Times New Roman" w:hAnsi="Times New Roman" w:cs="Times New Roman"/>
      <w:bCs w:val="0"/>
      <w:color w:val="auto"/>
      <w:sz w:val="22"/>
      <w:szCs w:val="22"/>
    </w:rPr>
  </w:style>
  <w:style w:type="character" w:customStyle="1" w:styleId="TOC2Char">
    <w:name w:val="TOC2 Char"/>
    <w:link w:val="TOC2"/>
    <w:rsid w:val="0094369C"/>
    <w:rPr>
      <w:b/>
      <w:sz w:val="22"/>
      <w:szCs w:val="22"/>
    </w:rPr>
  </w:style>
  <w:style w:type="character" w:customStyle="1" w:styleId="Heading1Char">
    <w:name w:val="Heading 1 Char"/>
    <w:basedOn w:val="DefaultParagraphFont"/>
    <w:link w:val="Heading1"/>
    <w:rsid w:val="0094369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02231C"/>
    <w:rPr>
      <w:rFonts w:ascii="Tahoma" w:hAnsi="Tahoma" w:cs="Tahoma"/>
      <w:sz w:val="16"/>
      <w:szCs w:val="16"/>
    </w:rPr>
  </w:style>
  <w:style w:type="character" w:customStyle="1" w:styleId="BalloonTextChar">
    <w:name w:val="Balloon Text Char"/>
    <w:basedOn w:val="DefaultParagraphFont"/>
    <w:link w:val="BalloonText"/>
    <w:rsid w:val="0002231C"/>
    <w:rPr>
      <w:rFonts w:ascii="Tahoma" w:hAnsi="Tahoma" w:cs="Tahoma"/>
      <w:sz w:val="16"/>
      <w:szCs w:val="16"/>
    </w:rPr>
  </w:style>
  <w:style w:type="paragraph" w:styleId="PlainText">
    <w:name w:val="Plain Text"/>
    <w:basedOn w:val="Normal"/>
    <w:link w:val="PlainTextChar"/>
    <w:uiPriority w:val="99"/>
    <w:unhideWhenUsed/>
    <w:rsid w:val="003F119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F1199"/>
    <w:rPr>
      <w:rFonts w:ascii="Calibri" w:eastAsiaTheme="minorHAnsi" w:hAnsi="Calibri" w:cs="Consolas"/>
      <w:sz w:val="22"/>
      <w:szCs w:val="21"/>
    </w:rPr>
  </w:style>
  <w:style w:type="table" w:styleId="TableGrid">
    <w:name w:val="Table Grid"/>
    <w:basedOn w:val="TableNormal"/>
    <w:rsid w:val="00F4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5468"/>
    <w:rPr>
      <w:i/>
      <w:iCs/>
    </w:rPr>
  </w:style>
  <w:style w:type="paragraph" w:styleId="Revision">
    <w:name w:val="Revision"/>
    <w:hidden/>
    <w:uiPriority w:val="99"/>
    <w:semiHidden/>
    <w:rsid w:val="00AB022A"/>
    <w:rPr>
      <w:sz w:val="24"/>
      <w:szCs w:val="24"/>
    </w:rPr>
  </w:style>
  <w:style w:type="character" w:customStyle="1" w:styleId="norm-text">
    <w:name w:val="norm-text"/>
    <w:basedOn w:val="DefaultParagraphFont"/>
    <w:rsid w:val="00CB1E29"/>
  </w:style>
  <w:style w:type="character" w:customStyle="1" w:styleId="sfragbrackets">
    <w:name w:val="sfrag_brackets"/>
    <w:basedOn w:val="DefaultParagraphFont"/>
    <w:rsid w:val="00CB1E29"/>
  </w:style>
  <w:style w:type="character" w:customStyle="1" w:styleId="sfragdata">
    <w:name w:val="sfragdata"/>
    <w:basedOn w:val="DefaultParagraphFont"/>
    <w:rsid w:val="00CB1E29"/>
  </w:style>
  <w:style w:type="paragraph" w:customStyle="1" w:styleId="Indent1">
    <w:name w:val="Indent 1&quot;"/>
    <w:basedOn w:val="Indent5"/>
    <w:rsid w:val="009D4A56"/>
    <w:pPr>
      <w:ind w:left="1440"/>
    </w:pPr>
  </w:style>
  <w:style w:type="character" w:customStyle="1" w:styleId="inlinewhereami">
    <w:name w:val="inlinewhereami"/>
    <w:basedOn w:val="DefaultParagraphFont"/>
    <w:rsid w:val="00FD6C3A"/>
  </w:style>
  <w:style w:type="character" w:customStyle="1" w:styleId="searchmatch">
    <w:name w:val="search_match"/>
    <w:basedOn w:val="DefaultParagraphFont"/>
    <w:rsid w:val="00FD6C3A"/>
  </w:style>
  <w:style w:type="paragraph" w:styleId="NormalWeb">
    <w:name w:val="Normal (Web)"/>
    <w:basedOn w:val="Normal"/>
    <w:uiPriority w:val="99"/>
    <w:unhideWhenUsed/>
    <w:rsid w:val="004E5687"/>
    <w:pPr>
      <w:spacing w:before="100" w:beforeAutospacing="1" w:after="100" w:afterAutospacing="1"/>
    </w:pPr>
  </w:style>
  <w:style w:type="character" w:styleId="CommentReference">
    <w:name w:val="annotation reference"/>
    <w:basedOn w:val="DefaultParagraphFont"/>
    <w:rsid w:val="00D46E62"/>
    <w:rPr>
      <w:sz w:val="16"/>
      <w:szCs w:val="16"/>
    </w:rPr>
  </w:style>
  <w:style w:type="paragraph" w:styleId="CommentText">
    <w:name w:val="annotation text"/>
    <w:basedOn w:val="Normal"/>
    <w:link w:val="CommentTextChar"/>
    <w:rsid w:val="00D46E62"/>
    <w:rPr>
      <w:sz w:val="20"/>
      <w:szCs w:val="20"/>
    </w:rPr>
  </w:style>
  <w:style w:type="character" w:customStyle="1" w:styleId="CommentTextChar">
    <w:name w:val="Comment Text Char"/>
    <w:basedOn w:val="DefaultParagraphFont"/>
    <w:link w:val="CommentText"/>
    <w:rsid w:val="00D46E62"/>
  </w:style>
  <w:style w:type="paragraph" w:styleId="CommentSubject">
    <w:name w:val="annotation subject"/>
    <w:basedOn w:val="CommentText"/>
    <w:next w:val="CommentText"/>
    <w:link w:val="CommentSubjectChar"/>
    <w:rsid w:val="00D46E62"/>
    <w:rPr>
      <w:b/>
      <w:bCs/>
    </w:rPr>
  </w:style>
  <w:style w:type="character" w:customStyle="1" w:styleId="CommentSubjectChar">
    <w:name w:val="Comment Subject Char"/>
    <w:basedOn w:val="CommentTextChar"/>
    <w:link w:val="CommentSubject"/>
    <w:rsid w:val="00D46E62"/>
    <w:rPr>
      <w:b/>
      <w:bCs/>
    </w:rPr>
  </w:style>
  <w:style w:type="paragraph" w:styleId="NoSpacing">
    <w:name w:val="No Spacing"/>
    <w:uiPriority w:val="1"/>
    <w:qFormat/>
    <w:rsid w:val="00AF3C18"/>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A74EA"/>
    <w:rPr>
      <w:color w:val="605E5C"/>
      <w:shd w:val="clear" w:color="auto" w:fill="E1DFDD"/>
    </w:rPr>
  </w:style>
  <w:style w:type="paragraph" w:styleId="ListContinue3">
    <w:name w:val="List Continue 3"/>
    <w:basedOn w:val="Normal"/>
    <w:uiPriority w:val="99"/>
    <w:unhideWhenUsed/>
    <w:rsid w:val="00E2329B"/>
    <w:pPr>
      <w:spacing w:after="120"/>
      <w:ind w:left="1080"/>
      <w:contextualSpacing/>
      <w:jc w:val="both"/>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2353">
      <w:bodyDiv w:val="1"/>
      <w:marLeft w:val="0"/>
      <w:marRight w:val="0"/>
      <w:marTop w:val="0"/>
      <w:marBottom w:val="0"/>
      <w:divBdr>
        <w:top w:val="none" w:sz="0" w:space="0" w:color="auto"/>
        <w:left w:val="none" w:sz="0" w:space="0" w:color="auto"/>
        <w:bottom w:val="none" w:sz="0" w:space="0" w:color="auto"/>
        <w:right w:val="none" w:sz="0" w:space="0" w:color="auto"/>
      </w:divBdr>
    </w:div>
    <w:div w:id="412239082">
      <w:bodyDiv w:val="1"/>
      <w:marLeft w:val="0"/>
      <w:marRight w:val="0"/>
      <w:marTop w:val="0"/>
      <w:marBottom w:val="0"/>
      <w:divBdr>
        <w:top w:val="none" w:sz="0" w:space="0" w:color="auto"/>
        <w:left w:val="none" w:sz="0" w:space="0" w:color="auto"/>
        <w:bottom w:val="none" w:sz="0" w:space="0" w:color="auto"/>
        <w:right w:val="none" w:sz="0" w:space="0" w:color="auto"/>
      </w:divBdr>
    </w:div>
    <w:div w:id="418450855">
      <w:bodyDiv w:val="1"/>
      <w:marLeft w:val="0"/>
      <w:marRight w:val="0"/>
      <w:marTop w:val="0"/>
      <w:marBottom w:val="0"/>
      <w:divBdr>
        <w:top w:val="none" w:sz="0" w:space="0" w:color="auto"/>
        <w:left w:val="none" w:sz="0" w:space="0" w:color="auto"/>
        <w:bottom w:val="none" w:sz="0" w:space="0" w:color="auto"/>
        <w:right w:val="none" w:sz="0" w:space="0" w:color="auto"/>
      </w:divBdr>
    </w:div>
    <w:div w:id="695154426">
      <w:bodyDiv w:val="1"/>
      <w:marLeft w:val="0"/>
      <w:marRight w:val="0"/>
      <w:marTop w:val="0"/>
      <w:marBottom w:val="0"/>
      <w:divBdr>
        <w:top w:val="none" w:sz="0" w:space="0" w:color="auto"/>
        <w:left w:val="none" w:sz="0" w:space="0" w:color="auto"/>
        <w:bottom w:val="none" w:sz="0" w:space="0" w:color="auto"/>
        <w:right w:val="none" w:sz="0" w:space="0" w:color="auto"/>
      </w:divBdr>
    </w:div>
    <w:div w:id="932280394">
      <w:bodyDiv w:val="1"/>
      <w:marLeft w:val="0"/>
      <w:marRight w:val="0"/>
      <w:marTop w:val="0"/>
      <w:marBottom w:val="0"/>
      <w:divBdr>
        <w:top w:val="none" w:sz="0" w:space="0" w:color="auto"/>
        <w:left w:val="none" w:sz="0" w:space="0" w:color="auto"/>
        <w:bottom w:val="none" w:sz="0" w:space="0" w:color="auto"/>
        <w:right w:val="none" w:sz="0" w:space="0" w:color="auto"/>
      </w:divBdr>
    </w:div>
    <w:div w:id="969240004">
      <w:bodyDiv w:val="1"/>
      <w:marLeft w:val="0"/>
      <w:marRight w:val="0"/>
      <w:marTop w:val="0"/>
      <w:marBottom w:val="0"/>
      <w:divBdr>
        <w:top w:val="none" w:sz="0" w:space="0" w:color="auto"/>
        <w:left w:val="none" w:sz="0" w:space="0" w:color="auto"/>
        <w:bottom w:val="none" w:sz="0" w:space="0" w:color="auto"/>
        <w:right w:val="none" w:sz="0" w:space="0" w:color="auto"/>
      </w:divBdr>
      <w:divsChild>
        <w:div w:id="1322385971">
          <w:marLeft w:val="0"/>
          <w:marRight w:val="0"/>
          <w:marTop w:val="0"/>
          <w:marBottom w:val="240"/>
          <w:divBdr>
            <w:top w:val="none" w:sz="0" w:space="0" w:color="auto"/>
            <w:left w:val="none" w:sz="0" w:space="0" w:color="auto"/>
            <w:bottom w:val="none" w:sz="0" w:space="0" w:color="auto"/>
            <w:right w:val="none" w:sz="0" w:space="0" w:color="auto"/>
          </w:divBdr>
        </w:div>
        <w:div w:id="1751078239">
          <w:marLeft w:val="0"/>
          <w:marRight w:val="0"/>
          <w:marTop w:val="0"/>
          <w:marBottom w:val="240"/>
          <w:divBdr>
            <w:top w:val="none" w:sz="0" w:space="0" w:color="auto"/>
            <w:left w:val="none" w:sz="0" w:space="0" w:color="auto"/>
            <w:bottom w:val="none" w:sz="0" w:space="0" w:color="auto"/>
            <w:right w:val="none" w:sz="0" w:space="0" w:color="auto"/>
          </w:divBdr>
        </w:div>
        <w:div w:id="998075204">
          <w:marLeft w:val="0"/>
          <w:marRight w:val="0"/>
          <w:marTop w:val="0"/>
          <w:marBottom w:val="240"/>
          <w:divBdr>
            <w:top w:val="none" w:sz="0" w:space="0" w:color="auto"/>
            <w:left w:val="none" w:sz="0" w:space="0" w:color="auto"/>
            <w:bottom w:val="none" w:sz="0" w:space="0" w:color="auto"/>
            <w:right w:val="none" w:sz="0" w:space="0" w:color="auto"/>
          </w:divBdr>
        </w:div>
      </w:divsChild>
    </w:div>
    <w:div w:id="1052732819">
      <w:bodyDiv w:val="1"/>
      <w:marLeft w:val="0"/>
      <w:marRight w:val="0"/>
      <w:marTop w:val="0"/>
      <w:marBottom w:val="0"/>
      <w:divBdr>
        <w:top w:val="none" w:sz="0" w:space="0" w:color="auto"/>
        <w:left w:val="none" w:sz="0" w:space="0" w:color="auto"/>
        <w:bottom w:val="none" w:sz="0" w:space="0" w:color="auto"/>
        <w:right w:val="none" w:sz="0" w:space="0" w:color="auto"/>
      </w:divBdr>
    </w:div>
    <w:div w:id="1077635496">
      <w:bodyDiv w:val="1"/>
      <w:marLeft w:val="0"/>
      <w:marRight w:val="0"/>
      <w:marTop w:val="0"/>
      <w:marBottom w:val="0"/>
      <w:divBdr>
        <w:top w:val="none" w:sz="0" w:space="0" w:color="auto"/>
        <w:left w:val="none" w:sz="0" w:space="0" w:color="auto"/>
        <w:bottom w:val="none" w:sz="0" w:space="0" w:color="auto"/>
        <w:right w:val="none" w:sz="0" w:space="0" w:color="auto"/>
      </w:divBdr>
    </w:div>
    <w:div w:id="1219052270">
      <w:bodyDiv w:val="1"/>
      <w:marLeft w:val="0"/>
      <w:marRight w:val="0"/>
      <w:marTop w:val="0"/>
      <w:marBottom w:val="0"/>
      <w:divBdr>
        <w:top w:val="none" w:sz="0" w:space="0" w:color="auto"/>
        <w:left w:val="none" w:sz="0" w:space="0" w:color="auto"/>
        <w:bottom w:val="none" w:sz="0" w:space="0" w:color="auto"/>
        <w:right w:val="none" w:sz="0" w:space="0" w:color="auto"/>
      </w:divBdr>
    </w:div>
    <w:div w:id="1357803643">
      <w:bodyDiv w:val="1"/>
      <w:marLeft w:val="0"/>
      <w:marRight w:val="0"/>
      <w:marTop w:val="0"/>
      <w:marBottom w:val="0"/>
      <w:divBdr>
        <w:top w:val="none" w:sz="0" w:space="0" w:color="auto"/>
        <w:left w:val="none" w:sz="0" w:space="0" w:color="auto"/>
        <w:bottom w:val="none" w:sz="0" w:space="0" w:color="auto"/>
        <w:right w:val="none" w:sz="0" w:space="0" w:color="auto"/>
      </w:divBdr>
      <w:divsChild>
        <w:div w:id="1952931170">
          <w:marLeft w:val="0"/>
          <w:marRight w:val="0"/>
          <w:marTop w:val="0"/>
          <w:marBottom w:val="240"/>
          <w:divBdr>
            <w:top w:val="none" w:sz="0" w:space="0" w:color="auto"/>
            <w:left w:val="none" w:sz="0" w:space="0" w:color="auto"/>
            <w:bottom w:val="none" w:sz="0" w:space="0" w:color="auto"/>
            <w:right w:val="none" w:sz="0" w:space="0" w:color="auto"/>
          </w:divBdr>
        </w:div>
        <w:div w:id="1995329053">
          <w:marLeft w:val="0"/>
          <w:marRight w:val="0"/>
          <w:marTop w:val="0"/>
          <w:marBottom w:val="300"/>
          <w:divBdr>
            <w:top w:val="none" w:sz="0" w:space="0" w:color="auto"/>
            <w:left w:val="none" w:sz="0" w:space="0" w:color="auto"/>
            <w:bottom w:val="none" w:sz="0" w:space="0" w:color="auto"/>
            <w:right w:val="none" w:sz="0" w:space="0" w:color="auto"/>
          </w:divBdr>
          <w:divsChild>
            <w:div w:id="774907196">
              <w:marLeft w:val="0"/>
              <w:marRight w:val="0"/>
              <w:marTop w:val="240"/>
              <w:marBottom w:val="0"/>
              <w:divBdr>
                <w:top w:val="none" w:sz="0" w:space="0" w:color="auto"/>
                <w:left w:val="none" w:sz="0" w:space="0" w:color="auto"/>
                <w:bottom w:val="none" w:sz="0" w:space="0" w:color="auto"/>
                <w:right w:val="none" w:sz="0" w:space="0" w:color="auto"/>
              </w:divBdr>
              <w:divsChild>
                <w:div w:id="13983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03810">
      <w:bodyDiv w:val="1"/>
      <w:marLeft w:val="0"/>
      <w:marRight w:val="0"/>
      <w:marTop w:val="0"/>
      <w:marBottom w:val="0"/>
      <w:divBdr>
        <w:top w:val="none" w:sz="0" w:space="0" w:color="auto"/>
        <w:left w:val="none" w:sz="0" w:space="0" w:color="auto"/>
        <w:bottom w:val="none" w:sz="0" w:space="0" w:color="auto"/>
        <w:right w:val="none" w:sz="0" w:space="0" w:color="auto"/>
      </w:divBdr>
    </w:div>
    <w:div w:id="1638559928">
      <w:bodyDiv w:val="1"/>
      <w:marLeft w:val="0"/>
      <w:marRight w:val="0"/>
      <w:marTop w:val="0"/>
      <w:marBottom w:val="0"/>
      <w:divBdr>
        <w:top w:val="none" w:sz="0" w:space="0" w:color="auto"/>
        <w:left w:val="none" w:sz="0" w:space="0" w:color="auto"/>
        <w:bottom w:val="none" w:sz="0" w:space="0" w:color="auto"/>
        <w:right w:val="none" w:sz="0" w:space="0" w:color="auto"/>
      </w:divBdr>
    </w:div>
    <w:div w:id="1775589492">
      <w:bodyDiv w:val="1"/>
      <w:marLeft w:val="0"/>
      <w:marRight w:val="0"/>
      <w:marTop w:val="0"/>
      <w:marBottom w:val="0"/>
      <w:divBdr>
        <w:top w:val="none" w:sz="0" w:space="0" w:color="auto"/>
        <w:left w:val="none" w:sz="0" w:space="0" w:color="auto"/>
        <w:bottom w:val="none" w:sz="0" w:space="0" w:color="auto"/>
        <w:right w:val="none" w:sz="0" w:space="0" w:color="auto"/>
      </w:divBdr>
    </w:div>
    <w:div w:id="1861891549">
      <w:bodyDiv w:val="1"/>
      <w:marLeft w:val="0"/>
      <w:marRight w:val="0"/>
      <w:marTop w:val="0"/>
      <w:marBottom w:val="0"/>
      <w:divBdr>
        <w:top w:val="none" w:sz="0" w:space="0" w:color="auto"/>
        <w:left w:val="none" w:sz="0" w:space="0" w:color="auto"/>
        <w:bottom w:val="none" w:sz="0" w:space="0" w:color="auto"/>
        <w:right w:val="none" w:sz="0" w:space="0" w:color="auto"/>
      </w:divBdr>
    </w:div>
    <w:div w:id="1953318990">
      <w:bodyDiv w:val="1"/>
      <w:marLeft w:val="0"/>
      <w:marRight w:val="0"/>
      <w:marTop w:val="0"/>
      <w:marBottom w:val="0"/>
      <w:divBdr>
        <w:top w:val="none" w:sz="0" w:space="0" w:color="auto"/>
        <w:left w:val="none" w:sz="0" w:space="0" w:color="auto"/>
        <w:bottom w:val="none" w:sz="0" w:space="0" w:color="auto"/>
        <w:right w:val="none" w:sz="0" w:space="0" w:color="auto"/>
      </w:divBdr>
    </w:div>
    <w:div w:id="2000886270">
      <w:bodyDiv w:val="1"/>
      <w:marLeft w:val="0"/>
      <w:marRight w:val="0"/>
      <w:marTop w:val="0"/>
      <w:marBottom w:val="0"/>
      <w:divBdr>
        <w:top w:val="none" w:sz="0" w:space="0" w:color="auto"/>
        <w:left w:val="none" w:sz="0" w:space="0" w:color="auto"/>
        <w:bottom w:val="none" w:sz="0" w:space="0" w:color="auto"/>
        <w:right w:val="none" w:sz="0" w:space="0" w:color="auto"/>
      </w:divBdr>
    </w:div>
    <w:div w:id="204416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ic.org/documents/cmte_e_app_sapwg_related_int180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D6A6-675C-48DF-9ACC-59FC8B1A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7357FBB9.dotm</Template>
  <TotalTime>265</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creator>Lhunsuck</dc:creator>
  <cp:lastModifiedBy>Marcotte, Robin</cp:lastModifiedBy>
  <cp:revision>30</cp:revision>
  <cp:lastPrinted>2018-10-31T18:16:00Z</cp:lastPrinted>
  <dcterms:created xsi:type="dcterms:W3CDTF">2018-12-19T16:08:00Z</dcterms:created>
  <dcterms:modified xsi:type="dcterms:W3CDTF">2019-04-09T19:05:00Z</dcterms:modified>
</cp:coreProperties>
</file>