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79" w:rsidRPr="00125F58" w:rsidRDefault="000A47E2" w:rsidP="00125F58">
      <w:pPr>
        <w:pStyle w:val="Title"/>
        <w:tabs>
          <w:tab w:val="left" w:pos="2070"/>
        </w:tabs>
        <w:rPr>
          <w:rFonts w:ascii="Times New Roman" w:hAnsi="Times New Roman"/>
          <w:caps/>
          <w:sz w:val="24"/>
          <w:szCs w:val="24"/>
          <w:u w:val="single"/>
        </w:rPr>
      </w:pPr>
      <w:r w:rsidRPr="00F97921">
        <w:rPr>
          <w:noProof/>
        </w:rPr>
        <w:drawing>
          <wp:anchor distT="0" distB="0" distL="114300" distR="114300" simplePos="0" relativeHeight="251657728" behindDoc="1" locked="0" layoutInCell="1" allowOverlap="1" wp14:anchorId="61341A5C" wp14:editId="26E41317">
            <wp:simplePos x="0" y="0"/>
            <wp:positionH relativeFrom="column">
              <wp:posOffset>-523240</wp:posOffset>
            </wp:positionH>
            <wp:positionV relativeFrom="paragraph">
              <wp:posOffset>-354590</wp:posOffset>
            </wp:positionV>
            <wp:extent cx="1085850" cy="5012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50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7921" w:rsidRPr="00F97921">
        <w:t xml:space="preserve">      </w:t>
      </w:r>
      <w:r w:rsidR="00114E1C" w:rsidRPr="00125F58">
        <w:rPr>
          <w:rFonts w:ascii="Times New Roman" w:hAnsi="Times New Roman"/>
          <w:caps/>
          <w:sz w:val="24"/>
          <w:szCs w:val="24"/>
          <w:u w:val="single"/>
        </w:rPr>
        <w:t>Continuing Education</w:t>
      </w:r>
      <w:r w:rsidR="00125F58">
        <w:rPr>
          <w:rFonts w:ascii="Times New Roman" w:hAnsi="Times New Roman"/>
          <w:caps/>
          <w:sz w:val="24"/>
          <w:szCs w:val="24"/>
          <w:u w:val="single"/>
        </w:rPr>
        <w:t xml:space="preserve"> (CE) </w:t>
      </w:r>
      <w:r w:rsidR="00702279" w:rsidRPr="00125F58">
        <w:rPr>
          <w:rFonts w:ascii="Times New Roman" w:hAnsi="Times New Roman"/>
          <w:caps/>
          <w:sz w:val="24"/>
          <w:szCs w:val="24"/>
          <w:u w:val="single"/>
        </w:rPr>
        <w:t xml:space="preserve">Recommended Guidelines </w:t>
      </w:r>
      <w:r w:rsidR="00125F58">
        <w:rPr>
          <w:rFonts w:ascii="Times New Roman" w:hAnsi="Times New Roman"/>
          <w:caps/>
          <w:sz w:val="24"/>
          <w:szCs w:val="24"/>
          <w:u w:val="single"/>
        </w:rPr>
        <w:t xml:space="preserve">                       </w:t>
      </w:r>
      <w:r w:rsidR="00702279" w:rsidRPr="00125F58">
        <w:rPr>
          <w:rFonts w:ascii="Times New Roman" w:hAnsi="Times New Roman"/>
          <w:caps/>
          <w:sz w:val="24"/>
          <w:szCs w:val="24"/>
          <w:u w:val="single"/>
        </w:rPr>
        <w:t>for Online Courses</w:t>
      </w:r>
    </w:p>
    <w:p w:rsidR="00114E1C" w:rsidRPr="00125F58" w:rsidRDefault="00114E1C">
      <w:pPr>
        <w:jc w:val="both"/>
        <w:rPr>
          <w:rFonts w:ascii="Times New Roman" w:hAnsi="Times New Roman"/>
          <w:b/>
          <w:sz w:val="20"/>
          <w:szCs w:val="20"/>
        </w:rPr>
      </w:pPr>
    </w:p>
    <w:p w:rsidR="00702279" w:rsidRPr="00125F58" w:rsidRDefault="00702279">
      <w:pPr>
        <w:jc w:val="both"/>
        <w:rPr>
          <w:rFonts w:ascii="Times New Roman" w:hAnsi="Times New Roman"/>
          <w:sz w:val="20"/>
          <w:szCs w:val="20"/>
        </w:rPr>
      </w:pPr>
      <w:r w:rsidRPr="00125F58">
        <w:rPr>
          <w:rFonts w:ascii="Times New Roman" w:hAnsi="Times New Roman"/>
          <w:b/>
          <w:sz w:val="20"/>
          <w:szCs w:val="20"/>
        </w:rPr>
        <w:t>Goal:</w:t>
      </w:r>
      <w:r w:rsidRPr="00125F58">
        <w:rPr>
          <w:rFonts w:ascii="Times New Roman" w:hAnsi="Times New Roman"/>
          <w:sz w:val="20"/>
          <w:szCs w:val="20"/>
        </w:rPr>
        <w:t xml:space="preserve">  To deliver functional computer-based internet courses that offer quality insurance and/or risk management material in a password-protected online environment.</w:t>
      </w:r>
    </w:p>
    <w:p w:rsidR="00702279" w:rsidRPr="00125F58" w:rsidRDefault="00702279">
      <w:pPr>
        <w:jc w:val="both"/>
        <w:rPr>
          <w:rFonts w:ascii="Times New Roman" w:hAnsi="Times New Roman"/>
          <w:sz w:val="20"/>
          <w:szCs w:val="20"/>
        </w:rPr>
      </w:pPr>
    </w:p>
    <w:p w:rsidR="00702279" w:rsidRPr="00125F58" w:rsidRDefault="00702279">
      <w:pPr>
        <w:jc w:val="both"/>
        <w:outlineLvl w:val="0"/>
        <w:rPr>
          <w:rFonts w:ascii="Times New Roman" w:hAnsi="Times New Roman"/>
          <w:b/>
          <w:sz w:val="20"/>
          <w:szCs w:val="20"/>
        </w:rPr>
      </w:pPr>
      <w:r w:rsidRPr="00125F58">
        <w:rPr>
          <w:rFonts w:ascii="Times New Roman" w:hAnsi="Times New Roman"/>
          <w:b/>
          <w:sz w:val="20"/>
          <w:szCs w:val="20"/>
        </w:rPr>
        <w:t>Key Components:</w:t>
      </w:r>
    </w:p>
    <w:p w:rsidR="00702279" w:rsidRPr="00125F58" w:rsidRDefault="00702279">
      <w:pPr>
        <w:numPr>
          <w:ilvl w:val="0"/>
          <w:numId w:val="1"/>
        </w:numPr>
        <w:jc w:val="both"/>
        <w:rPr>
          <w:rFonts w:ascii="Times New Roman" w:hAnsi="Times New Roman"/>
          <w:sz w:val="20"/>
          <w:szCs w:val="20"/>
        </w:rPr>
      </w:pPr>
      <w:r w:rsidRPr="00125F58">
        <w:rPr>
          <w:rFonts w:ascii="Times New Roman" w:hAnsi="Times New Roman"/>
          <w:sz w:val="20"/>
          <w:szCs w:val="20"/>
        </w:rPr>
        <w:t>Material that is current, relevant, accurate, and that includes valid reference materials, graphics and interactivity.</w:t>
      </w:r>
    </w:p>
    <w:p w:rsidR="00702279" w:rsidRPr="00125F58" w:rsidRDefault="00702279">
      <w:pPr>
        <w:numPr>
          <w:ilvl w:val="0"/>
          <w:numId w:val="1"/>
        </w:numPr>
        <w:jc w:val="both"/>
        <w:rPr>
          <w:rFonts w:ascii="Times New Roman" w:hAnsi="Times New Roman"/>
          <w:sz w:val="20"/>
          <w:szCs w:val="20"/>
        </w:rPr>
      </w:pPr>
      <w:r w:rsidRPr="00125F58">
        <w:rPr>
          <w:rFonts w:ascii="Times New Roman" w:hAnsi="Times New Roman"/>
          <w:sz w:val="20"/>
          <w:szCs w:val="20"/>
        </w:rPr>
        <w:t>Clearly defined objectives and course completion criteria</w:t>
      </w:r>
    </w:p>
    <w:p w:rsidR="00702279" w:rsidRPr="00125F58" w:rsidRDefault="00702279">
      <w:pPr>
        <w:numPr>
          <w:ilvl w:val="0"/>
          <w:numId w:val="1"/>
        </w:numPr>
        <w:jc w:val="both"/>
        <w:rPr>
          <w:rFonts w:ascii="Times New Roman" w:hAnsi="Times New Roman"/>
          <w:sz w:val="20"/>
          <w:szCs w:val="20"/>
        </w:rPr>
      </w:pPr>
      <w:r w:rsidRPr="00125F58">
        <w:rPr>
          <w:rFonts w:ascii="Times New Roman" w:hAnsi="Times New Roman"/>
          <w:sz w:val="20"/>
          <w:szCs w:val="20"/>
        </w:rPr>
        <w:t>Specific instructions to register, navigate and complete the course work</w:t>
      </w:r>
    </w:p>
    <w:p w:rsidR="00702279" w:rsidRPr="00125F58" w:rsidRDefault="00702279">
      <w:pPr>
        <w:numPr>
          <w:ilvl w:val="0"/>
          <w:numId w:val="1"/>
        </w:numPr>
        <w:jc w:val="both"/>
        <w:rPr>
          <w:rFonts w:ascii="Times New Roman" w:hAnsi="Times New Roman"/>
          <w:sz w:val="20"/>
          <w:szCs w:val="20"/>
        </w:rPr>
      </w:pPr>
      <w:r w:rsidRPr="00125F58">
        <w:rPr>
          <w:rFonts w:ascii="Times New Roman" w:hAnsi="Times New Roman"/>
          <w:sz w:val="20"/>
          <w:szCs w:val="20"/>
        </w:rPr>
        <w:t xml:space="preserve">Technical support/provider representative </w:t>
      </w:r>
      <w:r w:rsidR="00114E1C" w:rsidRPr="00125F58">
        <w:rPr>
          <w:rFonts w:ascii="Times New Roman" w:hAnsi="Times New Roman"/>
          <w:sz w:val="20"/>
          <w:szCs w:val="20"/>
        </w:rPr>
        <w:t xml:space="preserve">should </w:t>
      </w:r>
      <w:r w:rsidRPr="00125F58">
        <w:rPr>
          <w:rFonts w:ascii="Times New Roman" w:hAnsi="Times New Roman"/>
          <w:sz w:val="20"/>
          <w:szCs w:val="20"/>
        </w:rPr>
        <w:t>be available during business hours</w:t>
      </w:r>
      <w:r w:rsidR="00114E1C" w:rsidRPr="00125F58">
        <w:rPr>
          <w:rFonts w:ascii="Times New Roman" w:hAnsi="Times New Roman"/>
          <w:sz w:val="20"/>
          <w:szCs w:val="20"/>
        </w:rPr>
        <w:t xml:space="preserve"> and response provided within 24hours of initial contact.</w:t>
      </w:r>
    </w:p>
    <w:p w:rsidR="00114E1C" w:rsidRPr="00125F58" w:rsidRDefault="00114E1C">
      <w:pPr>
        <w:numPr>
          <w:ilvl w:val="0"/>
          <w:numId w:val="1"/>
        </w:numPr>
        <w:jc w:val="both"/>
        <w:rPr>
          <w:rFonts w:ascii="Times New Roman" w:hAnsi="Times New Roman"/>
          <w:sz w:val="20"/>
          <w:szCs w:val="20"/>
        </w:rPr>
      </w:pPr>
      <w:r w:rsidRPr="00125F58">
        <w:rPr>
          <w:rFonts w:ascii="Times New Roman" w:hAnsi="Times New Roman"/>
          <w:sz w:val="20"/>
          <w:szCs w:val="20"/>
        </w:rPr>
        <w:t>Instructors/subject matter experts must be available to answer student questions during provider business hours</w:t>
      </w:r>
    </w:p>
    <w:p w:rsidR="00702279" w:rsidRPr="00125F58" w:rsidRDefault="00702279">
      <w:pPr>
        <w:numPr>
          <w:ilvl w:val="0"/>
          <w:numId w:val="1"/>
        </w:numPr>
        <w:jc w:val="both"/>
        <w:rPr>
          <w:rFonts w:ascii="Times New Roman" w:hAnsi="Times New Roman"/>
          <w:sz w:val="20"/>
          <w:szCs w:val="20"/>
        </w:rPr>
      </w:pPr>
      <w:r w:rsidRPr="00125F58">
        <w:rPr>
          <w:rFonts w:ascii="Times New Roman" w:hAnsi="Times New Roman"/>
          <w:sz w:val="20"/>
          <w:szCs w:val="20"/>
        </w:rPr>
        <w:t>Process to authenticate student identity</w:t>
      </w:r>
      <w:r w:rsidR="00114E1C" w:rsidRPr="00125F58">
        <w:rPr>
          <w:rFonts w:ascii="Times New Roman" w:hAnsi="Times New Roman"/>
          <w:sz w:val="20"/>
          <w:szCs w:val="20"/>
        </w:rPr>
        <w:t xml:space="preserve"> such as passwords and security prompts</w:t>
      </w:r>
    </w:p>
    <w:p w:rsidR="00702279" w:rsidRPr="00125F58" w:rsidRDefault="00702279">
      <w:pPr>
        <w:numPr>
          <w:ilvl w:val="0"/>
          <w:numId w:val="1"/>
        </w:numPr>
        <w:jc w:val="both"/>
        <w:rPr>
          <w:rFonts w:ascii="Times New Roman" w:hAnsi="Times New Roman"/>
          <w:sz w:val="20"/>
          <w:szCs w:val="20"/>
        </w:rPr>
      </w:pPr>
      <w:r w:rsidRPr="00125F58">
        <w:rPr>
          <w:rFonts w:ascii="Times New Roman" w:hAnsi="Times New Roman"/>
          <w:sz w:val="20"/>
          <w:szCs w:val="20"/>
        </w:rPr>
        <w:t xml:space="preserve">Method for measuring the student’s successful completion of course </w:t>
      </w:r>
      <w:r w:rsidR="00114E1C" w:rsidRPr="00125F58">
        <w:rPr>
          <w:rFonts w:ascii="Times New Roman" w:hAnsi="Times New Roman"/>
          <w:sz w:val="20"/>
          <w:szCs w:val="20"/>
        </w:rPr>
        <w:t xml:space="preserve">which includes the </w:t>
      </w:r>
      <w:r w:rsidRPr="00125F58">
        <w:rPr>
          <w:rFonts w:ascii="Times New Roman" w:hAnsi="Times New Roman"/>
          <w:sz w:val="20"/>
          <w:szCs w:val="20"/>
        </w:rPr>
        <w:t>material</w:t>
      </w:r>
      <w:r w:rsidR="00114E1C" w:rsidRPr="00125F58">
        <w:rPr>
          <w:rFonts w:ascii="Times New Roman" w:hAnsi="Times New Roman"/>
          <w:sz w:val="20"/>
          <w:szCs w:val="20"/>
        </w:rPr>
        <w:t>, exam and any proctor requirements</w:t>
      </w:r>
      <w:r w:rsidR="00F97921" w:rsidRPr="00125F58">
        <w:rPr>
          <w:rFonts w:ascii="Times New Roman" w:hAnsi="Times New Roman"/>
          <w:sz w:val="20"/>
          <w:szCs w:val="20"/>
        </w:rPr>
        <w:t>.</w:t>
      </w:r>
      <w:r w:rsidRPr="00125F58">
        <w:rPr>
          <w:rFonts w:ascii="Times New Roman" w:hAnsi="Times New Roman"/>
          <w:sz w:val="20"/>
          <w:szCs w:val="20"/>
        </w:rPr>
        <w:t xml:space="preserve"> </w:t>
      </w:r>
    </w:p>
    <w:p w:rsidR="00702279" w:rsidRPr="00125F58" w:rsidRDefault="00702279">
      <w:pPr>
        <w:numPr>
          <w:ilvl w:val="0"/>
          <w:numId w:val="1"/>
        </w:numPr>
        <w:jc w:val="both"/>
        <w:rPr>
          <w:rFonts w:ascii="Times New Roman" w:hAnsi="Times New Roman"/>
          <w:sz w:val="20"/>
          <w:szCs w:val="20"/>
        </w:rPr>
      </w:pPr>
      <w:r w:rsidRPr="00125F58">
        <w:rPr>
          <w:rFonts w:ascii="Times New Roman" w:hAnsi="Times New Roman"/>
          <w:sz w:val="20"/>
          <w:szCs w:val="20"/>
        </w:rPr>
        <w:t>Process for requesting and receiving CE course-completion certificate</w:t>
      </w:r>
      <w:r w:rsidR="00DE0CAB" w:rsidRPr="00125F58">
        <w:rPr>
          <w:rFonts w:ascii="Times New Roman" w:hAnsi="Times New Roman"/>
          <w:sz w:val="20"/>
          <w:szCs w:val="20"/>
        </w:rPr>
        <w:t xml:space="preserve"> and reporting student results to the appropriate regulator</w:t>
      </w:r>
    </w:p>
    <w:p w:rsidR="00DE0CAB" w:rsidRPr="00125F58" w:rsidRDefault="00DE0CAB" w:rsidP="00F97921">
      <w:pPr>
        <w:pStyle w:val="ListParagraph"/>
        <w:numPr>
          <w:ilvl w:val="0"/>
          <w:numId w:val="6"/>
        </w:numPr>
        <w:jc w:val="both"/>
        <w:rPr>
          <w:sz w:val="20"/>
          <w:szCs w:val="20"/>
        </w:rPr>
      </w:pPr>
      <w:r w:rsidRPr="00125F58">
        <w:rPr>
          <w:sz w:val="20"/>
          <w:szCs w:val="20"/>
        </w:rPr>
        <w:t xml:space="preserve">Require each agent to enroll for the course before having access to course material.  </w:t>
      </w:r>
    </w:p>
    <w:p w:rsidR="00DE0CAB" w:rsidRPr="00125F58" w:rsidRDefault="00DE0CAB" w:rsidP="00F97921">
      <w:pPr>
        <w:pStyle w:val="ListParagraph"/>
        <w:numPr>
          <w:ilvl w:val="0"/>
          <w:numId w:val="6"/>
        </w:numPr>
        <w:jc w:val="both"/>
        <w:rPr>
          <w:sz w:val="20"/>
          <w:szCs w:val="20"/>
        </w:rPr>
      </w:pPr>
      <w:r w:rsidRPr="00125F58">
        <w:rPr>
          <w:sz w:val="20"/>
          <w:szCs w:val="20"/>
        </w:rPr>
        <w:t xml:space="preserve">Prevent access to the course exam before review of the course materials. </w:t>
      </w:r>
    </w:p>
    <w:p w:rsidR="00DE0CAB" w:rsidRPr="00125F58" w:rsidRDefault="00DE0CAB" w:rsidP="00F97921">
      <w:pPr>
        <w:pStyle w:val="ListParagraph"/>
        <w:numPr>
          <w:ilvl w:val="0"/>
          <w:numId w:val="6"/>
        </w:numPr>
        <w:jc w:val="both"/>
        <w:rPr>
          <w:sz w:val="20"/>
          <w:szCs w:val="20"/>
        </w:rPr>
      </w:pPr>
      <w:r w:rsidRPr="00125F58">
        <w:rPr>
          <w:sz w:val="20"/>
          <w:szCs w:val="20"/>
        </w:rPr>
        <w:t xml:space="preserve">Prevent downloading of any course exam. </w:t>
      </w:r>
    </w:p>
    <w:p w:rsidR="00DE0CAB" w:rsidRPr="00125F58" w:rsidRDefault="00DE0CAB" w:rsidP="00F97921">
      <w:pPr>
        <w:pStyle w:val="ListParagraph"/>
        <w:numPr>
          <w:ilvl w:val="0"/>
          <w:numId w:val="7"/>
        </w:numPr>
        <w:jc w:val="both"/>
        <w:rPr>
          <w:sz w:val="20"/>
          <w:szCs w:val="20"/>
        </w:rPr>
      </w:pPr>
      <w:r w:rsidRPr="00125F58">
        <w:rPr>
          <w:sz w:val="20"/>
          <w:szCs w:val="20"/>
        </w:rPr>
        <w:t xml:space="preserve">Provide review questions at the end of each unit/chapter and prevent access to the final exam until each set of questions are answered at a 70% rate. </w:t>
      </w:r>
    </w:p>
    <w:p w:rsidR="00DE0CAB" w:rsidRPr="00125F58" w:rsidRDefault="00DE0CAB" w:rsidP="00F97921">
      <w:pPr>
        <w:pStyle w:val="ListParagraph"/>
        <w:numPr>
          <w:ilvl w:val="0"/>
          <w:numId w:val="7"/>
        </w:numPr>
        <w:jc w:val="both"/>
        <w:rPr>
          <w:sz w:val="20"/>
          <w:szCs w:val="20"/>
        </w:rPr>
      </w:pPr>
      <w:r w:rsidRPr="00125F58">
        <w:rPr>
          <w:sz w:val="20"/>
          <w:szCs w:val="20"/>
        </w:rPr>
        <w:t xml:space="preserve">Provide final exam questions that do not duplicate unit/chapter questions. </w:t>
      </w:r>
    </w:p>
    <w:p w:rsidR="00DE0CAB" w:rsidRPr="00125F58" w:rsidRDefault="00DE0CAB" w:rsidP="00F97921">
      <w:pPr>
        <w:pStyle w:val="ListParagraph"/>
        <w:numPr>
          <w:ilvl w:val="0"/>
          <w:numId w:val="7"/>
        </w:numPr>
        <w:jc w:val="both"/>
        <w:rPr>
          <w:sz w:val="20"/>
          <w:szCs w:val="20"/>
        </w:rPr>
      </w:pPr>
      <w:r w:rsidRPr="00125F58">
        <w:rPr>
          <w:sz w:val="20"/>
          <w:szCs w:val="20"/>
        </w:rPr>
        <w:t xml:space="preserve">Prevent alternately accessing course materials and course exams.  This does not apply if the state allows for “open book” exams. </w:t>
      </w:r>
    </w:p>
    <w:p w:rsidR="00DE0CAB" w:rsidRPr="00125F58" w:rsidRDefault="00DE0CAB" w:rsidP="00F97921">
      <w:pPr>
        <w:pStyle w:val="ListParagraph"/>
        <w:numPr>
          <w:ilvl w:val="0"/>
          <w:numId w:val="7"/>
        </w:numPr>
        <w:jc w:val="both"/>
        <w:rPr>
          <w:sz w:val="20"/>
          <w:szCs w:val="20"/>
        </w:rPr>
      </w:pPr>
      <w:r w:rsidRPr="00125F58">
        <w:rPr>
          <w:sz w:val="20"/>
          <w:szCs w:val="20"/>
        </w:rPr>
        <w:t xml:space="preserve">Have monitor affidavit containing specific monitor duties and responsibilities printed for monitor’s use to direct the taking of the final exam.  Monitor will complete the affidavit after the exam is completed.  (This only for states that require a monitored exam). </w:t>
      </w:r>
    </w:p>
    <w:p w:rsidR="00DE0CAB" w:rsidRPr="00125F58" w:rsidRDefault="00DE0CAB" w:rsidP="00125F58">
      <w:pPr>
        <w:ind w:left="720"/>
        <w:jc w:val="both"/>
        <w:rPr>
          <w:rFonts w:ascii="Times New Roman" w:hAnsi="Times New Roman"/>
          <w:sz w:val="20"/>
          <w:szCs w:val="20"/>
        </w:rPr>
      </w:pPr>
      <w:bookmarkStart w:id="0" w:name="_GoBack"/>
      <w:bookmarkEnd w:id="0"/>
    </w:p>
    <w:p w:rsidR="00702279" w:rsidRPr="00125F58" w:rsidRDefault="00702279">
      <w:pPr>
        <w:jc w:val="both"/>
        <w:rPr>
          <w:rFonts w:ascii="Times New Roman" w:hAnsi="Times New Roman"/>
          <w:sz w:val="20"/>
          <w:szCs w:val="20"/>
        </w:rPr>
      </w:pPr>
    </w:p>
    <w:p w:rsidR="00702279" w:rsidRPr="00125F58" w:rsidRDefault="00702279">
      <w:pPr>
        <w:jc w:val="both"/>
        <w:outlineLvl w:val="0"/>
        <w:rPr>
          <w:rFonts w:ascii="Times New Roman" w:hAnsi="Times New Roman"/>
          <w:b/>
          <w:sz w:val="20"/>
          <w:szCs w:val="20"/>
        </w:rPr>
      </w:pPr>
      <w:r w:rsidRPr="00125F58">
        <w:rPr>
          <w:rFonts w:ascii="Times New Roman" w:hAnsi="Times New Roman"/>
          <w:b/>
          <w:sz w:val="20"/>
          <w:szCs w:val="20"/>
        </w:rPr>
        <w:t>Final Assessment (exam) Criteria:</w:t>
      </w:r>
    </w:p>
    <w:p w:rsidR="000A47E2" w:rsidRPr="00125F58" w:rsidRDefault="000A47E2">
      <w:pPr>
        <w:numPr>
          <w:ilvl w:val="0"/>
          <w:numId w:val="2"/>
        </w:numPr>
        <w:jc w:val="both"/>
        <w:rPr>
          <w:rFonts w:ascii="Times New Roman" w:hAnsi="Times New Roman"/>
          <w:sz w:val="20"/>
          <w:szCs w:val="20"/>
        </w:rPr>
      </w:pPr>
      <w:r w:rsidRPr="00125F58">
        <w:rPr>
          <w:rFonts w:ascii="Times New Roman" w:hAnsi="Times New Roman"/>
          <w:sz w:val="20"/>
          <w:szCs w:val="20"/>
        </w:rPr>
        <w:t>Minimum of 10 questions for  1 credit hour course with additional 5</w:t>
      </w:r>
      <w:r w:rsidR="00F97921" w:rsidRPr="00125F58">
        <w:rPr>
          <w:rFonts w:ascii="Times New Roman" w:hAnsi="Times New Roman"/>
          <w:sz w:val="20"/>
          <w:szCs w:val="20"/>
        </w:rPr>
        <w:t xml:space="preserve"> questions</w:t>
      </w:r>
      <w:r w:rsidRPr="00125F58">
        <w:rPr>
          <w:rFonts w:ascii="Times New Roman" w:hAnsi="Times New Roman"/>
          <w:sz w:val="20"/>
          <w:szCs w:val="20"/>
        </w:rPr>
        <w:t xml:space="preserve"> for each subsequent credit hour and a score of 70% or greater</w:t>
      </w:r>
    </w:p>
    <w:p w:rsidR="00702279" w:rsidRPr="00125F58" w:rsidRDefault="00702279">
      <w:pPr>
        <w:numPr>
          <w:ilvl w:val="0"/>
          <w:numId w:val="2"/>
        </w:numPr>
        <w:jc w:val="both"/>
        <w:rPr>
          <w:rFonts w:ascii="Times New Roman" w:hAnsi="Times New Roman"/>
          <w:sz w:val="20"/>
          <w:szCs w:val="20"/>
        </w:rPr>
      </w:pPr>
      <w:r w:rsidRPr="00125F58">
        <w:rPr>
          <w:rFonts w:ascii="Times New Roman" w:hAnsi="Times New Roman"/>
          <w:sz w:val="20"/>
          <w:szCs w:val="20"/>
        </w:rPr>
        <w:t>At least enough questions to fashion a minimum of 2 versions with a least 50% of questions being new/different in each subsequent version</w:t>
      </w:r>
    </w:p>
    <w:p w:rsidR="00702279" w:rsidRPr="00125F58" w:rsidRDefault="00702279">
      <w:pPr>
        <w:numPr>
          <w:ilvl w:val="0"/>
          <w:numId w:val="2"/>
        </w:numPr>
        <w:jc w:val="both"/>
        <w:rPr>
          <w:rFonts w:ascii="Times New Roman" w:hAnsi="Times New Roman"/>
          <w:sz w:val="20"/>
          <w:szCs w:val="20"/>
        </w:rPr>
      </w:pPr>
      <w:r w:rsidRPr="00125F58">
        <w:rPr>
          <w:rFonts w:ascii="Times New Roman" w:hAnsi="Times New Roman"/>
          <w:sz w:val="20"/>
          <w:szCs w:val="20"/>
        </w:rPr>
        <w:t xml:space="preserve">Inability to print the exam or to </w:t>
      </w:r>
      <w:r w:rsidR="00DD3812" w:rsidRPr="00125F58">
        <w:rPr>
          <w:rFonts w:ascii="Times New Roman" w:hAnsi="Times New Roman"/>
          <w:sz w:val="20"/>
          <w:szCs w:val="20"/>
        </w:rPr>
        <w:t xml:space="preserve">view </w:t>
      </w:r>
      <w:r w:rsidRPr="00125F58">
        <w:rPr>
          <w:rFonts w:ascii="Times New Roman" w:hAnsi="Times New Roman"/>
          <w:sz w:val="20"/>
          <w:szCs w:val="20"/>
        </w:rPr>
        <w:t>the exam prior to reviewing material</w:t>
      </w:r>
    </w:p>
    <w:p w:rsidR="00702279" w:rsidRPr="00125F58" w:rsidRDefault="00DD3812">
      <w:pPr>
        <w:numPr>
          <w:ilvl w:val="0"/>
          <w:numId w:val="2"/>
        </w:numPr>
        <w:jc w:val="both"/>
        <w:rPr>
          <w:rFonts w:ascii="Times New Roman" w:hAnsi="Times New Roman"/>
          <w:sz w:val="20"/>
          <w:szCs w:val="20"/>
        </w:rPr>
      </w:pPr>
      <w:r w:rsidRPr="00125F58">
        <w:rPr>
          <w:rFonts w:ascii="Times New Roman" w:hAnsi="Times New Roman"/>
          <w:sz w:val="20"/>
          <w:szCs w:val="20"/>
        </w:rPr>
        <w:t xml:space="preserve">Proctor, if required by the state, </w:t>
      </w:r>
      <w:r w:rsidR="00702279" w:rsidRPr="00125F58">
        <w:rPr>
          <w:rFonts w:ascii="Times New Roman" w:hAnsi="Times New Roman"/>
          <w:sz w:val="20"/>
          <w:szCs w:val="20"/>
        </w:rPr>
        <w:t xml:space="preserve">who verifies identity </w:t>
      </w:r>
      <w:r w:rsidR="00EC622E" w:rsidRPr="00125F58">
        <w:rPr>
          <w:rFonts w:ascii="Times New Roman" w:hAnsi="Times New Roman"/>
          <w:sz w:val="20"/>
          <w:szCs w:val="20"/>
        </w:rPr>
        <w:t xml:space="preserve">by photo identification </w:t>
      </w:r>
      <w:r w:rsidR="00702279" w:rsidRPr="00125F58">
        <w:rPr>
          <w:rFonts w:ascii="Times New Roman" w:hAnsi="Times New Roman"/>
          <w:sz w:val="20"/>
          <w:szCs w:val="20"/>
        </w:rPr>
        <w:t>and processes affidavit testifying the student received no outside assistance</w:t>
      </w:r>
    </w:p>
    <w:p w:rsidR="00702279" w:rsidRPr="00125F58" w:rsidRDefault="00702279">
      <w:pPr>
        <w:jc w:val="both"/>
        <w:rPr>
          <w:rFonts w:ascii="Times New Roman" w:hAnsi="Times New Roman"/>
          <w:sz w:val="20"/>
          <w:szCs w:val="20"/>
        </w:rPr>
      </w:pPr>
    </w:p>
    <w:p w:rsidR="00702279" w:rsidRPr="00125F58" w:rsidRDefault="00702279">
      <w:pPr>
        <w:jc w:val="both"/>
        <w:outlineLvl w:val="0"/>
        <w:rPr>
          <w:rFonts w:ascii="Times New Roman" w:hAnsi="Times New Roman"/>
          <w:b/>
          <w:sz w:val="20"/>
          <w:szCs w:val="20"/>
        </w:rPr>
      </w:pPr>
      <w:r w:rsidRPr="00125F58">
        <w:rPr>
          <w:rFonts w:ascii="Times New Roman" w:hAnsi="Times New Roman"/>
          <w:b/>
          <w:sz w:val="20"/>
          <w:szCs w:val="20"/>
        </w:rPr>
        <w:t>Procedures to determine Appropriate Number of Credit Hours:</w:t>
      </w:r>
    </w:p>
    <w:p w:rsidR="00702279" w:rsidRPr="00125F58" w:rsidRDefault="00702279">
      <w:pPr>
        <w:jc w:val="both"/>
        <w:rPr>
          <w:rFonts w:ascii="Times New Roman" w:hAnsi="Times New Roman"/>
          <w:sz w:val="20"/>
          <w:szCs w:val="20"/>
          <w:u w:val="single"/>
        </w:rPr>
      </w:pPr>
    </w:p>
    <w:p w:rsidR="00702279" w:rsidRPr="00125F58" w:rsidRDefault="00702279">
      <w:pPr>
        <w:jc w:val="both"/>
        <w:rPr>
          <w:rFonts w:ascii="Times New Roman" w:hAnsi="Times New Roman"/>
          <w:sz w:val="20"/>
          <w:szCs w:val="20"/>
        </w:rPr>
      </w:pPr>
    </w:p>
    <w:p w:rsidR="00325CC9" w:rsidRPr="00125F58" w:rsidRDefault="00023830" w:rsidP="00325CC9">
      <w:pPr>
        <w:jc w:val="both"/>
        <w:outlineLvl w:val="0"/>
        <w:rPr>
          <w:rFonts w:ascii="Times New Roman" w:hAnsi="Times New Roman"/>
          <w:sz w:val="20"/>
          <w:szCs w:val="20"/>
          <w:u w:val="single"/>
        </w:rPr>
      </w:pPr>
      <w:r w:rsidRPr="00125F58">
        <w:rPr>
          <w:rFonts w:ascii="Times New Roman" w:hAnsi="Times New Roman"/>
          <w:sz w:val="20"/>
          <w:szCs w:val="20"/>
          <w:u w:val="single"/>
        </w:rPr>
        <w:t>Word</w:t>
      </w:r>
      <w:r w:rsidR="00614E27" w:rsidRPr="00125F58">
        <w:rPr>
          <w:rFonts w:ascii="Times New Roman" w:hAnsi="Times New Roman"/>
          <w:sz w:val="20"/>
          <w:szCs w:val="20"/>
          <w:u w:val="single"/>
        </w:rPr>
        <w:t xml:space="preserve"> Count/Difficulty Level </w:t>
      </w:r>
      <w:r w:rsidR="00AA71D5" w:rsidRPr="00125F58">
        <w:rPr>
          <w:rFonts w:ascii="Times New Roman" w:hAnsi="Times New Roman"/>
          <w:sz w:val="20"/>
          <w:szCs w:val="20"/>
          <w:u w:val="single"/>
        </w:rPr>
        <w:t xml:space="preserve"> </w:t>
      </w:r>
    </w:p>
    <w:p w:rsidR="00702279" w:rsidRPr="00125F58" w:rsidRDefault="00702279">
      <w:pPr>
        <w:numPr>
          <w:ilvl w:val="0"/>
          <w:numId w:val="4"/>
        </w:numPr>
        <w:jc w:val="both"/>
        <w:rPr>
          <w:rFonts w:ascii="Times New Roman" w:hAnsi="Times New Roman"/>
          <w:sz w:val="20"/>
          <w:szCs w:val="20"/>
        </w:rPr>
      </w:pPr>
      <w:r w:rsidRPr="00125F58">
        <w:rPr>
          <w:rFonts w:ascii="Times New Roman" w:hAnsi="Times New Roman"/>
          <w:sz w:val="20"/>
          <w:szCs w:val="20"/>
        </w:rPr>
        <w:t>Divide total number of words by 180 (documented average reading time) = number of minutes to read material</w:t>
      </w:r>
    </w:p>
    <w:p w:rsidR="00702279" w:rsidRPr="00125F58" w:rsidRDefault="00702279">
      <w:pPr>
        <w:numPr>
          <w:ilvl w:val="0"/>
          <w:numId w:val="4"/>
        </w:numPr>
        <w:jc w:val="both"/>
        <w:rPr>
          <w:rFonts w:ascii="Times New Roman" w:hAnsi="Times New Roman"/>
          <w:sz w:val="20"/>
          <w:szCs w:val="20"/>
        </w:rPr>
      </w:pPr>
      <w:r w:rsidRPr="00125F58">
        <w:rPr>
          <w:rFonts w:ascii="Times New Roman" w:hAnsi="Times New Roman"/>
          <w:sz w:val="20"/>
          <w:szCs w:val="20"/>
        </w:rPr>
        <w:t>Divide number of minutes by 50 = credit hours</w:t>
      </w:r>
    </w:p>
    <w:p w:rsidR="00F97921" w:rsidRPr="00125F58" w:rsidRDefault="00C45F59" w:rsidP="00F97921">
      <w:pPr>
        <w:numPr>
          <w:ilvl w:val="0"/>
          <w:numId w:val="4"/>
        </w:numPr>
        <w:jc w:val="both"/>
        <w:rPr>
          <w:rFonts w:ascii="Times New Roman" w:hAnsi="Times New Roman"/>
          <w:sz w:val="20"/>
          <w:szCs w:val="20"/>
        </w:rPr>
      </w:pPr>
      <w:r w:rsidRPr="00125F58">
        <w:rPr>
          <w:rFonts w:ascii="Times New Roman" w:hAnsi="Times New Roman"/>
          <w:sz w:val="20"/>
          <w:szCs w:val="20"/>
        </w:rPr>
        <w:t>Course d</w:t>
      </w:r>
      <w:r w:rsidR="00614E27" w:rsidRPr="00125F58">
        <w:rPr>
          <w:rFonts w:ascii="Times New Roman" w:hAnsi="Times New Roman"/>
          <w:sz w:val="20"/>
          <w:szCs w:val="20"/>
        </w:rPr>
        <w:t xml:space="preserve">ifficulty level is </w:t>
      </w:r>
      <w:r w:rsidRPr="00125F58">
        <w:rPr>
          <w:rFonts w:ascii="Times New Roman" w:hAnsi="Times New Roman"/>
          <w:sz w:val="20"/>
          <w:szCs w:val="20"/>
        </w:rPr>
        <w:t xml:space="preserve">identified </w:t>
      </w:r>
      <w:r w:rsidR="00614E27" w:rsidRPr="00125F58">
        <w:rPr>
          <w:rFonts w:ascii="Times New Roman" w:hAnsi="Times New Roman"/>
          <w:sz w:val="20"/>
          <w:szCs w:val="20"/>
        </w:rPr>
        <w:t xml:space="preserve">by the </w:t>
      </w:r>
      <w:r w:rsidRPr="00125F58">
        <w:rPr>
          <w:rFonts w:ascii="Times New Roman" w:hAnsi="Times New Roman"/>
          <w:sz w:val="20"/>
          <w:szCs w:val="20"/>
        </w:rPr>
        <w:t xml:space="preserve">CE </w:t>
      </w:r>
      <w:r w:rsidR="00614E27" w:rsidRPr="00125F58">
        <w:rPr>
          <w:rFonts w:ascii="Times New Roman" w:hAnsi="Times New Roman"/>
          <w:sz w:val="20"/>
          <w:szCs w:val="20"/>
        </w:rPr>
        <w:t xml:space="preserve">provider on the CER form </w:t>
      </w:r>
      <w:r w:rsidRPr="00125F58">
        <w:rPr>
          <w:rFonts w:ascii="Times New Roman" w:hAnsi="Times New Roman"/>
          <w:sz w:val="20"/>
          <w:szCs w:val="20"/>
        </w:rPr>
        <w:t xml:space="preserve">and should be </w:t>
      </w:r>
      <w:r w:rsidR="00614E27" w:rsidRPr="00125F58">
        <w:rPr>
          <w:rFonts w:ascii="Times New Roman" w:hAnsi="Times New Roman"/>
          <w:sz w:val="20"/>
          <w:szCs w:val="20"/>
        </w:rPr>
        <w:t xml:space="preserve">based on </w:t>
      </w:r>
      <w:r w:rsidRPr="00125F58">
        <w:rPr>
          <w:rFonts w:ascii="Times New Roman" w:hAnsi="Times New Roman"/>
          <w:sz w:val="20"/>
          <w:szCs w:val="20"/>
        </w:rPr>
        <w:t xml:space="preserve">the </w:t>
      </w:r>
      <w:r w:rsidR="00614E27" w:rsidRPr="00125F58">
        <w:rPr>
          <w:rFonts w:ascii="Times New Roman" w:hAnsi="Times New Roman"/>
          <w:sz w:val="20"/>
          <w:szCs w:val="20"/>
        </w:rPr>
        <w:t>NAIC CE Standardized Terms-Definitions</w:t>
      </w:r>
      <w:r w:rsidRPr="00125F58">
        <w:rPr>
          <w:rFonts w:ascii="Times New Roman" w:hAnsi="Times New Roman"/>
          <w:sz w:val="20"/>
          <w:szCs w:val="20"/>
        </w:rPr>
        <w:t xml:space="preserve"> </w:t>
      </w:r>
      <w:r w:rsidR="00614E27" w:rsidRPr="00125F58">
        <w:rPr>
          <w:rFonts w:ascii="Times New Roman" w:hAnsi="Times New Roman"/>
          <w:sz w:val="20"/>
          <w:szCs w:val="20"/>
        </w:rPr>
        <w:t xml:space="preserve">for basic, </w:t>
      </w:r>
      <w:r w:rsidRPr="00125F58">
        <w:rPr>
          <w:rFonts w:ascii="Times New Roman" w:hAnsi="Times New Roman"/>
          <w:sz w:val="20"/>
          <w:szCs w:val="20"/>
        </w:rPr>
        <w:t>intermediate</w:t>
      </w:r>
      <w:r w:rsidR="00614E27" w:rsidRPr="00125F58">
        <w:rPr>
          <w:rFonts w:ascii="Times New Roman" w:hAnsi="Times New Roman"/>
          <w:sz w:val="20"/>
          <w:szCs w:val="20"/>
        </w:rPr>
        <w:t xml:space="preserve"> and advance</w:t>
      </w:r>
      <w:r w:rsidRPr="00125F58">
        <w:rPr>
          <w:rFonts w:ascii="Times New Roman" w:hAnsi="Times New Roman"/>
          <w:sz w:val="20"/>
          <w:szCs w:val="20"/>
        </w:rPr>
        <w:t xml:space="preserve">d course difficulty levels. </w:t>
      </w:r>
    </w:p>
    <w:p w:rsidR="00702279" w:rsidRPr="00125F58" w:rsidRDefault="00702279" w:rsidP="00F97921">
      <w:pPr>
        <w:numPr>
          <w:ilvl w:val="0"/>
          <w:numId w:val="4"/>
        </w:numPr>
        <w:jc w:val="both"/>
        <w:rPr>
          <w:rFonts w:ascii="Times New Roman" w:hAnsi="Times New Roman"/>
          <w:sz w:val="20"/>
          <w:szCs w:val="20"/>
        </w:rPr>
      </w:pPr>
      <w:r w:rsidRPr="00125F58">
        <w:rPr>
          <w:rFonts w:ascii="Times New Roman" w:hAnsi="Times New Roman"/>
          <w:sz w:val="20"/>
          <w:szCs w:val="20"/>
        </w:rPr>
        <w:t>Multiply number of hours by 1.00 for a basic level course; 1.25 for an intermediate level; 1.50 for an advanced course for additional study time = total number of credit hours (fractional hours rounded up if .50 or above and rounded down if .49 or less)</w:t>
      </w:r>
    </w:p>
    <w:p w:rsidR="00702279" w:rsidRPr="00125F58" w:rsidRDefault="00702279">
      <w:pPr>
        <w:jc w:val="both"/>
        <w:rPr>
          <w:rFonts w:ascii="Times New Roman" w:hAnsi="Times New Roman"/>
          <w:sz w:val="20"/>
          <w:szCs w:val="20"/>
        </w:rPr>
      </w:pPr>
    </w:p>
    <w:p w:rsidR="00F97921" w:rsidRPr="00125F58" w:rsidRDefault="00F97921">
      <w:pPr>
        <w:jc w:val="both"/>
        <w:rPr>
          <w:rFonts w:ascii="Times New Roman" w:hAnsi="Times New Roman"/>
          <w:sz w:val="20"/>
          <w:szCs w:val="20"/>
        </w:rPr>
      </w:pPr>
    </w:p>
    <w:p w:rsidR="00C45F59" w:rsidRPr="00125F58" w:rsidRDefault="00C45F59">
      <w:pPr>
        <w:jc w:val="both"/>
        <w:rPr>
          <w:rFonts w:ascii="Times New Roman" w:hAnsi="Times New Roman"/>
          <w:sz w:val="20"/>
          <w:szCs w:val="20"/>
          <w:u w:val="single"/>
        </w:rPr>
      </w:pPr>
      <w:r w:rsidRPr="00125F58">
        <w:rPr>
          <w:rFonts w:ascii="Times New Roman" w:hAnsi="Times New Roman"/>
          <w:sz w:val="20"/>
          <w:szCs w:val="20"/>
          <w:u w:val="single"/>
        </w:rPr>
        <w:t>Interactive Course Content</w:t>
      </w:r>
    </w:p>
    <w:p w:rsidR="00AA71D5" w:rsidRPr="00125F58" w:rsidRDefault="00AA71D5" w:rsidP="00F97921">
      <w:pPr>
        <w:pStyle w:val="ListParagraph"/>
        <w:numPr>
          <w:ilvl w:val="0"/>
          <w:numId w:val="8"/>
        </w:numPr>
        <w:jc w:val="both"/>
        <w:rPr>
          <w:sz w:val="20"/>
          <w:szCs w:val="20"/>
        </w:rPr>
      </w:pPr>
      <w:r w:rsidRPr="00125F58">
        <w:rPr>
          <w:sz w:val="20"/>
          <w:szCs w:val="20"/>
        </w:rPr>
        <w:t>E</w:t>
      </w:r>
      <w:r w:rsidR="00C45F59" w:rsidRPr="00125F58">
        <w:rPr>
          <w:sz w:val="20"/>
          <w:szCs w:val="20"/>
        </w:rPr>
        <w:t xml:space="preserve">lements included in </w:t>
      </w:r>
      <w:r w:rsidRPr="00125F58">
        <w:rPr>
          <w:sz w:val="20"/>
          <w:szCs w:val="20"/>
        </w:rPr>
        <w:t xml:space="preserve">the </w:t>
      </w:r>
      <w:r w:rsidR="00C45F59" w:rsidRPr="00125F58">
        <w:rPr>
          <w:sz w:val="20"/>
          <w:szCs w:val="20"/>
        </w:rPr>
        <w:t>online course</w:t>
      </w:r>
      <w:r w:rsidRPr="00125F58">
        <w:rPr>
          <w:sz w:val="20"/>
          <w:szCs w:val="20"/>
        </w:rPr>
        <w:t>,</w:t>
      </w:r>
      <w:r w:rsidR="00C45F59" w:rsidRPr="00125F58">
        <w:rPr>
          <w:sz w:val="20"/>
          <w:szCs w:val="20"/>
        </w:rPr>
        <w:t xml:space="preserve"> </w:t>
      </w:r>
      <w:r w:rsidRPr="00125F58">
        <w:rPr>
          <w:sz w:val="20"/>
          <w:szCs w:val="20"/>
        </w:rPr>
        <w:t xml:space="preserve">in addition to text, such as </w:t>
      </w:r>
      <w:r w:rsidR="00C45F59" w:rsidRPr="00125F58">
        <w:rPr>
          <w:sz w:val="20"/>
          <w:szCs w:val="20"/>
        </w:rPr>
        <w:t xml:space="preserve">video, animation, interactive exercises, quizzes, case studies, games, and </w:t>
      </w:r>
      <w:r w:rsidR="00F97921" w:rsidRPr="00125F58">
        <w:rPr>
          <w:sz w:val="20"/>
          <w:szCs w:val="20"/>
        </w:rPr>
        <w:t>simulations</w:t>
      </w:r>
      <w:r w:rsidRPr="00125F58">
        <w:rPr>
          <w:sz w:val="20"/>
          <w:szCs w:val="20"/>
        </w:rPr>
        <w:t>.</w:t>
      </w:r>
    </w:p>
    <w:p w:rsidR="00AA71D5" w:rsidRPr="00125F58" w:rsidRDefault="00FA251F" w:rsidP="00F97921">
      <w:pPr>
        <w:pStyle w:val="ListParagraph"/>
        <w:numPr>
          <w:ilvl w:val="0"/>
          <w:numId w:val="8"/>
        </w:numPr>
        <w:jc w:val="both"/>
        <w:rPr>
          <w:sz w:val="20"/>
          <w:szCs w:val="20"/>
        </w:rPr>
      </w:pPr>
      <w:r w:rsidRPr="00125F58">
        <w:rPr>
          <w:sz w:val="20"/>
          <w:szCs w:val="20"/>
        </w:rPr>
        <w:t>I</w:t>
      </w:r>
      <w:r w:rsidR="00AA71D5" w:rsidRPr="00125F58">
        <w:rPr>
          <w:sz w:val="20"/>
          <w:szCs w:val="20"/>
        </w:rPr>
        <w:t xml:space="preserve">nteractive elements </w:t>
      </w:r>
      <w:r w:rsidRPr="00125F58">
        <w:rPr>
          <w:sz w:val="20"/>
          <w:szCs w:val="20"/>
        </w:rPr>
        <w:t xml:space="preserve">should be applicable to course </w:t>
      </w:r>
      <w:r w:rsidR="00F13804" w:rsidRPr="00125F58">
        <w:rPr>
          <w:sz w:val="20"/>
          <w:szCs w:val="20"/>
        </w:rPr>
        <w:t>material</w:t>
      </w:r>
      <w:r w:rsidRPr="00125F58">
        <w:rPr>
          <w:sz w:val="20"/>
          <w:szCs w:val="20"/>
        </w:rPr>
        <w:t xml:space="preserve"> and </w:t>
      </w:r>
      <w:r w:rsidR="0093037C" w:rsidRPr="00125F58">
        <w:rPr>
          <w:sz w:val="20"/>
          <w:szCs w:val="20"/>
        </w:rPr>
        <w:t xml:space="preserve">facilitate </w:t>
      </w:r>
      <w:r w:rsidRPr="00125F58">
        <w:rPr>
          <w:sz w:val="20"/>
          <w:szCs w:val="20"/>
        </w:rPr>
        <w:t>student learning</w:t>
      </w:r>
      <w:r w:rsidR="0093037C" w:rsidRPr="00125F58">
        <w:rPr>
          <w:sz w:val="20"/>
          <w:szCs w:val="20"/>
        </w:rPr>
        <w:t xml:space="preserve">. </w:t>
      </w:r>
    </w:p>
    <w:p w:rsidR="0093037C" w:rsidRPr="00125F58" w:rsidRDefault="0093037C" w:rsidP="00F97921">
      <w:pPr>
        <w:pStyle w:val="ListParagraph"/>
        <w:numPr>
          <w:ilvl w:val="0"/>
          <w:numId w:val="8"/>
        </w:numPr>
        <w:jc w:val="both"/>
        <w:rPr>
          <w:sz w:val="20"/>
          <w:szCs w:val="20"/>
        </w:rPr>
      </w:pPr>
      <w:r w:rsidRPr="00125F58">
        <w:rPr>
          <w:sz w:val="20"/>
          <w:szCs w:val="20"/>
        </w:rPr>
        <w:t xml:space="preserve">Only mandatory interactive </w:t>
      </w:r>
      <w:r w:rsidR="00AA71D5" w:rsidRPr="00125F58">
        <w:rPr>
          <w:sz w:val="20"/>
          <w:szCs w:val="20"/>
        </w:rPr>
        <w:t>elements</w:t>
      </w:r>
      <w:r w:rsidR="00FA251F" w:rsidRPr="00125F58">
        <w:rPr>
          <w:sz w:val="20"/>
          <w:szCs w:val="20"/>
        </w:rPr>
        <w:t xml:space="preserve"> should be included in the</w:t>
      </w:r>
      <w:r w:rsidR="00F13804" w:rsidRPr="00125F58">
        <w:rPr>
          <w:sz w:val="20"/>
          <w:szCs w:val="20"/>
        </w:rPr>
        <w:t xml:space="preserve"> </w:t>
      </w:r>
      <w:r w:rsidR="00FA251F" w:rsidRPr="00125F58">
        <w:rPr>
          <w:sz w:val="20"/>
          <w:szCs w:val="20"/>
        </w:rPr>
        <w:t xml:space="preserve">calculation of CE </w:t>
      </w:r>
      <w:r w:rsidR="00F13804" w:rsidRPr="00125F58">
        <w:rPr>
          <w:sz w:val="20"/>
          <w:szCs w:val="20"/>
        </w:rPr>
        <w:t xml:space="preserve">credit </w:t>
      </w:r>
      <w:r w:rsidR="00FA251F" w:rsidRPr="00125F58">
        <w:rPr>
          <w:sz w:val="20"/>
          <w:szCs w:val="20"/>
        </w:rPr>
        <w:t>hours</w:t>
      </w:r>
      <w:r w:rsidRPr="00125F58">
        <w:rPr>
          <w:sz w:val="20"/>
          <w:szCs w:val="20"/>
        </w:rPr>
        <w:t>.</w:t>
      </w:r>
    </w:p>
    <w:p w:rsidR="0093037C" w:rsidRPr="00125F58" w:rsidRDefault="0093037C" w:rsidP="00F97921">
      <w:pPr>
        <w:pStyle w:val="ListParagraph"/>
        <w:numPr>
          <w:ilvl w:val="0"/>
          <w:numId w:val="8"/>
        </w:numPr>
        <w:jc w:val="both"/>
        <w:rPr>
          <w:sz w:val="20"/>
          <w:szCs w:val="20"/>
        </w:rPr>
      </w:pPr>
      <w:r w:rsidRPr="00125F58">
        <w:rPr>
          <w:sz w:val="20"/>
          <w:szCs w:val="20"/>
        </w:rPr>
        <w:t>Calculation of CE hour credit</w:t>
      </w:r>
      <w:r w:rsidR="00F13804" w:rsidRPr="00125F58">
        <w:rPr>
          <w:sz w:val="20"/>
          <w:szCs w:val="20"/>
        </w:rPr>
        <w:t>s</w:t>
      </w:r>
      <w:r w:rsidRPr="00125F58">
        <w:rPr>
          <w:sz w:val="20"/>
          <w:szCs w:val="20"/>
        </w:rPr>
        <w:t xml:space="preserve"> should be </w:t>
      </w:r>
      <w:r w:rsidR="00FA251F" w:rsidRPr="00125F58">
        <w:rPr>
          <w:sz w:val="20"/>
          <w:szCs w:val="20"/>
        </w:rPr>
        <w:t>based on the run time of th</w:t>
      </w:r>
      <w:r w:rsidRPr="00125F58">
        <w:rPr>
          <w:sz w:val="20"/>
          <w:szCs w:val="20"/>
        </w:rPr>
        <w:t>e interactive element</w:t>
      </w:r>
      <w:r w:rsidR="00F13804" w:rsidRPr="00125F58">
        <w:rPr>
          <w:sz w:val="20"/>
          <w:szCs w:val="20"/>
        </w:rPr>
        <w:t>s</w:t>
      </w:r>
      <w:r w:rsidRPr="00125F58">
        <w:rPr>
          <w:sz w:val="20"/>
          <w:szCs w:val="20"/>
        </w:rPr>
        <w:t xml:space="preserve">. </w:t>
      </w:r>
    </w:p>
    <w:p w:rsidR="00AA71D5" w:rsidRPr="00125F58" w:rsidRDefault="0093037C" w:rsidP="00F97921">
      <w:pPr>
        <w:pStyle w:val="ListParagraph"/>
        <w:numPr>
          <w:ilvl w:val="0"/>
          <w:numId w:val="8"/>
        </w:numPr>
        <w:jc w:val="both"/>
        <w:rPr>
          <w:sz w:val="20"/>
          <w:szCs w:val="20"/>
        </w:rPr>
      </w:pPr>
      <w:r w:rsidRPr="00125F58">
        <w:rPr>
          <w:sz w:val="20"/>
          <w:szCs w:val="20"/>
        </w:rPr>
        <w:t xml:space="preserve">CE providers will indicate run time of the interactive elements in the course content and </w:t>
      </w:r>
      <w:r w:rsidR="00F13804" w:rsidRPr="00125F58">
        <w:rPr>
          <w:sz w:val="20"/>
          <w:szCs w:val="20"/>
        </w:rPr>
        <w:t xml:space="preserve">upon request </w:t>
      </w:r>
      <w:r w:rsidRPr="00125F58">
        <w:rPr>
          <w:sz w:val="20"/>
          <w:szCs w:val="20"/>
        </w:rPr>
        <w:t>provide access to the state for review of the cours</w:t>
      </w:r>
      <w:r w:rsidR="00F13804" w:rsidRPr="00125F58">
        <w:rPr>
          <w:sz w:val="20"/>
          <w:szCs w:val="20"/>
        </w:rPr>
        <w:t>e</w:t>
      </w:r>
      <w:r w:rsidRPr="00125F58">
        <w:rPr>
          <w:sz w:val="20"/>
          <w:szCs w:val="20"/>
        </w:rPr>
        <w:t xml:space="preserve">. </w:t>
      </w:r>
    </w:p>
    <w:p w:rsidR="00C45F59" w:rsidRPr="00125F58" w:rsidRDefault="00C45F59">
      <w:pPr>
        <w:jc w:val="both"/>
        <w:rPr>
          <w:rFonts w:ascii="Times New Roman" w:hAnsi="Times New Roman"/>
          <w:b/>
          <w:strike/>
          <w:sz w:val="20"/>
          <w:szCs w:val="20"/>
        </w:rPr>
      </w:pPr>
    </w:p>
    <w:p w:rsidR="00325CC9" w:rsidRPr="00125F58" w:rsidRDefault="00325CC9" w:rsidP="00325CC9">
      <w:pPr>
        <w:jc w:val="both"/>
        <w:rPr>
          <w:rFonts w:ascii="Times New Roman" w:hAnsi="Times New Roman"/>
          <w:sz w:val="20"/>
          <w:szCs w:val="20"/>
          <w:u w:val="single"/>
        </w:rPr>
      </w:pPr>
    </w:p>
    <w:p w:rsidR="00325CC9" w:rsidRPr="00125F58" w:rsidRDefault="00325CC9" w:rsidP="00325CC9">
      <w:pPr>
        <w:jc w:val="both"/>
        <w:outlineLvl w:val="0"/>
        <w:rPr>
          <w:rFonts w:ascii="Times New Roman" w:hAnsi="Times New Roman"/>
          <w:sz w:val="20"/>
          <w:szCs w:val="20"/>
          <w:u w:val="single"/>
        </w:rPr>
      </w:pPr>
      <w:r w:rsidRPr="00125F58">
        <w:rPr>
          <w:rFonts w:ascii="Times New Roman" w:hAnsi="Times New Roman"/>
          <w:sz w:val="20"/>
          <w:szCs w:val="20"/>
          <w:u w:val="single"/>
        </w:rPr>
        <w:t xml:space="preserve">Professional Designation Course  </w:t>
      </w:r>
    </w:p>
    <w:p w:rsidR="00325CC9" w:rsidRPr="00125F58" w:rsidRDefault="00325CC9" w:rsidP="00325CC9">
      <w:pPr>
        <w:numPr>
          <w:ilvl w:val="0"/>
          <w:numId w:val="5"/>
        </w:numPr>
        <w:jc w:val="both"/>
        <w:rPr>
          <w:rFonts w:ascii="Times New Roman" w:hAnsi="Times New Roman"/>
          <w:sz w:val="20"/>
          <w:szCs w:val="20"/>
        </w:rPr>
      </w:pPr>
      <w:r w:rsidRPr="00125F58">
        <w:rPr>
          <w:rFonts w:ascii="Times New Roman" w:hAnsi="Times New Roman"/>
          <w:sz w:val="20"/>
          <w:szCs w:val="20"/>
        </w:rPr>
        <w:t>Course that is part of a nationally recognized professional designation</w:t>
      </w:r>
    </w:p>
    <w:p w:rsidR="00325CC9" w:rsidRPr="00125F58" w:rsidRDefault="00325CC9" w:rsidP="00325CC9">
      <w:pPr>
        <w:numPr>
          <w:ilvl w:val="0"/>
          <w:numId w:val="5"/>
        </w:numPr>
        <w:jc w:val="both"/>
        <w:rPr>
          <w:rFonts w:ascii="Times New Roman" w:hAnsi="Times New Roman"/>
          <w:sz w:val="20"/>
          <w:szCs w:val="20"/>
        </w:rPr>
      </w:pPr>
      <w:r w:rsidRPr="00125F58">
        <w:rPr>
          <w:rFonts w:ascii="Times New Roman" w:hAnsi="Times New Roman"/>
          <w:sz w:val="20"/>
          <w:szCs w:val="20"/>
        </w:rPr>
        <w:t>Credit hours equivalent to hours assigned to the same classroom course material</w:t>
      </w:r>
    </w:p>
    <w:p w:rsidR="00325CC9" w:rsidRPr="00125F58" w:rsidRDefault="00325CC9">
      <w:pPr>
        <w:jc w:val="both"/>
        <w:rPr>
          <w:rFonts w:ascii="Times New Roman" w:hAnsi="Times New Roman"/>
          <w:b/>
          <w:strike/>
          <w:sz w:val="20"/>
          <w:szCs w:val="20"/>
        </w:rPr>
      </w:pPr>
    </w:p>
    <w:p w:rsidR="00C45F59" w:rsidRPr="00125F58" w:rsidRDefault="00F13804">
      <w:pPr>
        <w:jc w:val="both"/>
        <w:rPr>
          <w:rFonts w:ascii="Times New Roman" w:hAnsi="Times New Roman"/>
          <w:sz w:val="20"/>
          <w:szCs w:val="20"/>
          <w:u w:val="single"/>
        </w:rPr>
      </w:pPr>
      <w:r w:rsidRPr="00125F58">
        <w:rPr>
          <w:rFonts w:ascii="Times New Roman" w:hAnsi="Times New Roman"/>
          <w:sz w:val="20"/>
          <w:szCs w:val="20"/>
          <w:u w:val="single"/>
        </w:rPr>
        <w:t>Final Assessment</w:t>
      </w:r>
    </w:p>
    <w:p w:rsidR="00F13804" w:rsidRPr="00125F58" w:rsidRDefault="00F13804" w:rsidP="00F97921">
      <w:pPr>
        <w:pStyle w:val="ListParagraph"/>
        <w:numPr>
          <w:ilvl w:val="0"/>
          <w:numId w:val="10"/>
        </w:numPr>
        <w:jc w:val="both"/>
        <w:rPr>
          <w:strike/>
          <w:sz w:val="20"/>
          <w:szCs w:val="20"/>
        </w:rPr>
      </w:pPr>
      <w:r w:rsidRPr="00125F58">
        <w:rPr>
          <w:sz w:val="20"/>
          <w:szCs w:val="20"/>
        </w:rPr>
        <w:t xml:space="preserve">Time spent completing </w:t>
      </w:r>
      <w:r w:rsidR="000835E5" w:rsidRPr="00125F58">
        <w:rPr>
          <w:sz w:val="20"/>
          <w:szCs w:val="20"/>
        </w:rPr>
        <w:t xml:space="preserve">the </w:t>
      </w:r>
      <w:r w:rsidRPr="00125F58">
        <w:rPr>
          <w:sz w:val="20"/>
          <w:szCs w:val="20"/>
        </w:rPr>
        <w:t xml:space="preserve">final assessment should not be used in calculation of CE credit hours. </w:t>
      </w:r>
    </w:p>
    <w:p w:rsidR="00F13804" w:rsidRPr="00125F58" w:rsidRDefault="00F13804" w:rsidP="00F13804">
      <w:pPr>
        <w:jc w:val="both"/>
        <w:rPr>
          <w:rFonts w:ascii="Times New Roman" w:hAnsi="Times New Roman"/>
          <w:strike/>
          <w:sz w:val="20"/>
          <w:szCs w:val="20"/>
        </w:rPr>
      </w:pPr>
    </w:p>
    <w:p w:rsidR="00702279" w:rsidRPr="00125F58" w:rsidRDefault="00702279">
      <w:pPr>
        <w:jc w:val="both"/>
        <w:rPr>
          <w:rFonts w:ascii="Times New Roman" w:hAnsi="Times New Roman"/>
          <w:sz w:val="20"/>
          <w:szCs w:val="20"/>
        </w:rPr>
      </w:pPr>
    </w:p>
    <w:p w:rsidR="00DC2F1C" w:rsidRPr="00125F58" w:rsidRDefault="00DC2F1C">
      <w:pPr>
        <w:jc w:val="both"/>
        <w:rPr>
          <w:rFonts w:ascii="Times New Roman" w:hAnsi="Times New Roman"/>
          <w:sz w:val="20"/>
          <w:szCs w:val="20"/>
        </w:rPr>
      </w:pPr>
    </w:p>
    <w:p w:rsidR="007D0411" w:rsidRPr="00125F58" w:rsidRDefault="007D0411">
      <w:pPr>
        <w:jc w:val="both"/>
        <w:rPr>
          <w:rFonts w:ascii="Times New Roman" w:hAnsi="Times New Roman"/>
          <w:sz w:val="20"/>
          <w:szCs w:val="20"/>
        </w:rPr>
      </w:pPr>
    </w:p>
    <w:p w:rsidR="00702279" w:rsidRPr="00125F58" w:rsidRDefault="00702279">
      <w:pPr>
        <w:jc w:val="both"/>
        <w:rPr>
          <w:rFonts w:ascii="Times New Roman" w:hAnsi="Times New Roman"/>
          <w:sz w:val="20"/>
          <w:szCs w:val="20"/>
        </w:rPr>
      </w:pPr>
      <w:r w:rsidRPr="00125F58">
        <w:rPr>
          <w:rFonts w:ascii="Times New Roman" w:hAnsi="Times New Roman"/>
          <w:sz w:val="20"/>
          <w:szCs w:val="20"/>
        </w:rPr>
        <w:fldChar w:fldCharType="begin"/>
      </w:r>
      <w:r w:rsidRPr="00125F58">
        <w:rPr>
          <w:rFonts w:ascii="Times New Roman" w:hAnsi="Times New Roman"/>
          <w:sz w:val="20"/>
          <w:szCs w:val="20"/>
        </w:rPr>
        <w:instrText xml:space="preserve"> FILENAME \p </w:instrText>
      </w:r>
      <w:r w:rsidRPr="00125F58">
        <w:rPr>
          <w:rFonts w:ascii="Times New Roman" w:hAnsi="Times New Roman"/>
          <w:sz w:val="20"/>
          <w:szCs w:val="20"/>
        </w:rPr>
        <w:fldChar w:fldCharType="separate"/>
      </w:r>
      <w:r w:rsidR="007D0411" w:rsidRPr="00125F58">
        <w:rPr>
          <w:rFonts w:ascii="Times New Roman" w:hAnsi="Times New Roman"/>
          <w:noProof/>
          <w:sz w:val="20"/>
          <w:szCs w:val="20"/>
        </w:rPr>
        <w:t>W:\Spring15\TF\PLTF\PLWG\UE\CE - Recommended Guidelines for Online Courses - Clean - Adopted by PLWG 3.29.15.docx</w:t>
      </w:r>
      <w:r w:rsidRPr="00125F58">
        <w:rPr>
          <w:rFonts w:ascii="Times New Roman" w:hAnsi="Times New Roman"/>
          <w:sz w:val="20"/>
          <w:szCs w:val="20"/>
        </w:rPr>
        <w:fldChar w:fldCharType="end"/>
      </w:r>
    </w:p>
    <w:p w:rsidR="00702279" w:rsidRPr="00125F58" w:rsidRDefault="00702279">
      <w:pPr>
        <w:jc w:val="both"/>
        <w:rPr>
          <w:rFonts w:ascii="Times New Roman" w:hAnsi="Times New Roman"/>
          <w:sz w:val="20"/>
          <w:szCs w:val="20"/>
        </w:rPr>
      </w:pPr>
    </w:p>
    <w:sectPr w:rsidR="00702279" w:rsidRPr="00125F58" w:rsidSect="00F97921">
      <w:headerReference w:type="default" r:id="rId9"/>
      <w:footerReference w:type="even" r:id="rId10"/>
      <w:footerReference w:type="default" r:id="rId11"/>
      <w:pgSz w:w="12240" w:h="15840" w:code="1"/>
      <w:pgMar w:top="1440" w:right="1440" w:bottom="1440" w:left="1440" w:header="720" w:footer="720" w:gutter="0"/>
      <w:paperSrc w:first="7" w:other="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8D3" w:rsidRDefault="008108D3">
      <w:r>
        <w:separator/>
      </w:r>
    </w:p>
  </w:endnote>
  <w:endnote w:type="continuationSeparator" w:id="0">
    <w:p w:rsidR="008108D3" w:rsidRDefault="0081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79" w:rsidRDefault="007022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2279" w:rsidRDefault="007022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79" w:rsidRDefault="00702279">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125F58">
      <w:rPr>
        <w:rStyle w:val="PageNumber"/>
        <w:rFonts w:ascii="Times New Roman" w:hAnsi="Times New Roman"/>
        <w:noProof/>
        <w:sz w:val="20"/>
      </w:rPr>
      <w:t>1</w:t>
    </w:r>
    <w:r>
      <w:rPr>
        <w:rStyle w:val="PageNumber"/>
        <w:rFonts w:ascii="Times New Roman" w:hAnsi="Times New Roman"/>
        <w:sz w:val="20"/>
      </w:rPr>
      <w:fldChar w:fldCharType="end"/>
    </w:r>
  </w:p>
  <w:p w:rsidR="00702279" w:rsidRDefault="00702279">
    <w:pPr>
      <w:pStyle w:val="Footer"/>
      <w:rPr>
        <w:rFonts w:ascii="Times New Roman" w:hAnsi="Times New Roman"/>
        <w:sz w:val="18"/>
      </w:rPr>
    </w:pPr>
    <w:r>
      <w:rPr>
        <w:rFonts w:ascii="Times New Roman" w:hAnsi="Times New Roman"/>
        <w:sz w:val="18"/>
      </w:rPr>
      <w:t>© 20</w:t>
    </w:r>
    <w:r w:rsidR="00DC2F1C">
      <w:rPr>
        <w:rFonts w:ascii="Times New Roman" w:hAnsi="Times New Roman"/>
        <w:sz w:val="18"/>
      </w:rPr>
      <w:t>15</w:t>
    </w:r>
    <w:r>
      <w:rPr>
        <w:rFonts w:ascii="Times New Roman" w:hAnsi="Times New Roman"/>
        <w:sz w:val="18"/>
      </w:rPr>
      <w:t xml:space="preserve"> National Association of Insurance Commissioners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8D3" w:rsidRDefault="008108D3">
      <w:r>
        <w:separator/>
      </w:r>
    </w:p>
  </w:footnote>
  <w:footnote w:type="continuationSeparator" w:id="0">
    <w:p w:rsidR="008108D3" w:rsidRDefault="00810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F58" w:rsidRPr="00125F58" w:rsidRDefault="00125F58" w:rsidP="00125F58">
    <w:pPr>
      <w:pStyle w:val="Header"/>
      <w:jc w:val="right"/>
      <w:rPr>
        <w:rFonts w:ascii="Times New Roman" w:hAnsi="Times New Roman"/>
      </w:rPr>
    </w:pPr>
    <w:r w:rsidRPr="00125F58">
      <w:rPr>
        <w:rFonts w:ascii="Times New Roman" w:hAnsi="Times New Roman"/>
      </w:rPr>
      <w:t>March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6F5B"/>
    <w:multiLevelType w:val="hybridMultilevel"/>
    <w:tmpl w:val="80720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983462"/>
    <w:multiLevelType w:val="hybridMultilevel"/>
    <w:tmpl w:val="9FAACD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84C0713"/>
    <w:multiLevelType w:val="hybridMultilevel"/>
    <w:tmpl w:val="25BE3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397AAD"/>
    <w:multiLevelType w:val="hybridMultilevel"/>
    <w:tmpl w:val="034256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48A0071"/>
    <w:multiLevelType w:val="hybridMultilevel"/>
    <w:tmpl w:val="290E8B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6A66BE4"/>
    <w:multiLevelType w:val="hybridMultilevel"/>
    <w:tmpl w:val="B72EF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D431FC5"/>
    <w:multiLevelType w:val="hybridMultilevel"/>
    <w:tmpl w:val="E446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5D4952"/>
    <w:multiLevelType w:val="hybridMultilevel"/>
    <w:tmpl w:val="0562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0F294C"/>
    <w:multiLevelType w:val="hybridMultilevel"/>
    <w:tmpl w:val="FD96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B21B5"/>
    <w:multiLevelType w:val="hybridMultilevel"/>
    <w:tmpl w:val="CAEEB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71"/>
  <w:drawingGridVerticalSpacing w:val="12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1C"/>
    <w:rsid w:val="00023830"/>
    <w:rsid w:val="000835E5"/>
    <w:rsid w:val="000A47E2"/>
    <w:rsid w:val="00114E1C"/>
    <w:rsid w:val="00125F58"/>
    <w:rsid w:val="00325CC9"/>
    <w:rsid w:val="00614E27"/>
    <w:rsid w:val="00702279"/>
    <w:rsid w:val="007D0411"/>
    <w:rsid w:val="008108D3"/>
    <w:rsid w:val="0085382E"/>
    <w:rsid w:val="0093037C"/>
    <w:rsid w:val="00AA71D5"/>
    <w:rsid w:val="00C45F59"/>
    <w:rsid w:val="00DC2F1C"/>
    <w:rsid w:val="00DD3812"/>
    <w:rsid w:val="00DE0CAB"/>
    <w:rsid w:val="00EC622E"/>
    <w:rsid w:val="00F13804"/>
    <w:rsid w:val="00F97921"/>
    <w:rsid w:val="00FA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outlineLvl w:val="0"/>
    </w:pPr>
    <w:rPr>
      <w:b/>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DE0CAB"/>
    <w:pPr>
      <w:ind w:left="720"/>
      <w:contextualSpacing/>
    </w:pPr>
    <w:rPr>
      <w:rFonts w:ascii="Times New Roman" w:eastAsia="Calibri" w:hAnsi="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outlineLvl w:val="0"/>
    </w:pPr>
    <w:rPr>
      <w:b/>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DE0CAB"/>
    <w:pPr>
      <w:ind w:left="720"/>
      <w:contextualSpacing/>
    </w:pPr>
    <w:rPr>
      <w:rFonts w:ascii="Times New Roman" w:eastAsia="Calibri"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Recommended Guidelines for Online Courses</vt:lpstr>
    </vt:vector>
  </TitlesOfParts>
  <Company>KID</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Guidelines for Online Courses</dc:title>
  <dc:creator>ntuser</dc:creator>
  <cp:lastModifiedBy>Welker, Gregory</cp:lastModifiedBy>
  <cp:revision>2</cp:revision>
  <cp:lastPrinted>2015-03-18T17:51:00Z</cp:lastPrinted>
  <dcterms:created xsi:type="dcterms:W3CDTF">2016-07-11T21:39:00Z</dcterms:created>
  <dcterms:modified xsi:type="dcterms:W3CDTF">2016-07-11T21:39:00Z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