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E95DD" w14:textId="77777777" w:rsidR="00E73CA0" w:rsidRPr="00937B31" w:rsidRDefault="00E73CA0" w:rsidP="00F6663B">
      <w:pPr>
        <w:jc w:val="center"/>
        <w:rPr>
          <w:rFonts w:ascii="Times New Roman" w:hAnsi="Times New Roman" w:cs="Times New Roman"/>
          <w:b/>
          <w:sz w:val="20"/>
          <w:szCs w:val="20"/>
        </w:rPr>
      </w:pPr>
      <w:r w:rsidRPr="00937B31">
        <w:rPr>
          <w:rFonts w:ascii="Times New Roman" w:hAnsi="Times New Roman" w:cs="Times New Roman"/>
          <w:b/>
          <w:sz w:val="20"/>
          <w:szCs w:val="20"/>
        </w:rPr>
        <w:t>Casualty Actuarial and Statistical (C) Task Force</w:t>
      </w:r>
    </w:p>
    <w:p w14:paraId="6F281C7E" w14:textId="77777777" w:rsidR="00266410" w:rsidRPr="00937B31" w:rsidRDefault="00266410" w:rsidP="00F6663B">
      <w:pPr>
        <w:jc w:val="center"/>
        <w:rPr>
          <w:rFonts w:ascii="Times New Roman" w:hAnsi="Times New Roman" w:cs="Times New Roman"/>
          <w:b/>
          <w:sz w:val="20"/>
          <w:szCs w:val="20"/>
        </w:rPr>
      </w:pPr>
      <w:r w:rsidRPr="00937B31">
        <w:rPr>
          <w:rFonts w:ascii="Times New Roman" w:hAnsi="Times New Roman" w:cs="Times New Roman"/>
          <w:b/>
          <w:sz w:val="20"/>
          <w:szCs w:val="20"/>
        </w:rPr>
        <w:t>Regulatory Review of Predictive Models</w:t>
      </w:r>
    </w:p>
    <w:p w14:paraId="70DA0C79" w14:textId="77777777" w:rsidR="00266410" w:rsidRPr="00937B31" w:rsidRDefault="00266410" w:rsidP="00ED744F">
      <w:pPr>
        <w:pBdr>
          <w:bottom w:val="single" w:sz="4" w:space="1" w:color="auto"/>
        </w:pBdr>
        <w:jc w:val="both"/>
        <w:rPr>
          <w:rFonts w:ascii="Times New Roman" w:hAnsi="Times New Roman" w:cs="Times New Roman"/>
          <w:b/>
          <w:sz w:val="20"/>
          <w:szCs w:val="20"/>
        </w:rPr>
      </w:pPr>
    </w:p>
    <w:sdt>
      <w:sdtPr>
        <w:rPr>
          <w:rFonts w:ascii="Times New Roman" w:hAnsi="Times New Roman" w:cs="Times New Roman"/>
          <w:b/>
          <w:sz w:val="20"/>
          <w:szCs w:val="20"/>
        </w:rPr>
        <w:id w:val="-217520394"/>
        <w:docPartObj>
          <w:docPartGallery w:val="Table of Contents"/>
          <w:docPartUnique/>
        </w:docPartObj>
      </w:sdtPr>
      <w:sdtEndPr>
        <w:rPr>
          <w:b w:val="0"/>
          <w:bCs/>
          <w:noProof/>
        </w:rPr>
      </w:sdtEndPr>
      <w:sdtContent>
        <w:p w14:paraId="781D8427" w14:textId="77777777" w:rsidR="00EC56F5" w:rsidRPr="00937B31" w:rsidRDefault="00EC56F5" w:rsidP="00ED744F">
          <w:pPr>
            <w:jc w:val="both"/>
            <w:rPr>
              <w:rFonts w:ascii="Times New Roman" w:hAnsi="Times New Roman" w:cs="Times New Roman"/>
              <w:b/>
              <w:sz w:val="20"/>
              <w:szCs w:val="20"/>
            </w:rPr>
          </w:pPr>
          <w:r w:rsidRPr="00937B31">
            <w:rPr>
              <w:rFonts w:ascii="Times New Roman" w:hAnsi="Times New Roman" w:cs="Times New Roman"/>
              <w:b/>
              <w:sz w:val="20"/>
              <w:szCs w:val="20"/>
            </w:rPr>
            <w:t>Table of Contents</w:t>
          </w:r>
        </w:p>
        <w:p w14:paraId="694439B8" w14:textId="727CF709" w:rsidR="00CD5564" w:rsidRDefault="00F6663B">
          <w:pPr>
            <w:pStyle w:val="TOC1"/>
            <w:rPr>
              <w:rFonts w:asciiTheme="minorHAnsi" w:hAnsiTheme="minorHAnsi" w:cstheme="minorBidi"/>
              <w:noProof/>
              <w:sz w:val="22"/>
            </w:rPr>
          </w:pPr>
          <w:r w:rsidRPr="00937B31">
            <w:rPr>
              <w:b/>
              <w:bCs/>
              <w:noProof/>
              <w:szCs w:val="20"/>
            </w:rPr>
            <w:fldChar w:fldCharType="begin"/>
          </w:r>
          <w:r w:rsidRPr="00937B31">
            <w:rPr>
              <w:b/>
              <w:bCs/>
              <w:noProof/>
              <w:szCs w:val="20"/>
            </w:rPr>
            <w:instrText xml:space="preserve"> TOC \o "1-1" \h \z \u </w:instrText>
          </w:r>
          <w:r w:rsidRPr="00937B31">
            <w:rPr>
              <w:b/>
              <w:bCs/>
              <w:noProof/>
              <w:szCs w:val="20"/>
            </w:rPr>
            <w:fldChar w:fldCharType="separate"/>
          </w:r>
          <w:hyperlink w:anchor="_Toc8388747" w:history="1">
            <w:r w:rsidR="00CD5564" w:rsidRPr="009F2DD4">
              <w:rPr>
                <w:rStyle w:val="Hyperlink"/>
                <w:noProof/>
              </w:rPr>
              <w:t>I.</w:t>
            </w:r>
            <w:r w:rsidR="00CD5564">
              <w:rPr>
                <w:rFonts w:asciiTheme="minorHAnsi" w:hAnsiTheme="minorHAnsi" w:cstheme="minorBidi"/>
                <w:noProof/>
                <w:sz w:val="22"/>
              </w:rPr>
              <w:tab/>
            </w:r>
            <w:r w:rsidR="00CD5564" w:rsidRPr="009F2DD4">
              <w:rPr>
                <w:rStyle w:val="Hyperlink"/>
                <w:noProof/>
              </w:rPr>
              <w:t>Introduction</w:t>
            </w:r>
            <w:r w:rsidR="00CD5564">
              <w:rPr>
                <w:noProof/>
                <w:webHidden/>
              </w:rPr>
              <w:tab/>
            </w:r>
            <w:r w:rsidR="00CD5564">
              <w:rPr>
                <w:noProof/>
                <w:webHidden/>
              </w:rPr>
              <w:fldChar w:fldCharType="begin"/>
            </w:r>
            <w:r w:rsidR="00CD5564">
              <w:rPr>
                <w:noProof/>
                <w:webHidden/>
              </w:rPr>
              <w:instrText xml:space="preserve"> PAGEREF _Toc8388747 \h </w:instrText>
            </w:r>
            <w:r w:rsidR="00CD5564">
              <w:rPr>
                <w:noProof/>
                <w:webHidden/>
              </w:rPr>
            </w:r>
            <w:r w:rsidR="00CD5564">
              <w:rPr>
                <w:noProof/>
                <w:webHidden/>
              </w:rPr>
              <w:fldChar w:fldCharType="separate"/>
            </w:r>
            <w:r w:rsidR="00CD5564">
              <w:rPr>
                <w:noProof/>
                <w:webHidden/>
              </w:rPr>
              <w:t>2</w:t>
            </w:r>
            <w:r w:rsidR="00CD5564">
              <w:rPr>
                <w:noProof/>
                <w:webHidden/>
              </w:rPr>
              <w:fldChar w:fldCharType="end"/>
            </w:r>
          </w:hyperlink>
        </w:p>
        <w:p w14:paraId="796737A2" w14:textId="7C8BA9E1" w:rsidR="00CD5564" w:rsidRDefault="00CD5564">
          <w:pPr>
            <w:pStyle w:val="TOC1"/>
            <w:rPr>
              <w:rFonts w:asciiTheme="minorHAnsi" w:hAnsiTheme="minorHAnsi" w:cstheme="minorBidi"/>
              <w:noProof/>
              <w:sz w:val="22"/>
            </w:rPr>
          </w:pPr>
          <w:hyperlink w:anchor="_Toc8388748" w:history="1">
            <w:r w:rsidRPr="009F2DD4">
              <w:rPr>
                <w:rStyle w:val="Hyperlink"/>
                <w:noProof/>
              </w:rPr>
              <w:t>II.</w:t>
            </w:r>
            <w:r>
              <w:rPr>
                <w:rFonts w:asciiTheme="minorHAnsi" w:hAnsiTheme="minorHAnsi" w:cstheme="minorBidi"/>
                <w:noProof/>
                <w:sz w:val="22"/>
              </w:rPr>
              <w:tab/>
            </w:r>
            <w:r w:rsidRPr="009F2DD4">
              <w:rPr>
                <w:rStyle w:val="Hyperlink"/>
                <w:noProof/>
              </w:rPr>
              <w:t>What is a “Best Practice?”</w:t>
            </w:r>
            <w:r>
              <w:rPr>
                <w:noProof/>
                <w:webHidden/>
              </w:rPr>
              <w:tab/>
            </w:r>
            <w:r>
              <w:rPr>
                <w:noProof/>
                <w:webHidden/>
              </w:rPr>
              <w:fldChar w:fldCharType="begin"/>
            </w:r>
            <w:r>
              <w:rPr>
                <w:noProof/>
                <w:webHidden/>
              </w:rPr>
              <w:instrText xml:space="preserve"> PAGEREF _Toc8388748 \h </w:instrText>
            </w:r>
            <w:r>
              <w:rPr>
                <w:noProof/>
                <w:webHidden/>
              </w:rPr>
            </w:r>
            <w:r>
              <w:rPr>
                <w:noProof/>
                <w:webHidden/>
              </w:rPr>
              <w:fldChar w:fldCharType="separate"/>
            </w:r>
            <w:r>
              <w:rPr>
                <w:noProof/>
                <w:webHidden/>
              </w:rPr>
              <w:t>2</w:t>
            </w:r>
            <w:r>
              <w:rPr>
                <w:noProof/>
                <w:webHidden/>
              </w:rPr>
              <w:fldChar w:fldCharType="end"/>
            </w:r>
          </w:hyperlink>
        </w:p>
        <w:p w14:paraId="07CE425B" w14:textId="5CC1071A" w:rsidR="00CD5564" w:rsidRDefault="00CD5564">
          <w:pPr>
            <w:pStyle w:val="TOC1"/>
            <w:rPr>
              <w:rFonts w:asciiTheme="minorHAnsi" w:hAnsiTheme="minorHAnsi" w:cstheme="minorBidi"/>
              <w:noProof/>
              <w:sz w:val="22"/>
            </w:rPr>
          </w:pPr>
          <w:hyperlink w:anchor="_Toc8388749" w:history="1">
            <w:r w:rsidRPr="009F2DD4">
              <w:rPr>
                <w:rStyle w:val="Hyperlink"/>
                <w:noProof/>
              </w:rPr>
              <w:t>III.</w:t>
            </w:r>
            <w:r>
              <w:rPr>
                <w:rFonts w:asciiTheme="minorHAnsi" w:hAnsiTheme="minorHAnsi" w:cstheme="minorBidi"/>
                <w:noProof/>
                <w:sz w:val="22"/>
              </w:rPr>
              <w:tab/>
            </w:r>
            <w:r w:rsidRPr="009F2DD4">
              <w:rPr>
                <w:rStyle w:val="Hyperlink"/>
                <w:noProof/>
              </w:rPr>
              <w:t>Do Regulators Need Best Practices to Review Predictive Models?</w:t>
            </w:r>
            <w:r>
              <w:rPr>
                <w:noProof/>
                <w:webHidden/>
              </w:rPr>
              <w:tab/>
            </w:r>
            <w:r>
              <w:rPr>
                <w:noProof/>
                <w:webHidden/>
              </w:rPr>
              <w:fldChar w:fldCharType="begin"/>
            </w:r>
            <w:r>
              <w:rPr>
                <w:noProof/>
                <w:webHidden/>
              </w:rPr>
              <w:instrText xml:space="preserve"> PAGEREF _Toc8388749 \h </w:instrText>
            </w:r>
            <w:r>
              <w:rPr>
                <w:noProof/>
                <w:webHidden/>
              </w:rPr>
            </w:r>
            <w:r>
              <w:rPr>
                <w:noProof/>
                <w:webHidden/>
              </w:rPr>
              <w:fldChar w:fldCharType="separate"/>
            </w:r>
            <w:r>
              <w:rPr>
                <w:noProof/>
                <w:webHidden/>
              </w:rPr>
              <w:t>3</w:t>
            </w:r>
            <w:r>
              <w:rPr>
                <w:noProof/>
                <w:webHidden/>
              </w:rPr>
              <w:fldChar w:fldCharType="end"/>
            </w:r>
          </w:hyperlink>
        </w:p>
        <w:p w14:paraId="0ED46452" w14:textId="4047CF98" w:rsidR="00CD5564" w:rsidRDefault="00CD5564">
          <w:pPr>
            <w:pStyle w:val="TOC1"/>
            <w:rPr>
              <w:rFonts w:asciiTheme="minorHAnsi" w:hAnsiTheme="minorHAnsi" w:cstheme="minorBidi"/>
              <w:noProof/>
              <w:sz w:val="22"/>
            </w:rPr>
          </w:pPr>
          <w:hyperlink w:anchor="_Toc8388750" w:history="1">
            <w:r w:rsidRPr="009F2DD4">
              <w:rPr>
                <w:rStyle w:val="Hyperlink"/>
                <w:noProof/>
              </w:rPr>
              <w:t>IV.</w:t>
            </w:r>
            <w:r>
              <w:rPr>
                <w:rFonts w:asciiTheme="minorHAnsi" w:hAnsiTheme="minorHAnsi" w:cstheme="minorBidi"/>
                <w:noProof/>
                <w:sz w:val="22"/>
              </w:rPr>
              <w:tab/>
            </w:r>
            <w:r w:rsidRPr="009F2DD4">
              <w:rPr>
                <w:rStyle w:val="Hyperlink"/>
                <w:noProof/>
              </w:rPr>
              <w:t>Scope</w:t>
            </w:r>
            <w:r>
              <w:rPr>
                <w:noProof/>
                <w:webHidden/>
              </w:rPr>
              <w:tab/>
            </w:r>
            <w:r>
              <w:rPr>
                <w:noProof/>
                <w:webHidden/>
              </w:rPr>
              <w:fldChar w:fldCharType="begin"/>
            </w:r>
            <w:r>
              <w:rPr>
                <w:noProof/>
                <w:webHidden/>
              </w:rPr>
              <w:instrText xml:space="preserve"> PAGEREF _Toc8388750 \h </w:instrText>
            </w:r>
            <w:r>
              <w:rPr>
                <w:noProof/>
                <w:webHidden/>
              </w:rPr>
            </w:r>
            <w:r>
              <w:rPr>
                <w:noProof/>
                <w:webHidden/>
              </w:rPr>
              <w:fldChar w:fldCharType="separate"/>
            </w:r>
            <w:r>
              <w:rPr>
                <w:noProof/>
                <w:webHidden/>
              </w:rPr>
              <w:t>4</w:t>
            </w:r>
            <w:r>
              <w:rPr>
                <w:noProof/>
                <w:webHidden/>
              </w:rPr>
              <w:fldChar w:fldCharType="end"/>
            </w:r>
          </w:hyperlink>
        </w:p>
        <w:p w14:paraId="0519474E" w14:textId="2D5826AF" w:rsidR="00CD5564" w:rsidRDefault="00CD5564">
          <w:pPr>
            <w:pStyle w:val="TOC1"/>
            <w:rPr>
              <w:rFonts w:asciiTheme="minorHAnsi" w:hAnsiTheme="minorHAnsi" w:cstheme="minorBidi"/>
              <w:noProof/>
              <w:sz w:val="22"/>
            </w:rPr>
          </w:pPr>
          <w:hyperlink w:anchor="_Toc8388751" w:history="1">
            <w:r w:rsidRPr="009F2DD4">
              <w:rPr>
                <w:rStyle w:val="Hyperlink"/>
                <w:noProof/>
              </w:rPr>
              <w:t>V.</w:t>
            </w:r>
            <w:r>
              <w:rPr>
                <w:rFonts w:asciiTheme="minorHAnsi" w:hAnsiTheme="minorHAnsi" w:cstheme="minorBidi"/>
                <w:noProof/>
                <w:sz w:val="22"/>
              </w:rPr>
              <w:tab/>
            </w:r>
            <w:r w:rsidRPr="009F2DD4">
              <w:rPr>
                <w:rStyle w:val="Hyperlink"/>
                <w:noProof/>
              </w:rPr>
              <w:t>Confidentiality</w:t>
            </w:r>
            <w:r>
              <w:rPr>
                <w:noProof/>
                <w:webHidden/>
              </w:rPr>
              <w:tab/>
            </w:r>
            <w:r>
              <w:rPr>
                <w:noProof/>
                <w:webHidden/>
              </w:rPr>
              <w:fldChar w:fldCharType="begin"/>
            </w:r>
            <w:r>
              <w:rPr>
                <w:noProof/>
                <w:webHidden/>
              </w:rPr>
              <w:instrText xml:space="preserve"> PAGEREF _Toc8388751 \h </w:instrText>
            </w:r>
            <w:r>
              <w:rPr>
                <w:noProof/>
                <w:webHidden/>
              </w:rPr>
            </w:r>
            <w:r>
              <w:rPr>
                <w:noProof/>
                <w:webHidden/>
              </w:rPr>
              <w:fldChar w:fldCharType="separate"/>
            </w:r>
            <w:r>
              <w:rPr>
                <w:noProof/>
                <w:webHidden/>
              </w:rPr>
              <w:t>5</w:t>
            </w:r>
            <w:r>
              <w:rPr>
                <w:noProof/>
                <w:webHidden/>
              </w:rPr>
              <w:fldChar w:fldCharType="end"/>
            </w:r>
          </w:hyperlink>
        </w:p>
        <w:p w14:paraId="35D12094" w14:textId="61533852" w:rsidR="00CD5564" w:rsidRDefault="00CD5564">
          <w:pPr>
            <w:pStyle w:val="TOC1"/>
            <w:rPr>
              <w:rFonts w:asciiTheme="minorHAnsi" w:hAnsiTheme="minorHAnsi" w:cstheme="minorBidi"/>
              <w:noProof/>
              <w:sz w:val="22"/>
            </w:rPr>
          </w:pPr>
          <w:hyperlink w:anchor="_Toc8388752" w:history="1">
            <w:r w:rsidRPr="009F2DD4">
              <w:rPr>
                <w:rStyle w:val="Hyperlink"/>
                <w:noProof/>
                <w:lang w:val="en"/>
              </w:rPr>
              <w:t>VI.</w:t>
            </w:r>
            <w:r>
              <w:rPr>
                <w:rFonts w:asciiTheme="minorHAnsi" w:hAnsiTheme="minorHAnsi" w:cstheme="minorBidi"/>
                <w:noProof/>
                <w:sz w:val="22"/>
              </w:rPr>
              <w:tab/>
            </w:r>
            <w:r w:rsidRPr="009F2DD4">
              <w:rPr>
                <w:rStyle w:val="Hyperlink"/>
                <w:noProof/>
                <w:lang w:val="en"/>
              </w:rPr>
              <w:t>Guidance for Regulatory Review of Predictive Models (Best Practices)</w:t>
            </w:r>
            <w:r>
              <w:rPr>
                <w:noProof/>
                <w:webHidden/>
              </w:rPr>
              <w:tab/>
            </w:r>
            <w:r>
              <w:rPr>
                <w:noProof/>
                <w:webHidden/>
              </w:rPr>
              <w:fldChar w:fldCharType="begin"/>
            </w:r>
            <w:r>
              <w:rPr>
                <w:noProof/>
                <w:webHidden/>
              </w:rPr>
              <w:instrText xml:space="preserve"> PAGEREF _Toc8388752 \h </w:instrText>
            </w:r>
            <w:r>
              <w:rPr>
                <w:noProof/>
                <w:webHidden/>
              </w:rPr>
            </w:r>
            <w:r>
              <w:rPr>
                <w:noProof/>
                <w:webHidden/>
              </w:rPr>
              <w:fldChar w:fldCharType="separate"/>
            </w:r>
            <w:r>
              <w:rPr>
                <w:noProof/>
                <w:webHidden/>
              </w:rPr>
              <w:t>5</w:t>
            </w:r>
            <w:r>
              <w:rPr>
                <w:noProof/>
                <w:webHidden/>
              </w:rPr>
              <w:fldChar w:fldCharType="end"/>
            </w:r>
          </w:hyperlink>
        </w:p>
        <w:p w14:paraId="32DB8BCF" w14:textId="58078ABD" w:rsidR="00CD5564" w:rsidRDefault="00CD5564">
          <w:pPr>
            <w:pStyle w:val="TOC1"/>
            <w:rPr>
              <w:rFonts w:asciiTheme="minorHAnsi" w:hAnsiTheme="minorHAnsi" w:cstheme="minorBidi"/>
              <w:noProof/>
              <w:sz w:val="22"/>
            </w:rPr>
          </w:pPr>
          <w:hyperlink w:anchor="_Toc8388753" w:history="1">
            <w:r w:rsidRPr="009F2DD4">
              <w:rPr>
                <w:rStyle w:val="Hyperlink"/>
                <w:noProof/>
              </w:rPr>
              <w:t>VII.</w:t>
            </w:r>
            <w:r>
              <w:rPr>
                <w:rFonts w:asciiTheme="minorHAnsi" w:hAnsiTheme="minorHAnsi" w:cstheme="minorBidi"/>
                <w:noProof/>
                <w:sz w:val="22"/>
              </w:rPr>
              <w:tab/>
            </w:r>
            <w:r w:rsidRPr="009F2DD4">
              <w:rPr>
                <w:rStyle w:val="Hyperlink"/>
                <w:noProof/>
              </w:rPr>
              <w:t>Predictive Models – Information for Regulatory Review</w:t>
            </w:r>
            <w:r>
              <w:rPr>
                <w:noProof/>
                <w:webHidden/>
              </w:rPr>
              <w:tab/>
            </w:r>
            <w:r>
              <w:rPr>
                <w:noProof/>
                <w:webHidden/>
              </w:rPr>
              <w:fldChar w:fldCharType="begin"/>
            </w:r>
            <w:r>
              <w:rPr>
                <w:noProof/>
                <w:webHidden/>
              </w:rPr>
              <w:instrText xml:space="preserve"> PAGEREF _Toc8388753 \h </w:instrText>
            </w:r>
            <w:r>
              <w:rPr>
                <w:noProof/>
                <w:webHidden/>
              </w:rPr>
            </w:r>
            <w:r>
              <w:rPr>
                <w:noProof/>
                <w:webHidden/>
              </w:rPr>
              <w:fldChar w:fldCharType="separate"/>
            </w:r>
            <w:r>
              <w:rPr>
                <w:noProof/>
                <w:webHidden/>
              </w:rPr>
              <w:t>6</w:t>
            </w:r>
            <w:r>
              <w:rPr>
                <w:noProof/>
                <w:webHidden/>
              </w:rPr>
              <w:fldChar w:fldCharType="end"/>
            </w:r>
          </w:hyperlink>
        </w:p>
        <w:p w14:paraId="2B8F46F6" w14:textId="2B43539E" w:rsidR="00CD5564" w:rsidRDefault="00CD5564">
          <w:pPr>
            <w:pStyle w:val="TOC1"/>
            <w:rPr>
              <w:rFonts w:asciiTheme="minorHAnsi" w:hAnsiTheme="minorHAnsi" w:cstheme="minorBidi"/>
              <w:noProof/>
              <w:sz w:val="22"/>
            </w:rPr>
          </w:pPr>
          <w:hyperlink w:anchor="_Toc8388754" w:history="1">
            <w:r w:rsidRPr="009F2DD4">
              <w:rPr>
                <w:rStyle w:val="Hyperlink"/>
                <w:noProof/>
              </w:rPr>
              <w:t>VIII.</w:t>
            </w:r>
            <w:r>
              <w:rPr>
                <w:rFonts w:asciiTheme="minorHAnsi" w:hAnsiTheme="minorHAnsi" w:cstheme="minorBidi"/>
                <w:noProof/>
                <w:sz w:val="22"/>
              </w:rPr>
              <w:tab/>
            </w:r>
            <w:r w:rsidRPr="009F2DD4">
              <w:rPr>
                <w:rStyle w:val="Hyperlink"/>
                <w:noProof/>
              </w:rPr>
              <w:t xml:space="preserve">Proposed Changes to the </w:t>
            </w:r>
            <w:r w:rsidRPr="009F2DD4">
              <w:rPr>
                <w:rStyle w:val="Hyperlink"/>
                <w:i/>
                <w:noProof/>
              </w:rPr>
              <w:t>Product Filing Review Handbook</w:t>
            </w:r>
            <w:r>
              <w:rPr>
                <w:noProof/>
                <w:webHidden/>
              </w:rPr>
              <w:tab/>
            </w:r>
            <w:r>
              <w:rPr>
                <w:noProof/>
                <w:webHidden/>
              </w:rPr>
              <w:fldChar w:fldCharType="begin"/>
            </w:r>
            <w:r>
              <w:rPr>
                <w:noProof/>
                <w:webHidden/>
              </w:rPr>
              <w:instrText xml:space="preserve"> PAGEREF _Toc8388754 \h </w:instrText>
            </w:r>
            <w:r>
              <w:rPr>
                <w:noProof/>
                <w:webHidden/>
              </w:rPr>
            </w:r>
            <w:r>
              <w:rPr>
                <w:noProof/>
                <w:webHidden/>
              </w:rPr>
              <w:fldChar w:fldCharType="separate"/>
            </w:r>
            <w:r>
              <w:rPr>
                <w:noProof/>
                <w:webHidden/>
              </w:rPr>
              <w:t>24</w:t>
            </w:r>
            <w:r>
              <w:rPr>
                <w:noProof/>
                <w:webHidden/>
              </w:rPr>
              <w:fldChar w:fldCharType="end"/>
            </w:r>
          </w:hyperlink>
        </w:p>
        <w:p w14:paraId="32A21F23" w14:textId="16C66EC1" w:rsidR="00CD5564" w:rsidRDefault="00CD5564">
          <w:pPr>
            <w:pStyle w:val="TOC1"/>
            <w:rPr>
              <w:rFonts w:asciiTheme="minorHAnsi" w:hAnsiTheme="minorHAnsi" w:cstheme="minorBidi"/>
              <w:noProof/>
              <w:sz w:val="22"/>
            </w:rPr>
          </w:pPr>
          <w:hyperlink w:anchor="_Toc8388755" w:history="1">
            <w:r w:rsidRPr="009F2DD4">
              <w:rPr>
                <w:rStyle w:val="Hyperlink"/>
                <w:noProof/>
                <w:lang w:val="en"/>
              </w:rPr>
              <w:t>IX.</w:t>
            </w:r>
            <w:r>
              <w:rPr>
                <w:rFonts w:asciiTheme="minorHAnsi" w:hAnsiTheme="minorHAnsi" w:cstheme="minorBidi"/>
                <w:noProof/>
                <w:sz w:val="22"/>
              </w:rPr>
              <w:tab/>
            </w:r>
            <w:r w:rsidRPr="009F2DD4">
              <w:rPr>
                <w:rStyle w:val="Hyperlink"/>
                <w:noProof/>
              </w:rPr>
              <w:t>Proposed State Guidance</w:t>
            </w:r>
            <w:r>
              <w:rPr>
                <w:noProof/>
                <w:webHidden/>
              </w:rPr>
              <w:tab/>
            </w:r>
            <w:r>
              <w:rPr>
                <w:noProof/>
                <w:webHidden/>
              </w:rPr>
              <w:fldChar w:fldCharType="begin"/>
            </w:r>
            <w:r>
              <w:rPr>
                <w:noProof/>
                <w:webHidden/>
              </w:rPr>
              <w:instrText xml:space="preserve"> PAGEREF _Toc8388755 \h </w:instrText>
            </w:r>
            <w:r>
              <w:rPr>
                <w:noProof/>
                <w:webHidden/>
              </w:rPr>
            </w:r>
            <w:r>
              <w:rPr>
                <w:noProof/>
                <w:webHidden/>
              </w:rPr>
              <w:fldChar w:fldCharType="separate"/>
            </w:r>
            <w:r>
              <w:rPr>
                <w:noProof/>
                <w:webHidden/>
              </w:rPr>
              <w:t>24</w:t>
            </w:r>
            <w:r>
              <w:rPr>
                <w:noProof/>
                <w:webHidden/>
              </w:rPr>
              <w:fldChar w:fldCharType="end"/>
            </w:r>
          </w:hyperlink>
        </w:p>
        <w:p w14:paraId="10915E68" w14:textId="61E020C2" w:rsidR="00CD5564" w:rsidRDefault="00CD5564">
          <w:pPr>
            <w:pStyle w:val="TOC1"/>
            <w:rPr>
              <w:rFonts w:asciiTheme="minorHAnsi" w:hAnsiTheme="minorHAnsi" w:cstheme="minorBidi"/>
              <w:noProof/>
              <w:sz w:val="22"/>
            </w:rPr>
          </w:pPr>
          <w:hyperlink w:anchor="_Toc8388756" w:history="1">
            <w:r w:rsidRPr="009F2DD4">
              <w:rPr>
                <w:rStyle w:val="Hyperlink"/>
                <w:noProof/>
              </w:rPr>
              <w:t>X.</w:t>
            </w:r>
            <w:r>
              <w:rPr>
                <w:rFonts w:asciiTheme="minorHAnsi" w:hAnsiTheme="minorHAnsi" w:cstheme="minorBidi"/>
                <w:noProof/>
                <w:sz w:val="22"/>
              </w:rPr>
              <w:tab/>
            </w:r>
            <w:r w:rsidRPr="009F2DD4">
              <w:rPr>
                <w:rStyle w:val="Hyperlink"/>
                <w:noProof/>
              </w:rPr>
              <w:t>Other Considerations</w:t>
            </w:r>
            <w:r>
              <w:rPr>
                <w:noProof/>
                <w:webHidden/>
              </w:rPr>
              <w:tab/>
            </w:r>
            <w:r>
              <w:rPr>
                <w:noProof/>
                <w:webHidden/>
              </w:rPr>
              <w:fldChar w:fldCharType="begin"/>
            </w:r>
            <w:r>
              <w:rPr>
                <w:noProof/>
                <w:webHidden/>
              </w:rPr>
              <w:instrText xml:space="preserve"> PAGEREF _Toc8388756 \h </w:instrText>
            </w:r>
            <w:r>
              <w:rPr>
                <w:noProof/>
                <w:webHidden/>
              </w:rPr>
            </w:r>
            <w:r>
              <w:rPr>
                <w:noProof/>
                <w:webHidden/>
              </w:rPr>
              <w:fldChar w:fldCharType="separate"/>
            </w:r>
            <w:r>
              <w:rPr>
                <w:noProof/>
                <w:webHidden/>
              </w:rPr>
              <w:t>24</w:t>
            </w:r>
            <w:r>
              <w:rPr>
                <w:noProof/>
                <w:webHidden/>
              </w:rPr>
              <w:fldChar w:fldCharType="end"/>
            </w:r>
          </w:hyperlink>
        </w:p>
        <w:p w14:paraId="33DF6358" w14:textId="50D0852C" w:rsidR="00CD5564" w:rsidRDefault="00CD5564">
          <w:pPr>
            <w:pStyle w:val="TOC1"/>
            <w:rPr>
              <w:rFonts w:asciiTheme="minorHAnsi" w:hAnsiTheme="minorHAnsi" w:cstheme="minorBidi"/>
              <w:noProof/>
              <w:sz w:val="22"/>
            </w:rPr>
          </w:pPr>
          <w:hyperlink w:anchor="_Toc8388757" w:history="1">
            <w:r w:rsidRPr="009F2DD4">
              <w:rPr>
                <w:rStyle w:val="Hyperlink"/>
                <w:noProof/>
                <w:lang w:val="en"/>
              </w:rPr>
              <w:t>XI.</w:t>
            </w:r>
            <w:r>
              <w:rPr>
                <w:rFonts w:asciiTheme="minorHAnsi" w:hAnsiTheme="minorHAnsi" w:cstheme="minorBidi"/>
                <w:noProof/>
                <w:sz w:val="22"/>
              </w:rPr>
              <w:tab/>
            </w:r>
            <w:r w:rsidRPr="009F2DD4">
              <w:rPr>
                <w:rStyle w:val="Hyperlink"/>
                <w:noProof/>
                <w:lang w:val="en"/>
              </w:rPr>
              <w:t xml:space="preserve">Recommendations Going </w:t>
            </w:r>
            <w:r w:rsidRPr="009F2DD4">
              <w:rPr>
                <w:rStyle w:val="Hyperlink"/>
                <w:noProof/>
              </w:rPr>
              <w:t>Forward</w:t>
            </w:r>
            <w:r>
              <w:rPr>
                <w:noProof/>
                <w:webHidden/>
              </w:rPr>
              <w:tab/>
            </w:r>
            <w:r>
              <w:rPr>
                <w:noProof/>
                <w:webHidden/>
              </w:rPr>
              <w:fldChar w:fldCharType="begin"/>
            </w:r>
            <w:r>
              <w:rPr>
                <w:noProof/>
                <w:webHidden/>
              </w:rPr>
              <w:instrText xml:space="preserve"> PAGEREF _Toc8388757 \h </w:instrText>
            </w:r>
            <w:r>
              <w:rPr>
                <w:noProof/>
                <w:webHidden/>
              </w:rPr>
            </w:r>
            <w:r>
              <w:rPr>
                <w:noProof/>
                <w:webHidden/>
              </w:rPr>
              <w:fldChar w:fldCharType="separate"/>
            </w:r>
            <w:r>
              <w:rPr>
                <w:noProof/>
                <w:webHidden/>
              </w:rPr>
              <w:t>24</w:t>
            </w:r>
            <w:r>
              <w:rPr>
                <w:noProof/>
                <w:webHidden/>
              </w:rPr>
              <w:fldChar w:fldCharType="end"/>
            </w:r>
          </w:hyperlink>
        </w:p>
        <w:p w14:paraId="1BF2FD37" w14:textId="1684A3FB" w:rsidR="00CD5564" w:rsidRDefault="00CD5564">
          <w:pPr>
            <w:pStyle w:val="TOC1"/>
            <w:rPr>
              <w:rFonts w:asciiTheme="minorHAnsi" w:hAnsiTheme="minorHAnsi" w:cstheme="minorBidi"/>
              <w:noProof/>
              <w:sz w:val="22"/>
            </w:rPr>
          </w:pPr>
          <w:hyperlink w:anchor="_Toc8388758" w:history="1">
            <w:r w:rsidRPr="009F2DD4">
              <w:rPr>
                <w:rStyle w:val="Hyperlink"/>
                <w:noProof/>
                <w:lang w:val="en"/>
              </w:rPr>
              <w:t>XII.</w:t>
            </w:r>
            <w:r>
              <w:rPr>
                <w:rFonts w:asciiTheme="minorHAnsi" w:hAnsiTheme="minorHAnsi" w:cstheme="minorBidi"/>
                <w:noProof/>
                <w:sz w:val="22"/>
              </w:rPr>
              <w:tab/>
            </w:r>
            <w:r w:rsidRPr="009F2DD4">
              <w:rPr>
                <w:rStyle w:val="Hyperlink"/>
                <w:noProof/>
                <w:lang w:val="en"/>
              </w:rPr>
              <w:t>Appendix A – Best Practice Development</w:t>
            </w:r>
            <w:r>
              <w:rPr>
                <w:noProof/>
                <w:webHidden/>
              </w:rPr>
              <w:tab/>
            </w:r>
            <w:r>
              <w:rPr>
                <w:noProof/>
                <w:webHidden/>
              </w:rPr>
              <w:fldChar w:fldCharType="begin"/>
            </w:r>
            <w:r>
              <w:rPr>
                <w:noProof/>
                <w:webHidden/>
              </w:rPr>
              <w:instrText xml:space="preserve"> PAGEREF _Toc8388758 \h </w:instrText>
            </w:r>
            <w:r>
              <w:rPr>
                <w:noProof/>
                <w:webHidden/>
              </w:rPr>
            </w:r>
            <w:r>
              <w:rPr>
                <w:noProof/>
                <w:webHidden/>
              </w:rPr>
              <w:fldChar w:fldCharType="separate"/>
            </w:r>
            <w:r>
              <w:rPr>
                <w:noProof/>
                <w:webHidden/>
              </w:rPr>
              <w:t>25</w:t>
            </w:r>
            <w:r>
              <w:rPr>
                <w:noProof/>
                <w:webHidden/>
              </w:rPr>
              <w:fldChar w:fldCharType="end"/>
            </w:r>
          </w:hyperlink>
        </w:p>
        <w:p w14:paraId="53E8DD14" w14:textId="4EEBBA29" w:rsidR="00CD5564" w:rsidRDefault="00CD5564">
          <w:pPr>
            <w:pStyle w:val="TOC1"/>
            <w:rPr>
              <w:rFonts w:asciiTheme="minorHAnsi" w:hAnsiTheme="minorHAnsi" w:cstheme="minorBidi"/>
              <w:noProof/>
              <w:sz w:val="22"/>
            </w:rPr>
          </w:pPr>
          <w:hyperlink w:anchor="_Toc8388759" w:history="1">
            <w:r w:rsidRPr="009F2DD4">
              <w:rPr>
                <w:rStyle w:val="Hyperlink"/>
                <w:noProof/>
                <w:lang w:val="en"/>
              </w:rPr>
              <w:t>XIII.</w:t>
            </w:r>
            <w:r>
              <w:rPr>
                <w:rFonts w:asciiTheme="minorHAnsi" w:hAnsiTheme="minorHAnsi" w:cstheme="minorBidi"/>
                <w:noProof/>
                <w:sz w:val="22"/>
              </w:rPr>
              <w:tab/>
            </w:r>
            <w:r w:rsidRPr="009F2DD4">
              <w:rPr>
                <w:rStyle w:val="Hyperlink"/>
                <w:noProof/>
                <w:lang w:val="en"/>
              </w:rPr>
              <w:t>Appendix B - - Glossary of Terms</w:t>
            </w:r>
            <w:r>
              <w:rPr>
                <w:noProof/>
                <w:webHidden/>
              </w:rPr>
              <w:tab/>
            </w:r>
            <w:r>
              <w:rPr>
                <w:noProof/>
                <w:webHidden/>
              </w:rPr>
              <w:fldChar w:fldCharType="begin"/>
            </w:r>
            <w:r>
              <w:rPr>
                <w:noProof/>
                <w:webHidden/>
              </w:rPr>
              <w:instrText xml:space="preserve"> PAGEREF _Toc8388759 \h </w:instrText>
            </w:r>
            <w:r>
              <w:rPr>
                <w:noProof/>
                <w:webHidden/>
              </w:rPr>
            </w:r>
            <w:r>
              <w:rPr>
                <w:noProof/>
                <w:webHidden/>
              </w:rPr>
              <w:fldChar w:fldCharType="separate"/>
            </w:r>
            <w:r>
              <w:rPr>
                <w:noProof/>
                <w:webHidden/>
              </w:rPr>
              <w:t>26</w:t>
            </w:r>
            <w:r>
              <w:rPr>
                <w:noProof/>
                <w:webHidden/>
              </w:rPr>
              <w:fldChar w:fldCharType="end"/>
            </w:r>
          </w:hyperlink>
        </w:p>
        <w:p w14:paraId="277627A7" w14:textId="4204A608" w:rsidR="00CD5564" w:rsidRDefault="00CD5564">
          <w:pPr>
            <w:pStyle w:val="TOC1"/>
            <w:rPr>
              <w:rFonts w:asciiTheme="minorHAnsi" w:hAnsiTheme="minorHAnsi" w:cstheme="minorBidi"/>
              <w:noProof/>
              <w:sz w:val="22"/>
            </w:rPr>
          </w:pPr>
          <w:hyperlink w:anchor="_Toc8388760" w:history="1">
            <w:r w:rsidRPr="009F2DD4">
              <w:rPr>
                <w:rStyle w:val="Hyperlink"/>
                <w:noProof/>
                <w:lang w:val="en"/>
              </w:rPr>
              <w:t>XIV.</w:t>
            </w:r>
            <w:r>
              <w:rPr>
                <w:rFonts w:asciiTheme="minorHAnsi" w:hAnsiTheme="minorHAnsi" w:cstheme="minorBidi"/>
                <w:noProof/>
                <w:sz w:val="22"/>
              </w:rPr>
              <w:tab/>
            </w:r>
            <w:r w:rsidRPr="009F2DD4">
              <w:rPr>
                <w:rStyle w:val="Hyperlink"/>
                <w:noProof/>
                <w:lang w:val="en"/>
              </w:rPr>
              <w:t>Appendix C – Sample Rate-Disruption Template</w:t>
            </w:r>
            <w:r>
              <w:rPr>
                <w:noProof/>
                <w:webHidden/>
              </w:rPr>
              <w:tab/>
            </w:r>
            <w:r>
              <w:rPr>
                <w:noProof/>
                <w:webHidden/>
              </w:rPr>
              <w:fldChar w:fldCharType="begin"/>
            </w:r>
            <w:r>
              <w:rPr>
                <w:noProof/>
                <w:webHidden/>
              </w:rPr>
              <w:instrText xml:space="preserve"> PAGEREF _Toc8388760 \h </w:instrText>
            </w:r>
            <w:r>
              <w:rPr>
                <w:noProof/>
                <w:webHidden/>
              </w:rPr>
            </w:r>
            <w:r>
              <w:rPr>
                <w:noProof/>
                <w:webHidden/>
              </w:rPr>
              <w:fldChar w:fldCharType="separate"/>
            </w:r>
            <w:r>
              <w:rPr>
                <w:noProof/>
                <w:webHidden/>
              </w:rPr>
              <w:t>28</w:t>
            </w:r>
            <w:r>
              <w:rPr>
                <w:noProof/>
                <w:webHidden/>
              </w:rPr>
              <w:fldChar w:fldCharType="end"/>
            </w:r>
          </w:hyperlink>
        </w:p>
        <w:p w14:paraId="7ADBEDE8" w14:textId="082186EB" w:rsidR="00CD5564" w:rsidRDefault="00CD5564">
          <w:pPr>
            <w:pStyle w:val="TOC1"/>
            <w:rPr>
              <w:rFonts w:asciiTheme="minorHAnsi" w:hAnsiTheme="minorHAnsi" w:cstheme="minorBidi"/>
              <w:noProof/>
              <w:sz w:val="22"/>
            </w:rPr>
          </w:pPr>
          <w:hyperlink w:anchor="_Toc8388761" w:history="1">
            <w:r w:rsidRPr="009F2DD4">
              <w:rPr>
                <w:rStyle w:val="Hyperlink"/>
                <w:noProof/>
                <w:lang w:val="en"/>
              </w:rPr>
              <w:t>XV.</w:t>
            </w:r>
            <w:r>
              <w:rPr>
                <w:rFonts w:asciiTheme="minorHAnsi" w:hAnsiTheme="minorHAnsi" w:cstheme="minorBidi"/>
                <w:noProof/>
                <w:sz w:val="22"/>
              </w:rPr>
              <w:tab/>
            </w:r>
            <w:r w:rsidRPr="009F2DD4">
              <w:rPr>
                <w:rStyle w:val="Hyperlink"/>
                <w:noProof/>
              </w:rPr>
              <w:t>Appendix D – Information Needed by Regulator Mapped into Best Practices</w:t>
            </w:r>
            <w:r>
              <w:rPr>
                <w:noProof/>
                <w:webHidden/>
              </w:rPr>
              <w:tab/>
            </w:r>
            <w:r>
              <w:rPr>
                <w:noProof/>
                <w:webHidden/>
              </w:rPr>
              <w:fldChar w:fldCharType="begin"/>
            </w:r>
            <w:r>
              <w:rPr>
                <w:noProof/>
                <w:webHidden/>
              </w:rPr>
              <w:instrText xml:space="preserve"> PAGEREF _Toc8388761 \h </w:instrText>
            </w:r>
            <w:r>
              <w:rPr>
                <w:noProof/>
                <w:webHidden/>
              </w:rPr>
            </w:r>
            <w:r>
              <w:rPr>
                <w:noProof/>
                <w:webHidden/>
              </w:rPr>
              <w:fldChar w:fldCharType="separate"/>
            </w:r>
            <w:r>
              <w:rPr>
                <w:noProof/>
                <w:webHidden/>
              </w:rPr>
              <w:t>30</w:t>
            </w:r>
            <w:r>
              <w:rPr>
                <w:noProof/>
                <w:webHidden/>
              </w:rPr>
              <w:fldChar w:fldCharType="end"/>
            </w:r>
          </w:hyperlink>
        </w:p>
        <w:p w14:paraId="6242DEFB" w14:textId="7663CD0D" w:rsidR="00CD5564" w:rsidRDefault="00CD5564">
          <w:pPr>
            <w:pStyle w:val="TOC1"/>
            <w:rPr>
              <w:rFonts w:asciiTheme="minorHAnsi" w:hAnsiTheme="minorHAnsi" w:cstheme="minorBidi"/>
              <w:noProof/>
              <w:sz w:val="22"/>
            </w:rPr>
          </w:pPr>
          <w:hyperlink w:anchor="_Toc8388762" w:history="1">
            <w:r w:rsidRPr="009F2DD4">
              <w:rPr>
                <w:rStyle w:val="Hyperlink"/>
                <w:noProof/>
                <w:lang w:val="en"/>
              </w:rPr>
              <w:t>XVI.</w:t>
            </w:r>
            <w:r>
              <w:rPr>
                <w:rFonts w:asciiTheme="minorHAnsi" w:hAnsiTheme="minorHAnsi" w:cstheme="minorBidi"/>
                <w:noProof/>
                <w:sz w:val="22"/>
              </w:rPr>
              <w:tab/>
            </w:r>
            <w:r w:rsidRPr="009F2DD4">
              <w:rPr>
                <w:rStyle w:val="Hyperlink"/>
                <w:noProof/>
              </w:rPr>
              <w:t>Appendix E – References</w:t>
            </w:r>
            <w:r>
              <w:rPr>
                <w:noProof/>
                <w:webHidden/>
              </w:rPr>
              <w:tab/>
            </w:r>
            <w:r>
              <w:rPr>
                <w:noProof/>
                <w:webHidden/>
              </w:rPr>
              <w:fldChar w:fldCharType="begin"/>
            </w:r>
            <w:r>
              <w:rPr>
                <w:noProof/>
                <w:webHidden/>
              </w:rPr>
              <w:instrText xml:space="preserve"> PAGEREF _Toc8388762 \h </w:instrText>
            </w:r>
            <w:r>
              <w:rPr>
                <w:noProof/>
                <w:webHidden/>
              </w:rPr>
            </w:r>
            <w:r>
              <w:rPr>
                <w:noProof/>
                <w:webHidden/>
              </w:rPr>
              <w:fldChar w:fldCharType="separate"/>
            </w:r>
            <w:r>
              <w:rPr>
                <w:noProof/>
                <w:webHidden/>
              </w:rPr>
              <w:t>30</w:t>
            </w:r>
            <w:r>
              <w:rPr>
                <w:noProof/>
                <w:webHidden/>
              </w:rPr>
              <w:fldChar w:fldCharType="end"/>
            </w:r>
          </w:hyperlink>
        </w:p>
        <w:p w14:paraId="138478DA" w14:textId="1861569B" w:rsidR="00F6663B" w:rsidRPr="00937B31" w:rsidRDefault="00F6663B" w:rsidP="005F5CBF">
          <w:pPr>
            <w:tabs>
              <w:tab w:val="left" w:pos="540"/>
            </w:tabs>
            <w:ind w:left="540" w:hanging="540"/>
            <w:jc w:val="both"/>
            <w:rPr>
              <w:rFonts w:ascii="Times New Roman" w:hAnsi="Times New Roman" w:cs="Times New Roman"/>
              <w:sz w:val="20"/>
              <w:szCs w:val="20"/>
            </w:rPr>
          </w:pPr>
          <w:r w:rsidRPr="00937B31">
            <w:rPr>
              <w:rFonts w:ascii="Times New Roman" w:eastAsiaTheme="minorEastAsia" w:hAnsi="Times New Roman" w:cs="Times New Roman"/>
              <w:b/>
              <w:bCs/>
              <w:noProof/>
              <w:sz w:val="20"/>
              <w:szCs w:val="20"/>
            </w:rPr>
            <w:fldChar w:fldCharType="end"/>
          </w:r>
        </w:p>
      </w:sdtContent>
    </w:sdt>
    <w:p w14:paraId="5C1D0D13" w14:textId="77777777" w:rsidR="00F6663B" w:rsidRPr="00937B31" w:rsidRDefault="00F6663B" w:rsidP="00F6663B">
      <w:pPr>
        <w:pBdr>
          <w:bottom w:val="single" w:sz="4" w:space="1" w:color="auto"/>
        </w:pBdr>
        <w:jc w:val="both"/>
        <w:rPr>
          <w:rFonts w:ascii="Times New Roman" w:hAnsi="Times New Roman" w:cs="Times New Roman"/>
          <w:sz w:val="20"/>
          <w:szCs w:val="20"/>
        </w:rPr>
      </w:pPr>
    </w:p>
    <w:p w14:paraId="618B7DDB" w14:textId="77777777" w:rsidR="00374067" w:rsidRPr="00937B31" w:rsidRDefault="00374067" w:rsidP="00ED744F">
      <w:pPr>
        <w:jc w:val="both"/>
        <w:rPr>
          <w:rFonts w:ascii="Times New Roman" w:eastAsiaTheme="majorEastAsia" w:hAnsi="Times New Roman" w:cs="Times New Roman"/>
          <w:b/>
          <w:spacing w:val="-10"/>
          <w:kern w:val="28"/>
          <w:sz w:val="20"/>
          <w:szCs w:val="20"/>
        </w:rPr>
      </w:pPr>
      <w:r w:rsidRPr="00937B31">
        <w:rPr>
          <w:rFonts w:ascii="Times New Roman" w:hAnsi="Times New Roman" w:cs="Times New Roman"/>
          <w:b/>
          <w:sz w:val="20"/>
          <w:szCs w:val="20"/>
        </w:rPr>
        <w:br w:type="page"/>
      </w:r>
    </w:p>
    <w:p w14:paraId="3F681273" w14:textId="5FF82B79" w:rsidR="000D43C6" w:rsidRPr="00937B31" w:rsidRDefault="00405F95" w:rsidP="00ED744F">
      <w:pPr>
        <w:pStyle w:val="Heading1"/>
        <w:jc w:val="both"/>
        <w:rPr>
          <w:rFonts w:cs="Times New Roman"/>
        </w:rPr>
      </w:pPr>
      <w:bookmarkStart w:id="0" w:name="_Toc8388747"/>
      <w:r w:rsidRPr="00937B31">
        <w:rPr>
          <w:rFonts w:cs="Times New Roman"/>
        </w:rPr>
        <w:t>Introduction</w:t>
      </w:r>
      <w:bookmarkEnd w:id="0"/>
    </w:p>
    <w:p w14:paraId="1698A218" w14:textId="7740980B" w:rsidR="00FA04E2" w:rsidRPr="00937B31" w:rsidRDefault="00232EB1" w:rsidP="00232EB1">
      <w:pPr>
        <w:ind w:left="360"/>
        <w:jc w:val="both"/>
        <w:rPr>
          <w:rFonts w:ascii="Times New Roman" w:hAnsi="Times New Roman" w:cs="Times New Roman"/>
          <w:sz w:val="20"/>
          <w:szCs w:val="20"/>
        </w:rPr>
      </w:pPr>
      <w:r w:rsidRPr="00937B31">
        <w:rPr>
          <w:rFonts w:ascii="Times New Roman" w:hAnsi="Times New Roman" w:cs="Times New Roman"/>
          <w:sz w:val="20"/>
          <w:szCs w:val="20"/>
        </w:rPr>
        <w:t>Insurers’ use of predictive analytics along with big data has significant potential benefits to both consumers and insurers. Predictive analytics can reveal insights into the relationship between consumer behavior and the cost of insurance, lower the cost of insurance for many, and provide incentives for consumers to better control and mitigate loss. However, predictive analytic techniques are evolving rapidly and leaving many regulators without the necessary tools to effectively review insurers’ use of predictive models in insurance applications.</w:t>
      </w:r>
    </w:p>
    <w:p w14:paraId="788F1DCD" w14:textId="62899D83" w:rsidR="00FA04E2" w:rsidRPr="00937B31" w:rsidRDefault="00232EB1" w:rsidP="00232EB1">
      <w:pPr>
        <w:ind w:left="360"/>
        <w:jc w:val="both"/>
        <w:rPr>
          <w:rFonts w:ascii="Times New Roman" w:hAnsi="Times New Roman" w:cs="Times New Roman"/>
          <w:sz w:val="20"/>
          <w:szCs w:val="20"/>
        </w:rPr>
      </w:pPr>
      <w:r w:rsidRPr="00937B31">
        <w:rPr>
          <w:rFonts w:ascii="Times New Roman" w:hAnsi="Times New Roman" w:cs="Times New Roman"/>
          <w:sz w:val="20"/>
          <w:szCs w:val="20"/>
        </w:rPr>
        <w:t>When a rate plan is truly innovative, the insurer must anticipate or imagine the reviewers’ interests because reviewers will respond with unanticipated questions and have unique educational needs. Insurers can learn from the questions, teach the reviewers, and so forth. When that back-and-forth learning is memorialized and retained, filing requirements and insurer presentations can be routinely organized to meet or exceed reviewers’ needs and expectations. Hopefully, this paper helps bring more consistency and to the art of reviewing predictive models within a rate filing.</w:t>
      </w:r>
    </w:p>
    <w:p w14:paraId="25772C53" w14:textId="1CB24316" w:rsidR="004D6283" w:rsidRPr="00937B31" w:rsidRDefault="00F64852" w:rsidP="00ED744F">
      <w:pPr>
        <w:ind w:left="360"/>
        <w:jc w:val="both"/>
        <w:rPr>
          <w:rFonts w:ascii="Times New Roman" w:hAnsi="Times New Roman" w:cs="Times New Roman"/>
          <w:sz w:val="20"/>
          <w:szCs w:val="20"/>
        </w:rPr>
      </w:pPr>
      <w:r w:rsidRPr="00937B31">
        <w:rPr>
          <w:rFonts w:ascii="Times New Roman" w:hAnsi="Times New Roman" w:cs="Times New Roman"/>
          <w:sz w:val="20"/>
          <w:szCs w:val="20"/>
        </w:rPr>
        <w:t xml:space="preserve">The Casualty Actuarial and Statistical </w:t>
      </w:r>
      <w:r w:rsidR="007C1610" w:rsidRPr="00937B31">
        <w:rPr>
          <w:rFonts w:ascii="Times New Roman" w:hAnsi="Times New Roman" w:cs="Times New Roman"/>
          <w:sz w:val="20"/>
          <w:szCs w:val="20"/>
        </w:rPr>
        <w:t xml:space="preserve">(C) </w:t>
      </w:r>
      <w:r w:rsidRPr="00937B31">
        <w:rPr>
          <w:rFonts w:ascii="Times New Roman" w:hAnsi="Times New Roman" w:cs="Times New Roman"/>
          <w:sz w:val="20"/>
          <w:szCs w:val="20"/>
        </w:rPr>
        <w:t xml:space="preserve">Task Force (CASTF) has been charged </w:t>
      </w:r>
      <w:r w:rsidR="00DB4BF8" w:rsidRPr="00937B31">
        <w:rPr>
          <w:rFonts w:ascii="Times New Roman" w:hAnsi="Times New Roman" w:cs="Times New Roman"/>
          <w:sz w:val="20"/>
          <w:szCs w:val="20"/>
        </w:rPr>
        <w:t>with identifying</w:t>
      </w:r>
      <w:r w:rsidRPr="00937B31">
        <w:rPr>
          <w:rFonts w:ascii="Times New Roman" w:hAnsi="Times New Roman" w:cs="Times New Roman"/>
          <w:sz w:val="20"/>
          <w:szCs w:val="20"/>
        </w:rPr>
        <w:t xml:space="preserve"> best practices t</w:t>
      </w:r>
      <w:r w:rsidR="00E545EB" w:rsidRPr="00937B31">
        <w:rPr>
          <w:rFonts w:ascii="Times New Roman" w:hAnsi="Times New Roman" w:cs="Times New Roman"/>
          <w:sz w:val="20"/>
          <w:szCs w:val="20"/>
        </w:rPr>
        <w:t>o</w:t>
      </w:r>
      <w:r w:rsidRPr="00937B31">
        <w:rPr>
          <w:rFonts w:ascii="Times New Roman" w:hAnsi="Times New Roman" w:cs="Times New Roman"/>
          <w:sz w:val="20"/>
          <w:szCs w:val="20"/>
        </w:rPr>
        <w:t xml:space="preserve"> serve as </w:t>
      </w:r>
      <w:r w:rsidR="00491688" w:rsidRPr="00937B31">
        <w:rPr>
          <w:rFonts w:ascii="Times New Roman" w:hAnsi="Times New Roman" w:cs="Times New Roman"/>
          <w:sz w:val="20"/>
          <w:szCs w:val="20"/>
        </w:rPr>
        <w:t xml:space="preserve">a </w:t>
      </w:r>
      <w:r w:rsidR="00CD01DA" w:rsidRPr="00937B31">
        <w:rPr>
          <w:rFonts w:ascii="Times New Roman" w:hAnsi="Times New Roman" w:cs="Times New Roman"/>
          <w:sz w:val="20"/>
          <w:szCs w:val="20"/>
        </w:rPr>
        <w:t xml:space="preserve">guide </w:t>
      </w:r>
      <w:r w:rsidRPr="00937B31">
        <w:rPr>
          <w:rFonts w:ascii="Times New Roman" w:hAnsi="Times New Roman" w:cs="Times New Roman"/>
          <w:sz w:val="20"/>
          <w:szCs w:val="20"/>
        </w:rPr>
        <w:t>to state</w:t>
      </w:r>
      <w:r w:rsidR="00D75ABD" w:rsidRPr="00937B31">
        <w:rPr>
          <w:rFonts w:ascii="Times New Roman" w:hAnsi="Times New Roman" w:cs="Times New Roman"/>
          <w:sz w:val="20"/>
          <w:szCs w:val="20"/>
        </w:rPr>
        <w:t xml:space="preserve"> insurance departments</w:t>
      </w:r>
      <w:r w:rsidRPr="00937B31">
        <w:rPr>
          <w:rFonts w:ascii="Times New Roman" w:hAnsi="Times New Roman" w:cs="Times New Roman"/>
          <w:sz w:val="20"/>
          <w:szCs w:val="20"/>
        </w:rPr>
        <w:t xml:space="preserve"> in their review </w:t>
      </w:r>
      <w:r w:rsidR="00440036" w:rsidRPr="00937B31">
        <w:rPr>
          <w:rFonts w:ascii="Times New Roman" w:hAnsi="Times New Roman" w:cs="Times New Roman"/>
          <w:sz w:val="20"/>
          <w:szCs w:val="20"/>
        </w:rPr>
        <w:t xml:space="preserve">of </w:t>
      </w:r>
      <w:r w:rsidRPr="00937B31">
        <w:rPr>
          <w:rFonts w:ascii="Times New Roman" w:hAnsi="Times New Roman" w:cs="Times New Roman"/>
          <w:sz w:val="20"/>
          <w:szCs w:val="20"/>
        </w:rPr>
        <w:t>predictive models</w:t>
      </w:r>
      <w:r w:rsidR="00864B17" w:rsidRPr="00937B31">
        <w:rPr>
          <w:rStyle w:val="FootnoteReference"/>
          <w:rFonts w:ascii="Times New Roman" w:hAnsi="Times New Roman" w:cs="Times New Roman"/>
          <w:sz w:val="20"/>
          <w:szCs w:val="20"/>
        </w:rPr>
        <w:footnoteReference w:id="1"/>
      </w:r>
      <w:r w:rsidR="00500C1D" w:rsidRPr="00937B31">
        <w:rPr>
          <w:rFonts w:ascii="Times New Roman" w:hAnsi="Times New Roman" w:cs="Times New Roman"/>
          <w:sz w:val="20"/>
          <w:szCs w:val="20"/>
        </w:rPr>
        <w:t xml:space="preserve"> </w:t>
      </w:r>
      <w:r w:rsidRPr="00937B31">
        <w:rPr>
          <w:rFonts w:ascii="Times New Roman" w:hAnsi="Times New Roman" w:cs="Times New Roman"/>
          <w:sz w:val="20"/>
          <w:szCs w:val="20"/>
        </w:rPr>
        <w:t>underlying rating plans</w:t>
      </w:r>
      <w:r w:rsidR="00E545EB" w:rsidRPr="00937B31">
        <w:rPr>
          <w:rFonts w:ascii="Times New Roman" w:hAnsi="Times New Roman" w:cs="Times New Roman"/>
          <w:sz w:val="20"/>
          <w:szCs w:val="20"/>
        </w:rPr>
        <w:t xml:space="preserve">. </w:t>
      </w:r>
      <w:r w:rsidRPr="00937B31">
        <w:rPr>
          <w:rFonts w:ascii="Times New Roman" w:hAnsi="Times New Roman" w:cs="Times New Roman"/>
          <w:sz w:val="20"/>
          <w:szCs w:val="20"/>
        </w:rPr>
        <w:t xml:space="preserve">There were two charges given to CASTF by </w:t>
      </w:r>
      <w:r w:rsidR="007C1610" w:rsidRPr="00937B31">
        <w:rPr>
          <w:rFonts w:ascii="Times New Roman" w:hAnsi="Times New Roman" w:cs="Times New Roman"/>
          <w:sz w:val="20"/>
          <w:szCs w:val="20"/>
        </w:rPr>
        <w:t>the Property and Casualty Insurance (</w:t>
      </w:r>
      <w:r w:rsidRPr="00937B31">
        <w:rPr>
          <w:rFonts w:ascii="Times New Roman" w:hAnsi="Times New Roman" w:cs="Times New Roman"/>
          <w:sz w:val="20"/>
          <w:szCs w:val="20"/>
        </w:rPr>
        <w:t>C</w:t>
      </w:r>
      <w:r w:rsidR="007C1610" w:rsidRPr="00937B31">
        <w:rPr>
          <w:rFonts w:ascii="Times New Roman" w:hAnsi="Times New Roman" w:cs="Times New Roman"/>
          <w:sz w:val="20"/>
          <w:szCs w:val="20"/>
        </w:rPr>
        <w:t>)</w:t>
      </w:r>
      <w:r w:rsidRPr="00937B31">
        <w:rPr>
          <w:rFonts w:ascii="Times New Roman" w:hAnsi="Times New Roman" w:cs="Times New Roman"/>
          <w:sz w:val="20"/>
          <w:szCs w:val="20"/>
        </w:rPr>
        <w:t xml:space="preserve"> Committee at the request of the Big Data </w:t>
      </w:r>
      <w:r w:rsidR="007C1610" w:rsidRPr="00937B31">
        <w:rPr>
          <w:rFonts w:ascii="Times New Roman" w:hAnsi="Times New Roman" w:cs="Times New Roman"/>
          <w:sz w:val="20"/>
          <w:szCs w:val="20"/>
        </w:rPr>
        <w:t xml:space="preserve">(EX) </w:t>
      </w:r>
      <w:r w:rsidRPr="00937B31">
        <w:rPr>
          <w:rFonts w:ascii="Times New Roman" w:hAnsi="Times New Roman" w:cs="Times New Roman"/>
          <w:sz w:val="20"/>
          <w:szCs w:val="20"/>
        </w:rPr>
        <w:t>Working Group:</w:t>
      </w:r>
    </w:p>
    <w:p w14:paraId="67EC2086" w14:textId="77777777" w:rsidR="004D6283" w:rsidRPr="00937B31" w:rsidRDefault="00F64852" w:rsidP="00ED744F">
      <w:pPr>
        <w:pStyle w:val="Heading2"/>
        <w:jc w:val="both"/>
        <w:rPr>
          <w:rFonts w:cs="Times New Roman"/>
          <w:szCs w:val="20"/>
        </w:rPr>
      </w:pPr>
      <w:r w:rsidRPr="00937B31">
        <w:rPr>
          <w:rFonts w:cs="Times New Roman"/>
        </w:rPr>
        <w:t xml:space="preserve">Draft and propose changes to the </w:t>
      </w:r>
      <w:r w:rsidRPr="00937B31">
        <w:rPr>
          <w:rFonts w:cs="Times New Roman"/>
          <w:i/>
        </w:rPr>
        <w:t xml:space="preserve">Product Filing Review Handbook </w:t>
      </w:r>
      <w:r w:rsidRPr="00937B31">
        <w:rPr>
          <w:rFonts w:cs="Times New Roman"/>
        </w:rPr>
        <w:t>to include best practices for review of predictive models and analytics filed by insurers to justify rates.</w:t>
      </w:r>
    </w:p>
    <w:p w14:paraId="68A8B39B" w14:textId="77777777" w:rsidR="004D6283" w:rsidRPr="00937B31" w:rsidRDefault="00F64852" w:rsidP="00ED744F">
      <w:pPr>
        <w:pStyle w:val="Heading2"/>
        <w:jc w:val="both"/>
        <w:rPr>
          <w:rFonts w:cs="Times New Roman"/>
          <w:szCs w:val="20"/>
        </w:rPr>
      </w:pPr>
      <w:r w:rsidRPr="00937B31">
        <w:rPr>
          <w:rFonts w:cs="Times New Roman"/>
          <w:szCs w:val="20"/>
        </w:rPr>
        <w:t>Draft and propose state guidance (e.g., information, data) for rate filings that are based on complex predictive models.</w:t>
      </w:r>
    </w:p>
    <w:p w14:paraId="2AFF35F9" w14:textId="71E817BC" w:rsidR="00F64852" w:rsidRPr="00937B31" w:rsidRDefault="00F64852" w:rsidP="00ED744F">
      <w:pPr>
        <w:ind w:left="360"/>
        <w:jc w:val="both"/>
        <w:rPr>
          <w:rFonts w:ascii="Times New Roman" w:hAnsi="Times New Roman" w:cs="Times New Roman"/>
          <w:sz w:val="20"/>
          <w:szCs w:val="20"/>
        </w:rPr>
      </w:pPr>
      <w:r w:rsidRPr="00937B31">
        <w:rPr>
          <w:rFonts w:ascii="Times New Roman" w:hAnsi="Times New Roman" w:cs="Times New Roman"/>
          <w:sz w:val="20"/>
          <w:szCs w:val="20"/>
        </w:rPr>
        <w:t xml:space="preserve">This paper will </w:t>
      </w:r>
      <w:r w:rsidR="00A6605A" w:rsidRPr="00937B31">
        <w:rPr>
          <w:rFonts w:ascii="Times New Roman" w:hAnsi="Times New Roman" w:cs="Times New Roman"/>
          <w:sz w:val="20"/>
          <w:szCs w:val="20"/>
        </w:rPr>
        <w:t>identify</w:t>
      </w:r>
      <w:r w:rsidRPr="00937B31">
        <w:rPr>
          <w:rFonts w:ascii="Times New Roman" w:hAnsi="Times New Roman" w:cs="Times New Roman"/>
          <w:sz w:val="20"/>
          <w:szCs w:val="20"/>
        </w:rPr>
        <w:t xml:space="preserve"> best practices </w:t>
      </w:r>
      <w:r w:rsidR="00A6605A" w:rsidRPr="00937B31">
        <w:rPr>
          <w:rFonts w:ascii="Times New Roman" w:hAnsi="Times New Roman" w:cs="Times New Roman"/>
          <w:sz w:val="20"/>
          <w:szCs w:val="20"/>
        </w:rPr>
        <w:t xml:space="preserve">when </w:t>
      </w:r>
      <w:r w:rsidRPr="00937B31">
        <w:rPr>
          <w:rFonts w:ascii="Times New Roman" w:hAnsi="Times New Roman" w:cs="Times New Roman"/>
          <w:sz w:val="20"/>
          <w:szCs w:val="20"/>
        </w:rPr>
        <w:t>reviewing predictive models and analytics filed by insurers with regulators to justify rates</w:t>
      </w:r>
      <w:r w:rsidR="00E545EB" w:rsidRPr="00937B31">
        <w:rPr>
          <w:rFonts w:ascii="Times New Roman" w:hAnsi="Times New Roman" w:cs="Times New Roman"/>
          <w:sz w:val="20"/>
          <w:szCs w:val="20"/>
        </w:rPr>
        <w:t xml:space="preserve"> and provide </w:t>
      </w:r>
      <w:r w:rsidRPr="00937B31">
        <w:rPr>
          <w:rFonts w:ascii="Times New Roman" w:hAnsi="Times New Roman" w:cs="Times New Roman"/>
          <w:sz w:val="20"/>
          <w:szCs w:val="20"/>
        </w:rPr>
        <w:t xml:space="preserve">state guidance </w:t>
      </w:r>
      <w:r w:rsidR="008C6FA6" w:rsidRPr="00937B31">
        <w:rPr>
          <w:rFonts w:ascii="Times New Roman" w:hAnsi="Times New Roman" w:cs="Times New Roman"/>
          <w:sz w:val="20"/>
          <w:szCs w:val="20"/>
        </w:rPr>
        <w:t xml:space="preserve">for review of </w:t>
      </w:r>
      <w:r w:rsidRPr="00937B31">
        <w:rPr>
          <w:rFonts w:ascii="Times New Roman" w:hAnsi="Times New Roman" w:cs="Times New Roman"/>
          <w:sz w:val="20"/>
          <w:szCs w:val="20"/>
        </w:rPr>
        <w:t>rate filings based on predictive models.</w:t>
      </w:r>
      <w:r w:rsidR="00E545EB" w:rsidRPr="00937B31">
        <w:rPr>
          <w:rFonts w:ascii="Times New Roman" w:hAnsi="Times New Roman" w:cs="Times New Roman"/>
          <w:sz w:val="20"/>
          <w:szCs w:val="20"/>
        </w:rPr>
        <w:t xml:space="preserve"> Upon adoption of this paper</w:t>
      </w:r>
      <w:r w:rsidR="008C6FA6" w:rsidRPr="00937B31">
        <w:rPr>
          <w:rFonts w:ascii="Times New Roman" w:hAnsi="Times New Roman" w:cs="Times New Roman"/>
          <w:sz w:val="20"/>
          <w:szCs w:val="20"/>
        </w:rPr>
        <w:t xml:space="preserve"> by </w:t>
      </w:r>
      <w:r w:rsidR="0045518E" w:rsidRPr="00937B31">
        <w:rPr>
          <w:rFonts w:ascii="Times New Roman" w:hAnsi="Times New Roman" w:cs="Times New Roman"/>
          <w:sz w:val="20"/>
          <w:szCs w:val="20"/>
        </w:rPr>
        <w:t xml:space="preserve">the Executive (EX) Committee and </w:t>
      </w:r>
      <w:r w:rsidR="008C6FA6" w:rsidRPr="00937B31">
        <w:rPr>
          <w:rFonts w:ascii="Times New Roman" w:hAnsi="Times New Roman" w:cs="Times New Roman"/>
          <w:sz w:val="20"/>
          <w:szCs w:val="20"/>
        </w:rPr>
        <w:t>Plenary</w:t>
      </w:r>
      <w:r w:rsidR="00E545EB" w:rsidRPr="00937B31">
        <w:rPr>
          <w:rFonts w:ascii="Times New Roman" w:hAnsi="Times New Roman" w:cs="Times New Roman"/>
          <w:sz w:val="20"/>
          <w:szCs w:val="20"/>
        </w:rPr>
        <w:t xml:space="preserve">, the Task Force will evaluate how to </w:t>
      </w:r>
      <w:r w:rsidR="00A6605A" w:rsidRPr="00937B31">
        <w:rPr>
          <w:rFonts w:ascii="Times New Roman" w:hAnsi="Times New Roman" w:cs="Times New Roman"/>
          <w:sz w:val="20"/>
          <w:szCs w:val="20"/>
        </w:rPr>
        <w:t>incorporate these</w:t>
      </w:r>
      <w:r w:rsidR="00E545EB" w:rsidRPr="00937B31">
        <w:rPr>
          <w:rFonts w:ascii="Times New Roman" w:hAnsi="Times New Roman" w:cs="Times New Roman"/>
          <w:sz w:val="20"/>
          <w:szCs w:val="20"/>
        </w:rPr>
        <w:t xml:space="preserve"> best practices into the </w:t>
      </w:r>
      <w:r w:rsidR="00E545EB" w:rsidRPr="00937B31">
        <w:rPr>
          <w:rFonts w:ascii="Times New Roman" w:hAnsi="Times New Roman" w:cs="Times New Roman"/>
          <w:i/>
          <w:sz w:val="20"/>
          <w:szCs w:val="20"/>
        </w:rPr>
        <w:t>Product Filing Review Handbook</w:t>
      </w:r>
      <w:r w:rsidR="008C6FA6" w:rsidRPr="00937B31">
        <w:rPr>
          <w:rFonts w:ascii="Times New Roman" w:hAnsi="Times New Roman" w:cs="Times New Roman"/>
          <w:sz w:val="20"/>
          <w:szCs w:val="20"/>
        </w:rPr>
        <w:t xml:space="preserve"> and </w:t>
      </w:r>
      <w:r w:rsidR="00A6605A" w:rsidRPr="00937B31">
        <w:rPr>
          <w:rFonts w:ascii="Times New Roman" w:hAnsi="Times New Roman" w:cs="Times New Roman"/>
          <w:sz w:val="20"/>
          <w:szCs w:val="20"/>
        </w:rPr>
        <w:t xml:space="preserve">will </w:t>
      </w:r>
      <w:r w:rsidR="008C6FA6" w:rsidRPr="00937B31">
        <w:rPr>
          <w:rFonts w:ascii="Times New Roman" w:hAnsi="Times New Roman" w:cs="Times New Roman"/>
          <w:sz w:val="20"/>
          <w:szCs w:val="20"/>
        </w:rPr>
        <w:t xml:space="preserve">recommend such changes to the Speed to Market (EX) </w:t>
      </w:r>
      <w:r w:rsidR="00D7003C" w:rsidRPr="00937B31">
        <w:rPr>
          <w:rFonts w:ascii="Times New Roman" w:hAnsi="Times New Roman" w:cs="Times New Roman"/>
          <w:sz w:val="20"/>
          <w:szCs w:val="20"/>
        </w:rPr>
        <w:t>Working Group</w:t>
      </w:r>
      <w:r w:rsidR="00E545EB" w:rsidRPr="00937B31">
        <w:rPr>
          <w:rFonts w:ascii="Times New Roman" w:hAnsi="Times New Roman" w:cs="Times New Roman"/>
          <w:i/>
          <w:sz w:val="20"/>
          <w:szCs w:val="20"/>
        </w:rPr>
        <w:t>.</w:t>
      </w:r>
    </w:p>
    <w:p w14:paraId="1BC6642E" w14:textId="0997EE3C" w:rsidR="00941E85" w:rsidRPr="00937B31" w:rsidRDefault="00941E85" w:rsidP="00ED744F">
      <w:pPr>
        <w:pStyle w:val="Heading1"/>
        <w:jc w:val="both"/>
        <w:rPr>
          <w:rFonts w:cs="Times New Roman"/>
        </w:rPr>
      </w:pPr>
      <w:bookmarkStart w:id="1" w:name="_Toc8388748"/>
      <w:r w:rsidRPr="00937B31">
        <w:rPr>
          <w:rFonts w:cs="Times New Roman"/>
        </w:rPr>
        <w:t>What is a “Best Practice?</w:t>
      </w:r>
      <w:r w:rsidR="00D7003C" w:rsidRPr="00937B31">
        <w:rPr>
          <w:rFonts w:cs="Times New Roman"/>
        </w:rPr>
        <w:t>”</w:t>
      </w:r>
      <w:bookmarkEnd w:id="1"/>
    </w:p>
    <w:p w14:paraId="24FE0092" w14:textId="0E7742C7" w:rsidR="004D6283" w:rsidRPr="00937B31" w:rsidRDefault="00941E85" w:rsidP="00ED744F">
      <w:pPr>
        <w:ind w:left="360"/>
        <w:jc w:val="both"/>
        <w:rPr>
          <w:rFonts w:ascii="Times New Roman" w:hAnsi="Times New Roman" w:cs="Times New Roman"/>
          <w:sz w:val="20"/>
          <w:szCs w:val="20"/>
          <w:lang w:val="en"/>
        </w:rPr>
      </w:pPr>
      <w:r w:rsidRPr="00937B31">
        <w:rPr>
          <w:rFonts w:ascii="Times New Roman" w:hAnsi="Times New Roman" w:cs="Times New Roman"/>
          <w:sz w:val="20"/>
          <w:szCs w:val="20"/>
          <w:lang w:val="en"/>
        </w:rPr>
        <w:t xml:space="preserve">A best practice is a form of program evaluation in public policy. </w:t>
      </w:r>
      <w:r w:rsidR="00D05711" w:rsidRPr="00937B31">
        <w:rPr>
          <w:rFonts w:ascii="Times New Roman" w:hAnsi="Times New Roman" w:cs="Times New Roman"/>
          <w:sz w:val="20"/>
          <w:szCs w:val="20"/>
          <w:lang w:val="en"/>
        </w:rPr>
        <w:t>At its most basic level, a practice is a “tangible and visible behavior</w:t>
      </w:r>
      <w:r w:rsidR="00FD3135" w:rsidRPr="00937B31">
        <w:rPr>
          <w:rFonts w:ascii="Times New Roman" w:hAnsi="Times New Roman" w:cs="Times New Roman"/>
          <w:sz w:val="20"/>
          <w:szCs w:val="20"/>
          <w:lang w:val="en"/>
        </w:rPr>
        <w:t>… [</w:t>
      </w:r>
      <w:r w:rsidR="00D05711" w:rsidRPr="00937B31">
        <w:rPr>
          <w:rFonts w:ascii="Times New Roman" w:hAnsi="Times New Roman" w:cs="Times New Roman"/>
          <w:sz w:val="20"/>
          <w:szCs w:val="20"/>
          <w:lang w:val="en"/>
        </w:rPr>
        <w:t>based on] an idea about how the actions…will solve a problem or achieve a goal</w:t>
      </w:r>
      <w:r w:rsidR="002E0CD7" w:rsidRPr="00937B31">
        <w:rPr>
          <w:rFonts w:ascii="Times New Roman" w:hAnsi="Times New Roman" w:cs="Times New Roman"/>
          <w:sz w:val="20"/>
          <w:szCs w:val="20"/>
          <w:lang w:val="en"/>
        </w:rPr>
        <w:t>”</w:t>
      </w:r>
      <w:r w:rsidR="002E0CD7" w:rsidRPr="00937B31">
        <w:rPr>
          <w:rStyle w:val="FootnoteReference"/>
          <w:rFonts w:ascii="Times New Roman" w:hAnsi="Times New Roman" w:cs="Times New Roman"/>
          <w:sz w:val="20"/>
          <w:szCs w:val="20"/>
          <w:lang w:val="en"/>
        </w:rPr>
        <w:t xml:space="preserve"> </w:t>
      </w:r>
      <w:r w:rsidR="002E0CD7" w:rsidRPr="00937B31">
        <w:rPr>
          <w:rStyle w:val="FootnoteReference"/>
          <w:rFonts w:ascii="Times New Roman" w:hAnsi="Times New Roman" w:cs="Times New Roman"/>
          <w:sz w:val="20"/>
          <w:szCs w:val="20"/>
          <w:lang w:val="en"/>
        </w:rPr>
        <w:footnoteReference w:id="2"/>
      </w:r>
      <w:r w:rsidR="00D05711" w:rsidRPr="00937B31">
        <w:rPr>
          <w:rFonts w:ascii="Times New Roman" w:hAnsi="Times New Roman" w:cs="Times New Roman"/>
          <w:sz w:val="20"/>
          <w:szCs w:val="20"/>
          <w:lang w:val="en"/>
        </w:rPr>
        <w:t xml:space="preserve">. </w:t>
      </w:r>
      <w:r w:rsidRPr="00937B31">
        <w:rPr>
          <w:rFonts w:ascii="Times New Roman" w:hAnsi="Times New Roman" w:cs="Times New Roman"/>
          <w:sz w:val="20"/>
          <w:szCs w:val="20"/>
          <w:lang w:val="en"/>
        </w:rPr>
        <w:t>Best practices are used to maintain quality as an alternative to mandatory legislated standards and can be based on self-assessment or benchmarking.</w:t>
      </w:r>
      <w:r w:rsidRPr="00937B31">
        <w:rPr>
          <w:rStyle w:val="FootnoteReference"/>
          <w:rFonts w:ascii="Times New Roman" w:hAnsi="Times New Roman" w:cs="Times New Roman"/>
          <w:sz w:val="20"/>
          <w:szCs w:val="20"/>
          <w:lang w:val="en"/>
        </w:rPr>
        <w:footnoteReference w:id="3"/>
      </w:r>
      <w:r w:rsidR="00D05711" w:rsidRPr="00937B31">
        <w:rPr>
          <w:rFonts w:ascii="Times New Roman" w:hAnsi="Times New Roman" w:cs="Times New Roman"/>
          <w:sz w:val="20"/>
          <w:szCs w:val="20"/>
          <w:lang w:val="en"/>
        </w:rPr>
        <w:t xml:space="preserve"> </w:t>
      </w:r>
      <w:r w:rsidR="002E0CD7" w:rsidRPr="00937B31">
        <w:rPr>
          <w:rFonts w:ascii="Times New Roman" w:hAnsi="Times New Roman" w:cs="Times New Roman"/>
          <w:sz w:val="20"/>
          <w:szCs w:val="20"/>
          <w:lang w:val="en"/>
        </w:rPr>
        <w:t>Therefore, a best practice represents an effective method of problem solving.</w:t>
      </w:r>
      <w:r w:rsidR="00232EB1" w:rsidRPr="00937B31">
        <w:rPr>
          <w:rFonts w:ascii="Times New Roman" w:hAnsi="Times New Roman" w:cs="Times New Roman"/>
          <w:sz w:val="20"/>
          <w:szCs w:val="20"/>
          <w:lang w:val="en"/>
        </w:rPr>
        <w:t xml:space="preserve"> The "problem" regulators want to solve is probably better posed as seeking an answer to this question: How can regulators determine that predictive models, as used in rate filings, are compliant with state laws and regulations?</w:t>
      </w:r>
    </w:p>
    <w:p w14:paraId="3F689BEF" w14:textId="77777777" w:rsidR="003D1585" w:rsidRPr="00937B31" w:rsidRDefault="003D1585" w:rsidP="00F514A0">
      <w:pPr>
        <w:pStyle w:val="Heading2"/>
        <w:numPr>
          <w:ilvl w:val="0"/>
          <w:numId w:val="0"/>
        </w:numPr>
        <w:ind w:left="360"/>
        <w:jc w:val="both"/>
        <w:rPr>
          <w:rFonts w:cs="Times New Roman"/>
          <w:lang w:val="en"/>
        </w:rPr>
      </w:pPr>
      <w:r w:rsidRPr="00937B31">
        <w:rPr>
          <w:rFonts w:cs="Times New Roman"/>
          <w:lang w:val="en"/>
        </w:rPr>
        <w:t>Key Regulatory Principles</w:t>
      </w:r>
    </w:p>
    <w:p w14:paraId="2B32F0D3" w14:textId="77777777" w:rsidR="003D1585" w:rsidRPr="00937B31" w:rsidRDefault="003D1585" w:rsidP="00F514A0">
      <w:pPr>
        <w:ind w:left="360"/>
        <w:jc w:val="both"/>
        <w:rPr>
          <w:rFonts w:ascii="Times New Roman" w:hAnsi="Times New Roman" w:cs="Times New Roman"/>
          <w:sz w:val="20"/>
          <w:szCs w:val="20"/>
          <w:lang w:val="en"/>
        </w:rPr>
      </w:pPr>
      <w:r w:rsidRPr="00937B31">
        <w:rPr>
          <w:rFonts w:ascii="Times New Roman" w:hAnsi="Times New Roman" w:cs="Times New Roman"/>
          <w:sz w:val="20"/>
          <w:szCs w:val="20"/>
          <w:lang w:val="en"/>
        </w:rPr>
        <w:t xml:space="preserve">In this paper, best practices </w:t>
      </w:r>
      <w:proofErr w:type="gramStart"/>
      <w:r w:rsidRPr="00937B31">
        <w:rPr>
          <w:rFonts w:ascii="Times New Roman" w:hAnsi="Times New Roman" w:cs="Times New Roman"/>
          <w:sz w:val="20"/>
          <w:szCs w:val="20"/>
          <w:lang w:val="en"/>
        </w:rPr>
        <w:t>are based</w:t>
      </w:r>
      <w:proofErr w:type="gramEnd"/>
      <w:r w:rsidRPr="00937B31">
        <w:rPr>
          <w:rFonts w:ascii="Times New Roman" w:hAnsi="Times New Roman" w:cs="Times New Roman"/>
          <w:sz w:val="20"/>
          <w:szCs w:val="20"/>
          <w:lang w:val="en"/>
        </w:rPr>
        <w:t xml:space="preserve"> on the following principles that promote </w:t>
      </w:r>
      <w:r w:rsidR="002E0CD7" w:rsidRPr="00937B31">
        <w:rPr>
          <w:rFonts w:ascii="Times New Roman" w:hAnsi="Times New Roman" w:cs="Times New Roman"/>
          <w:sz w:val="20"/>
          <w:szCs w:val="20"/>
          <w:lang w:val="en"/>
        </w:rPr>
        <w:t>a comprehensive</w:t>
      </w:r>
      <w:r w:rsidRPr="00937B31">
        <w:rPr>
          <w:rFonts w:ascii="Times New Roman" w:hAnsi="Times New Roman" w:cs="Times New Roman"/>
          <w:sz w:val="20"/>
          <w:szCs w:val="20"/>
          <w:lang w:val="en"/>
        </w:rPr>
        <w:t xml:space="preserve"> and coordinated review of predictive models across states: </w:t>
      </w:r>
    </w:p>
    <w:p w14:paraId="5C4D8FB0" w14:textId="77777777" w:rsidR="003D1585" w:rsidRPr="00937B31" w:rsidRDefault="003D1585" w:rsidP="00F514A0">
      <w:pPr>
        <w:pStyle w:val="Heading3"/>
        <w:ind w:left="1080" w:right="720" w:hanging="360"/>
        <w:jc w:val="both"/>
        <w:rPr>
          <w:rFonts w:cs="Times New Roman"/>
        </w:rPr>
      </w:pPr>
      <w:r w:rsidRPr="00937B31">
        <w:rPr>
          <w:rFonts w:cs="Times New Roman"/>
        </w:rPr>
        <w:t xml:space="preserve">State insurance regulators will maintain their current rate regulatory authority. </w:t>
      </w:r>
    </w:p>
    <w:p w14:paraId="268E4641" w14:textId="77777777" w:rsidR="003D1585" w:rsidRPr="00937B31" w:rsidRDefault="003D1585" w:rsidP="00F514A0">
      <w:pPr>
        <w:pStyle w:val="Heading3"/>
        <w:ind w:left="1080" w:right="720" w:hanging="360"/>
        <w:jc w:val="both"/>
        <w:rPr>
          <w:rFonts w:cs="Times New Roman"/>
        </w:rPr>
      </w:pPr>
      <w:r w:rsidRPr="00937B31">
        <w:rPr>
          <w:rFonts w:cs="Times New Roman"/>
        </w:rPr>
        <w:t xml:space="preserve">State insurance regulators will </w:t>
      </w:r>
      <w:r w:rsidR="002412B5" w:rsidRPr="00937B31">
        <w:rPr>
          <w:rFonts w:cs="Times New Roman"/>
        </w:rPr>
        <w:t xml:space="preserve">be able </w:t>
      </w:r>
      <w:r w:rsidRPr="00937B31">
        <w:rPr>
          <w:rFonts w:cs="Times New Roman"/>
        </w:rPr>
        <w:t xml:space="preserve">to share information </w:t>
      </w:r>
      <w:r w:rsidR="00440036" w:rsidRPr="00937B31">
        <w:rPr>
          <w:rFonts w:cs="Times New Roman"/>
        </w:rPr>
        <w:t>to</w:t>
      </w:r>
      <w:r w:rsidRPr="00937B31">
        <w:rPr>
          <w:rFonts w:cs="Times New Roman"/>
        </w:rPr>
        <w:t xml:space="preserve"> aid companies </w:t>
      </w:r>
      <w:r w:rsidR="00440036" w:rsidRPr="00937B31">
        <w:rPr>
          <w:rFonts w:cs="Times New Roman"/>
        </w:rPr>
        <w:t xml:space="preserve">in </w:t>
      </w:r>
      <w:r w:rsidRPr="00937B31">
        <w:rPr>
          <w:rFonts w:cs="Times New Roman"/>
        </w:rPr>
        <w:t>getting insurance products to market more quickly.</w:t>
      </w:r>
    </w:p>
    <w:p w14:paraId="3B29F3FF" w14:textId="77777777" w:rsidR="003D1585" w:rsidRPr="00937B31" w:rsidRDefault="003D1585" w:rsidP="00F514A0">
      <w:pPr>
        <w:pStyle w:val="Heading3"/>
        <w:ind w:left="1080" w:right="720" w:hanging="360"/>
        <w:jc w:val="both"/>
        <w:rPr>
          <w:rFonts w:cs="Times New Roman"/>
        </w:rPr>
      </w:pPr>
      <w:r w:rsidRPr="00937B31">
        <w:rPr>
          <w:rFonts w:cs="Times New Roman"/>
        </w:rPr>
        <w:t xml:space="preserve">State insurance regulators will share expertise and discuss technical issues regarding predictive models. </w:t>
      </w:r>
    </w:p>
    <w:p w14:paraId="538242F2" w14:textId="77777777" w:rsidR="003D1585" w:rsidRPr="00937B31" w:rsidRDefault="003D1585" w:rsidP="00F514A0">
      <w:pPr>
        <w:pStyle w:val="Heading3"/>
        <w:ind w:left="1080" w:right="720" w:hanging="360"/>
        <w:jc w:val="both"/>
        <w:rPr>
          <w:rFonts w:cs="Times New Roman"/>
        </w:rPr>
      </w:pPr>
      <w:r w:rsidRPr="00937B31">
        <w:rPr>
          <w:rFonts w:cs="Times New Roman"/>
        </w:rPr>
        <w:t>State insurance regulators will maintain confidentiality</w:t>
      </w:r>
      <w:r w:rsidR="00646588" w:rsidRPr="00937B31">
        <w:rPr>
          <w:rFonts w:cs="Times New Roman"/>
        </w:rPr>
        <w:t>,</w:t>
      </w:r>
      <w:r w:rsidRPr="00937B31">
        <w:rPr>
          <w:rFonts w:cs="Times New Roman"/>
        </w:rPr>
        <w:t xml:space="preserve"> where appropriate</w:t>
      </w:r>
      <w:r w:rsidR="00646588" w:rsidRPr="00937B31">
        <w:rPr>
          <w:rFonts w:cs="Times New Roman"/>
        </w:rPr>
        <w:t>,</w:t>
      </w:r>
      <w:r w:rsidRPr="00937B31">
        <w:rPr>
          <w:rFonts w:cs="Times New Roman"/>
        </w:rPr>
        <w:t xml:space="preserve"> regarding predictive models.</w:t>
      </w:r>
    </w:p>
    <w:p w14:paraId="474F186D" w14:textId="07136E82" w:rsidR="00941E85" w:rsidRPr="00937B31" w:rsidRDefault="008E604E" w:rsidP="00F514A0">
      <w:pPr>
        <w:ind w:left="360"/>
        <w:jc w:val="both"/>
        <w:rPr>
          <w:rFonts w:ascii="Times New Roman" w:hAnsi="Times New Roman" w:cs="Times New Roman"/>
          <w:sz w:val="20"/>
          <w:szCs w:val="20"/>
          <w:lang w:val="en"/>
        </w:rPr>
      </w:pPr>
      <w:r w:rsidRPr="00937B31">
        <w:rPr>
          <w:rFonts w:ascii="Times New Roman" w:hAnsi="Times New Roman" w:cs="Times New Roman"/>
          <w:sz w:val="20"/>
          <w:szCs w:val="20"/>
          <w:lang w:val="en"/>
        </w:rPr>
        <w:t>In this paper, b</w:t>
      </w:r>
      <w:r w:rsidR="00941E85" w:rsidRPr="00937B31">
        <w:rPr>
          <w:rFonts w:ascii="Times New Roman" w:hAnsi="Times New Roman" w:cs="Times New Roman"/>
          <w:sz w:val="20"/>
          <w:szCs w:val="20"/>
          <w:lang w:val="en"/>
        </w:rPr>
        <w:t xml:space="preserve">est practices </w:t>
      </w:r>
      <w:proofErr w:type="gramStart"/>
      <w:r w:rsidR="00544DCB" w:rsidRPr="00937B31">
        <w:rPr>
          <w:rFonts w:ascii="Times New Roman" w:hAnsi="Times New Roman" w:cs="Times New Roman"/>
          <w:sz w:val="20"/>
          <w:szCs w:val="20"/>
          <w:lang w:val="en"/>
        </w:rPr>
        <w:t>are</w:t>
      </w:r>
      <w:r w:rsidR="00941E85" w:rsidRPr="00937B31">
        <w:rPr>
          <w:rFonts w:ascii="Times New Roman" w:hAnsi="Times New Roman" w:cs="Times New Roman"/>
          <w:sz w:val="20"/>
          <w:szCs w:val="20"/>
          <w:lang w:val="en"/>
        </w:rPr>
        <w:t xml:space="preserve"> </w:t>
      </w:r>
      <w:r w:rsidRPr="00937B31">
        <w:rPr>
          <w:rFonts w:ascii="Times New Roman" w:hAnsi="Times New Roman" w:cs="Times New Roman"/>
          <w:sz w:val="20"/>
          <w:szCs w:val="20"/>
          <w:lang w:val="en"/>
        </w:rPr>
        <w:t>presented</w:t>
      </w:r>
      <w:proofErr w:type="gramEnd"/>
      <w:r w:rsidR="00941E85" w:rsidRPr="00937B31">
        <w:rPr>
          <w:rFonts w:ascii="Times New Roman" w:hAnsi="Times New Roman" w:cs="Times New Roman"/>
          <w:sz w:val="20"/>
          <w:szCs w:val="20"/>
          <w:lang w:val="en"/>
        </w:rPr>
        <w:t xml:space="preserve"> in the form of guidance to regulators</w:t>
      </w:r>
      <w:r w:rsidR="003D1585" w:rsidRPr="00937B31">
        <w:rPr>
          <w:rFonts w:ascii="Times New Roman" w:hAnsi="Times New Roman" w:cs="Times New Roman"/>
          <w:sz w:val="20"/>
          <w:szCs w:val="20"/>
          <w:lang w:val="en"/>
        </w:rPr>
        <w:t xml:space="preserve"> </w:t>
      </w:r>
      <w:r w:rsidR="00FA04E2" w:rsidRPr="00937B31">
        <w:rPr>
          <w:rFonts w:ascii="Times New Roman" w:hAnsi="Times New Roman" w:cs="Times New Roman"/>
          <w:sz w:val="20"/>
          <w:szCs w:val="20"/>
          <w:lang w:val="en"/>
        </w:rPr>
        <w:t xml:space="preserve">who review </w:t>
      </w:r>
      <w:r w:rsidR="00941E85" w:rsidRPr="00937B31">
        <w:rPr>
          <w:rFonts w:ascii="Times New Roman" w:hAnsi="Times New Roman" w:cs="Times New Roman"/>
          <w:sz w:val="20"/>
          <w:szCs w:val="20"/>
          <w:lang w:val="en"/>
        </w:rPr>
        <w:t>predictive models</w:t>
      </w:r>
      <w:r w:rsidR="003D1585" w:rsidRPr="00937B31">
        <w:rPr>
          <w:rFonts w:ascii="Times New Roman" w:hAnsi="Times New Roman" w:cs="Times New Roman"/>
          <w:sz w:val="20"/>
          <w:szCs w:val="20"/>
          <w:lang w:val="en"/>
        </w:rPr>
        <w:t xml:space="preserve"> and to insurance companies filing rating plans that incorporate predictive models</w:t>
      </w:r>
      <w:r w:rsidR="00E545EB" w:rsidRPr="00937B31">
        <w:rPr>
          <w:rFonts w:ascii="Times New Roman" w:hAnsi="Times New Roman" w:cs="Times New Roman"/>
          <w:sz w:val="20"/>
          <w:szCs w:val="20"/>
          <w:lang w:val="en"/>
        </w:rPr>
        <w:t xml:space="preserve">. </w:t>
      </w:r>
      <w:r w:rsidRPr="00937B31">
        <w:rPr>
          <w:rFonts w:ascii="Times New Roman" w:hAnsi="Times New Roman" w:cs="Times New Roman"/>
          <w:sz w:val="20"/>
          <w:szCs w:val="20"/>
          <w:lang w:val="en"/>
        </w:rPr>
        <w:t>Guidance</w:t>
      </w:r>
      <w:r w:rsidR="00544DCB" w:rsidRPr="00937B31">
        <w:rPr>
          <w:rFonts w:ascii="Times New Roman" w:hAnsi="Times New Roman" w:cs="Times New Roman"/>
          <w:sz w:val="20"/>
          <w:szCs w:val="20"/>
          <w:lang w:val="en"/>
        </w:rPr>
        <w:t xml:space="preserve"> will identify </w:t>
      </w:r>
      <w:r w:rsidR="00FA04E2" w:rsidRPr="00937B31">
        <w:rPr>
          <w:rFonts w:ascii="Times New Roman" w:hAnsi="Times New Roman" w:cs="Times New Roman"/>
          <w:sz w:val="20"/>
          <w:szCs w:val="20"/>
          <w:lang w:val="en"/>
        </w:rPr>
        <w:t>sp</w:t>
      </w:r>
      <w:r w:rsidR="00E21F7F" w:rsidRPr="00937B31">
        <w:rPr>
          <w:rFonts w:ascii="Times New Roman" w:hAnsi="Times New Roman" w:cs="Times New Roman"/>
          <w:sz w:val="20"/>
          <w:szCs w:val="20"/>
          <w:lang w:val="en"/>
        </w:rPr>
        <w:t>ecific information useful to a regulator</w:t>
      </w:r>
      <w:r w:rsidR="00544DCB" w:rsidRPr="00937B31">
        <w:rPr>
          <w:rFonts w:ascii="Times New Roman" w:hAnsi="Times New Roman" w:cs="Times New Roman"/>
          <w:sz w:val="20"/>
          <w:szCs w:val="20"/>
          <w:lang w:val="en"/>
        </w:rPr>
        <w:t xml:space="preserve"> in the review of a predictive model, comment on what </w:t>
      </w:r>
      <w:r w:rsidR="00E21F7F" w:rsidRPr="00937B31">
        <w:rPr>
          <w:rFonts w:ascii="Times New Roman" w:hAnsi="Times New Roman" w:cs="Times New Roman"/>
          <w:sz w:val="20"/>
          <w:szCs w:val="20"/>
          <w:lang w:val="en"/>
        </w:rPr>
        <w:t xml:space="preserve">might be </w:t>
      </w:r>
      <w:r w:rsidR="00544DCB" w:rsidRPr="00937B31">
        <w:rPr>
          <w:rFonts w:ascii="Times New Roman" w:hAnsi="Times New Roman" w:cs="Times New Roman"/>
          <w:sz w:val="20"/>
          <w:szCs w:val="20"/>
          <w:lang w:val="en"/>
        </w:rPr>
        <w:t xml:space="preserve">important about that </w:t>
      </w:r>
      <w:r w:rsidR="00E21F7F" w:rsidRPr="00937B31">
        <w:rPr>
          <w:rFonts w:ascii="Times New Roman" w:hAnsi="Times New Roman" w:cs="Times New Roman"/>
          <w:sz w:val="20"/>
          <w:szCs w:val="20"/>
          <w:lang w:val="en"/>
        </w:rPr>
        <w:t>information</w:t>
      </w:r>
      <w:r w:rsidR="00544DCB" w:rsidRPr="00937B31">
        <w:rPr>
          <w:rFonts w:ascii="Times New Roman" w:hAnsi="Times New Roman" w:cs="Times New Roman"/>
          <w:sz w:val="20"/>
          <w:szCs w:val="20"/>
          <w:lang w:val="en"/>
        </w:rPr>
        <w:t xml:space="preserve"> and</w:t>
      </w:r>
      <w:r w:rsidR="00E21F7F" w:rsidRPr="00937B31">
        <w:rPr>
          <w:rFonts w:ascii="Times New Roman" w:hAnsi="Times New Roman" w:cs="Times New Roman"/>
          <w:sz w:val="20"/>
          <w:szCs w:val="20"/>
          <w:lang w:val="en"/>
        </w:rPr>
        <w:t>, where appropriate,</w:t>
      </w:r>
      <w:r w:rsidR="00544DCB" w:rsidRPr="00937B31">
        <w:rPr>
          <w:rFonts w:ascii="Times New Roman" w:hAnsi="Times New Roman" w:cs="Times New Roman"/>
          <w:sz w:val="20"/>
          <w:szCs w:val="20"/>
          <w:lang w:val="en"/>
        </w:rPr>
        <w:t xml:space="preserve"> provide </w:t>
      </w:r>
      <w:r w:rsidR="00A87026" w:rsidRPr="00937B31">
        <w:rPr>
          <w:rFonts w:ascii="Times New Roman" w:hAnsi="Times New Roman" w:cs="Times New Roman"/>
          <w:sz w:val="20"/>
          <w:szCs w:val="20"/>
          <w:lang w:val="en"/>
        </w:rPr>
        <w:t xml:space="preserve">insight </w:t>
      </w:r>
      <w:r w:rsidR="00544DCB" w:rsidRPr="00937B31">
        <w:rPr>
          <w:rFonts w:ascii="Times New Roman" w:hAnsi="Times New Roman" w:cs="Times New Roman"/>
          <w:sz w:val="20"/>
          <w:szCs w:val="20"/>
          <w:lang w:val="en"/>
        </w:rPr>
        <w:t xml:space="preserve">as to when the </w:t>
      </w:r>
      <w:r w:rsidR="00E21F7F" w:rsidRPr="00937B31">
        <w:rPr>
          <w:rFonts w:ascii="Times New Roman" w:hAnsi="Times New Roman" w:cs="Times New Roman"/>
          <w:sz w:val="20"/>
          <w:szCs w:val="20"/>
          <w:lang w:val="en"/>
        </w:rPr>
        <w:t>information might identify</w:t>
      </w:r>
      <w:r w:rsidR="00544DCB" w:rsidRPr="00937B31">
        <w:rPr>
          <w:rFonts w:ascii="Times New Roman" w:hAnsi="Times New Roman" w:cs="Times New Roman"/>
          <w:sz w:val="20"/>
          <w:szCs w:val="20"/>
          <w:lang w:val="en"/>
        </w:rPr>
        <w:t xml:space="preserve"> an issue the regulator needs to</w:t>
      </w:r>
      <w:r w:rsidRPr="00937B31">
        <w:rPr>
          <w:rFonts w:ascii="Times New Roman" w:hAnsi="Times New Roman" w:cs="Times New Roman"/>
          <w:sz w:val="20"/>
          <w:szCs w:val="20"/>
          <w:lang w:val="en"/>
        </w:rPr>
        <w:t xml:space="preserve"> be aware of or</w:t>
      </w:r>
      <w:r w:rsidR="00544DCB" w:rsidRPr="00937B31">
        <w:rPr>
          <w:rFonts w:ascii="Times New Roman" w:hAnsi="Times New Roman" w:cs="Times New Roman"/>
          <w:sz w:val="20"/>
          <w:szCs w:val="20"/>
          <w:lang w:val="en"/>
        </w:rPr>
        <w:t xml:space="preserve"> explore further. </w:t>
      </w:r>
    </w:p>
    <w:p w14:paraId="4068F79F" w14:textId="04C798B8" w:rsidR="006E69E7" w:rsidRPr="00937B31" w:rsidRDefault="0015296E" w:rsidP="00ED744F">
      <w:pPr>
        <w:pStyle w:val="Heading1"/>
        <w:jc w:val="both"/>
        <w:rPr>
          <w:rFonts w:cs="Times New Roman"/>
        </w:rPr>
      </w:pPr>
      <w:bookmarkStart w:id="2" w:name="_Toc8388749"/>
      <w:r w:rsidRPr="00937B31">
        <w:rPr>
          <w:rFonts w:cs="Times New Roman"/>
        </w:rPr>
        <w:t>Do</w:t>
      </w:r>
      <w:r w:rsidR="00183952" w:rsidRPr="00937B31">
        <w:rPr>
          <w:rFonts w:cs="Times New Roman"/>
        </w:rPr>
        <w:t xml:space="preserve"> </w:t>
      </w:r>
      <w:r w:rsidR="00657E35" w:rsidRPr="00937B31">
        <w:rPr>
          <w:rFonts w:cs="Times New Roman"/>
        </w:rPr>
        <w:t xml:space="preserve">Regulators Need </w:t>
      </w:r>
      <w:r w:rsidR="006E69E7" w:rsidRPr="00937B31">
        <w:rPr>
          <w:rFonts w:cs="Times New Roman"/>
        </w:rPr>
        <w:t>Best Practices</w:t>
      </w:r>
      <w:r w:rsidR="003D7C3B" w:rsidRPr="00937B31">
        <w:rPr>
          <w:rFonts w:cs="Times New Roman"/>
        </w:rPr>
        <w:t xml:space="preserve"> </w:t>
      </w:r>
      <w:r w:rsidR="001632F0" w:rsidRPr="00937B31">
        <w:rPr>
          <w:rFonts w:cs="Times New Roman"/>
        </w:rPr>
        <w:t>to</w:t>
      </w:r>
      <w:r w:rsidR="00F274FB" w:rsidRPr="00937B31">
        <w:rPr>
          <w:rFonts w:cs="Times New Roman"/>
        </w:rPr>
        <w:t xml:space="preserve"> Review</w:t>
      </w:r>
      <w:r w:rsidR="00657E35" w:rsidRPr="00937B31">
        <w:rPr>
          <w:rFonts w:cs="Times New Roman"/>
        </w:rPr>
        <w:t xml:space="preserve"> Predictive Models</w:t>
      </w:r>
      <w:r w:rsidRPr="00937B31">
        <w:rPr>
          <w:rFonts w:cs="Times New Roman"/>
        </w:rPr>
        <w:t>?</w:t>
      </w:r>
      <w:bookmarkEnd w:id="2"/>
    </w:p>
    <w:p w14:paraId="15F0696E" w14:textId="6CCC5C23" w:rsidR="008B612D" w:rsidRPr="00937B31" w:rsidRDefault="00A74CE7" w:rsidP="00ED744F">
      <w:pPr>
        <w:ind w:left="360"/>
        <w:jc w:val="both"/>
        <w:rPr>
          <w:rFonts w:ascii="Times New Roman" w:hAnsi="Times New Roman" w:cs="Times New Roman"/>
          <w:sz w:val="20"/>
          <w:szCs w:val="20"/>
          <w:lang w:val="en"/>
        </w:rPr>
      </w:pPr>
      <w:r w:rsidRPr="00937B31">
        <w:rPr>
          <w:rFonts w:ascii="Times New Roman" w:hAnsi="Times New Roman" w:cs="Times New Roman"/>
          <w:sz w:val="20"/>
          <w:szCs w:val="20"/>
          <w:lang w:val="en"/>
        </w:rPr>
        <w:t>The term “predictive model” refers to a set of models that use statistics to predict outcomes</w:t>
      </w:r>
      <w:r w:rsidR="00372760" w:rsidRPr="00937B31">
        <w:rPr>
          <w:rStyle w:val="FootnoteReference"/>
          <w:rFonts w:ascii="Times New Roman" w:hAnsi="Times New Roman" w:cs="Times New Roman"/>
          <w:sz w:val="20"/>
          <w:szCs w:val="20"/>
          <w:lang w:val="en"/>
        </w:rPr>
        <w:footnoteReference w:id="4"/>
      </w:r>
      <w:r w:rsidRPr="00937B31">
        <w:rPr>
          <w:rFonts w:ascii="Times New Roman" w:hAnsi="Times New Roman" w:cs="Times New Roman"/>
          <w:sz w:val="20"/>
          <w:szCs w:val="20"/>
          <w:lang w:val="en"/>
        </w:rPr>
        <w:t xml:space="preserve">. </w:t>
      </w:r>
      <w:r w:rsidR="008B612D" w:rsidRPr="00937B31">
        <w:rPr>
          <w:rFonts w:ascii="Times New Roman" w:hAnsi="Times New Roman" w:cs="Times New Roman"/>
          <w:sz w:val="20"/>
          <w:szCs w:val="20"/>
          <w:lang w:val="en"/>
        </w:rPr>
        <w:t xml:space="preserve">When applied to insurance, the model is chosen to </w:t>
      </w:r>
      <w:r w:rsidR="00631D6A" w:rsidRPr="00937B31">
        <w:rPr>
          <w:rFonts w:ascii="Times New Roman" w:hAnsi="Times New Roman" w:cs="Times New Roman"/>
          <w:sz w:val="20"/>
          <w:szCs w:val="20"/>
          <w:lang w:val="en"/>
        </w:rPr>
        <w:t xml:space="preserve">estimate </w:t>
      </w:r>
      <w:r w:rsidR="008B612D" w:rsidRPr="00937B31">
        <w:rPr>
          <w:rFonts w:ascii="Times New Roman" w:hAnsi="Times New Roman" w:cs="Times New Roman"/>
          <w:sz w:val="20"/>
          <w:szCs w:val="20"/>
          <w:lang w:val="en"/>
        </w:rPr>
        <w:t xml:space="preserve">the probability </w:t>
      </w:r>
      <w:r w:rsidR="00CA456A" w:rsidRPr="00937B31">
        <w:rPr>
          <w:rFonts w:ascii="Times New Roman" w:hAnsi="Times New Roman" w:cs="Times New Roman"/>
          <w:sz w:val="20"/>
          <w:szCs w:val="20"/>
          <w:lang w:val="en"/>
        </w:rPr>
        <w:t xml:space="preserve">or expected value </w:t>
      </w:r>
      <w:r w:rsidR="008B612D" w:rsidRPr="00937B31">
        <w:rPr>
          <w:rFonts w:ascii="Times New Roman" w:hAnsi="Times New Roman" w:cs="Times New Roman"/>
          <w:sz w:val="20"/>
          <w:szCs w:val="20"/>
          <w:lang w:val="en"/>
        </w:rPr>
        <w:t xml:space="preserve">of an outcome given a set amount of input </w:t>
      </w:r>
      <w:r w:rsidR="00B3742D" w:rsidRPr="00937B31">
        <w:rPr>
          <w:rFonts w:ascii="Times New Roman" w:hAnsi="Times New Roman" w:cs="Times New Roman"/>
          <w:sz w:val="20"/>
          <w:szCs w:val="20"/>
          <w:lang w:val="en"/>
        </w:rPr>
        <w:t>data;</w:t>
      </w:r>
      <w:r w:rsidR="008B612D" w:rsidRPr="00937B31">
        <w:rPr>
          <w:rFonts w:ascii="Times New Roman" w:hAnsi="Times New Roman" w:cs="Times New Roman"/>
          <w:sz w:val="20"/>
          <w:szCs w:val="20"/>
          <w:lang w:val="en"/>
        </w:rPr>
        <w:t xml:space="preserve"> for example, models can predict the frequency of loss, the severity of loss, or the pure premium. </w:t>
      </w:r>
      <w:r w:rsidR="00343584" w:rsidRPr="00937B31">
        <w:rPr>
          <w:rFonts w:ascii="Times New Roman" w:hAnsi="Times New Roman" w:cs="Times New Roman"/>
          <w:sz w:val="20"/>
          <w:szCs w:val="20"/>
          <w:lang w:val="en"/>
        </w:rPr>
        <w:t>The generalized linear model (GLM)</w:t>
      </w:r>
      <w:r w:rsidR="003F67F3" w:rsidRPr="00937B31">
        <w:rPr>
          <w:rStyle w:val="FootnoteReference"/>
          <w:rFonts w:ascii="Times New Roman" w:hAnsi="Times New Roman" w:cs="Times New Roman"/>
          <w:sz w:val="20"/>
          <w:szCs w:val="20"/>
          <w:lang w:val="en"/>
        </w:rPr>
        <w:footnoteReference w:id="5"/>
      </w:r>
      <w:r w:rsidR="00343584" w:rsidRPr="00937B31">
        <w:rPr>
          <w:rFonts w:ascii="Times New Roman" w:hAnsi="Times New Roman" w:cs="Times New Roman"/>
          <w:sz w:val="20"/>
          <w:szCs w:val="20"/>
          <w:lang w:val="en"/>
        </w:rPr>
        <w:t xml:space="preserve"> is a commonly used predictive mo</w:t>
      </w:r>
      <w:r w:rsidR="003F67F3" w:rsidRPr="00937B31">
        <w:rPr>
          <w:rFonts w:ascii="Times New Roman" w:hAnsi="Times New Roman" w:cs="Times New Roman"/>
          <w:sz w:val="20"/>
          <w:szCs w:val="20"/>
          <w:lang w:val="en"/>
        </w:rPr>
        <w:t>del in insurance applications</w:t>
      </w:r>
      <w:r w:rsidR="00C72CD2" w:rsidRPr="00937B31">
        <w:rPr>
          <w:rFonts w:ascii="Times New Roman" w:hAnsi="Times New Roman" w:cs="Times New Roman"/>
          <w:sz w:val="20"/>
          <w:szCs w:val="20"/>
          <w:lang w:val="en"/>
        </w:rPr>
        <w:t xml:space="preserve">, </w:t>
      </w:r>
      <w:r w:rsidR="00C2273E" w:rsidRPr="00937B31">
        <w:rPr>
          <w:rFonts w:ascii="Times New Roman" w:hAnsi="Times New Roman" w:cs="Times New Roman"/>
          <w:sz w:val="20"/>
          <w:szCs w:val="20"/>
          <w:lang w:val="en"/>
        </w:rPr>
        <w:t xml:space="preserve">particularly </w:t>
      </w:r>
      <w:r w:rsidR="00C72CD2" w:rsidRPr="00937B31">
        <w:rPr>
          <w:rFonts w:ascii="Times New Roman" w:hAnsi="Times New Roman" w:cs="Times New Roman"/>
          <w:sz w:val="20"/>
          <w:szCs w:val="20"/>
          <w:lang w:val="en"/>
        </w:rPr>
        <w:t>in building an insurance product’s rating plan</w:t>
      </w:r>
      <w:r w:rsidR="003F67F3" w:rsidRPr="00937B31">
        <w:rPr>
          <w:rFonts w:ascii="Times New Roman" w:hAnsi="Times New Roman" w:cs="Times New Roman"/>
          <w:sz w:val="20"/>
          <w:szCs w:val="20"/>
          <w:lang w:val="en"/>
        </w:rPr>
        <w:t xml:space="preserve">. </w:t>
      </w:r>
    </w:p>
    <w:p w14:paraId="43094C32" w14:textId="0F831F9C" w:rsidR="008B612D" w:rsidRPr="00937B31" w:rsidRDefault="008B612D" w:rsidP="00ED744F">
      <w:pPr>
        <w:ind w:left="360"/>
        <w:jc w:val="both"/>
        <w:rPr>
          <w:rFonts w:ascii="Times New Roman" w:hAnsi="Times New Roman" w:cs="Times New Roman"/>
          <w:sz w:val="20"/>
          <w:szCs w:val="20"/>
          <w:lang w:val="en"/>
        </w:rPr>
      </w:pPr>
      <w:r w:rsidRPr="00937B31">
        <w:rPr>
          <w:rFonts w:ascii="Times New Roman" w:hAnsi="Times New Roman" w:cs="Times New Roman"/>
          <w:sz w:val="20"/>
          <w:szCs w:val="20"/>
          <w:lang w:val="en"/>
        </w:rPr>
        <w:t xml:space="preserve">Depending on definitional boundaries, predictive </w:t>
      </w:r>
      <w:r w:rsidR="00CA456A" w:rsidRPr="00937B31">
        <w:rPr>
          <w:rFonts w:ascii="Times New Roman" w:hAnsi="Times New Roman" w:cs="Times New Roman"/>
          <w:sz w:val="20"/>
          <w:szCs w:val="20"/>
          <w:lang w:val="en"/>
        </w:rPr>
        <w:t>modeling</w:t>
      </w:r>
      <w:r w:rsidRPr="00937B31">
        <w:rPr>
          <w:rFonts w:ascii="Times New Roman" w:hAnsi="Times New Roman" w:cs="Times New Roman"/>
          <w:sz w:val="20"/>
          <w:szCs w:val="20"/>
          <w:lang w:val="en"/>
        </w:rPr>
        <w:t xml:space="preserve"> </w:t>
      </w:r>
      <w:r w:rsidR="00394F24" w:rsidRPr="00937B31">
        <w:rPr>
          <w:rFonts w:ascii="Times New Roman" w:hAnsi="Times New Roman" w:cs="Times New Roman"/>
          <w:sz w:val="20"/>
          <w:szCs w:val="20"/>
          <w:lang w:val="en"/>
        </w:rPr>
        <w:t>can sometimes overlap with</w:t>
      </w:r>
      <w:r w:rsidRPr="00937B31">
        <w:rPr>
          <w:rFonts w:ascii="Times New Roman" w:hAnsi="Times New Roman" w:cs="Times New Roman"/>
          <w:sz w:val="20"/>
          <w:szCs w:val="20"/>
          <w:lang w:val="en"/>
        </w:rPr>
        <w:t xml:space="preserve"> the field of machine learning. </w:t>
      </w:r>
      <w:r w:rsidR="00B3742D" w:rsidRPr="00937B31">
        <w:rPr>
          <w:rFonts w:ascii="Times New Roman" w:hAnsi="Times New Roman" w:cs="Times New Roman"/>
          <w:sz w:val="20"/>
          <w:szCs w:val="20"/>
          <w:lang w:val="en"/>
        </w:rPr>
        <w:t>In th</w:t>
      </w:r>
      <w:r w:rsidR="00D7003C" w:rsidRPr="00937B31">
        <w:rPr>
          <w:rFonts w:ascii="Times New Roman" w:hAnsi="Times New Roman" w:cs="Times New Roman"/>
          <w:sz w:val="20"/>
          <w:szCs w:val="20"/>
          <w:lang w:val="en"/>
        </w:rPr>
        <w:t>is</w:t>
      </w:r>
      <w:r w:rsidR="00B3742D" w:rsidRPr="00937B31">
        <w:rPr>
          <w:rFonts w:ascii="Times New Roman" w:hAnsi="Times New Roman" w:cs="Times New Roman"/>
          <w:sz w:val="20"/>
          <w:szCs w:val="20"/>
          <w:lang w:val="en"/>
        </w:rPr>
        <w:t xml:space="preserve"> </w:t>
      </w:r>
      <w:r w:rsidR="00CA456A" w:rsidRPr="00937B31">
        <w:rPr>
          <w:rFonts w:ascii="Times New Roman" w:hAnsi="Times New Roman" w:cs="Times New Roman"/>
          <w:sz w:val="20"/>
          <w:szCs w:val="20"/>
          <w:lang w:val="en"/>
        </w:rPr>
        <w:t>modeling</w:t>
      </w:r>
      <w:r w:rsidR="00B3742D" w:rsidRPr="00937B31">
        <w:rPr>
          <w:rFonts w:ascii="Times New Roman" w:hAnsi="Times New Roman" w:cs="Times New Roman"/>
          <w:sz w:val="20"/>
          <w:szCs w:val="20"/>
          <w:lang w:val="en"/>
        </w:rPr>
        <w:t xml:space="preserve"> space</w:t>
      </w:r>
      <w:r w:rsidRPr="00937B31">
        <w:rPr>
          <w:rFonts w:ascii="Times New Roman" w:hAnsi="Times New Roman" w:cs="Times New Roman"/>
          <w:sz w:val="20"/>
          <w:szCs w:val="20"/>
          <w:lang w:val="en"/>
        </w:rPr>
        <w:t xml:space="preserve">, predictive </w:t>
      </w:r>
      <w:r w:rsidR="00CA456A" w:rsidRPr="00937B31">
        <w:rPr>
          <w:rFonts w:ascii="Times New Roman" w:hAnsi="Times New Roman" w:cs="Times New Roman"/>
          <w:sz w:val="20"/>
          <w:szCs w:val="20"/>
          <w:lang w:val="en"/>
        </w:rPr>
        <w:t>modeling</w:t>
      </w:r>
      <w:r w:rsidRPr="00937B31">
        <w:rPr>
          <w:rFonts w:ascii="Times New Roman" w:hAnsi="Times New Roman" w:cs="Times New Roman"/>
          <w:sz w:val="20"/>
          <w:szCs w:val="20"/>
          <w:lang w:val="en"/>
        </w:rPr>
        <w:t xml:space="preserve"> is often referred to as predictive analytics. </w:t>
      </w:r>
    </w:p>
    <w:p w14:paraId="56BCEC96" w14:textId="75927AA8" w:rsidR="00544DCB" w:rsidRPr="00937B31" w:rsidRDefault="00544DCB" w:rsidP="00ED744F">
      <w:pPr>
        <w:ind w:left="360"/>
        <w:jc w:val="both"/>
        <w:rPr>
          <w:rFonts w:ascii="Times New Roman" w:hAnsi="Times New Roman" w:cs="Times New Roman"/>
          <w:sz w:val="20"/>
          <w:szCs w:val="20"/>
          <w:lang w:val="en"/>
        </w:rPr>
      </w:pPr>
      <w:r w:rsidRPr="00937B31">
        <w:rPr>
          <w:rFonts w:ascii="Times New Roman" w:hAnsi="Times New Roman" w:cs="Times New Roman"/>
          <w:sz w:val="20"/>
          <w:szCs w:val="20"/>
          <w:lang w:val="en"/>
        </w:rPr>
        <w:t>Before GLMs</w:t>
      </w:r>
      <w:r w:rsidR="0015001C" w:rsidRPr="00937B31">
        <w:rPr>
          <w:rFonts w:ascii="Times New Roman" w:hAnsi="Times New Roman" w:cs="Times New Roman"/>
          <w:sz w:val="20"/>
          <w:szCs w:val="20"/>
          <w:lang w:val="en"/>
        </w:rPr>
        <w:t xml:space="preserve"> became vogue</w:t>
      </w:r>
      <w:r w:rsidRPr="00937B31">
        <w:rPr>
          <w:rFonts w:ascii="Times New Roman" w:hAnsi="Times New Roman" w:cs="Times New Roman"/>
          <w:sz w:val="20"/>
          <w:szCs w:val="20"/>
          <w:lang w:val="en"/>
        </w:rPr>
        <w:t>, rating plans were built using univariate methods</w:t>
      </w:r>
      <w:r w:rsidR="00E545EB" w:rsidRPr="00937B31">
        <w:rPr>
          <w:rFonts w:ascii="Times New Roman" w:hAnsi="Times New Roman" w:cs="Times New Roman"/>
          <w:sz w:val="20"/>
          <w:szCs w:val="20"/>
          <w:lang w:val="en"/>
        </w:rPr>
        <w:t xml:space="preserve">. </w:t>
      </w:r>
      <w:r w:rsidRPr="00937B31">
        <w:rPr>
          <w:rFonts w:ascii="Times New Roman" w:hAnsi="Times New Roman" w:cs="Times New Roman"/>
          <w:sz w:val="20"/>
          <w:szCs w:val="20"/>
          <w:lang w:val="en"/>
        </w:rPr>
        <w:t xml:space="preserve">Univariate methods were considered intuitive and easy to demonstrate </w:t>
      </w:r>
      <w:r w:rsidR="00E545EB" w:rsidRPr="00937B31">
        <w:rPr>
          <w:rFonts w:ascii="Times New Roman" w:hAnsi="Times New Roman" w:cs="Times New Roman"/>
          <w:sz w:val="20"/>
          <w:szCs w:val="20"/>
          <w:lang w:val="en"/>
        </w:rPr>
        <w:t>the relationship to costs (loss and/or expense)</w:t>
      </w:r>
      <w:r w:rsidRPr="00937B31">
        <w:rPr>
          <w:rFonts w:ascii="Times New Roman" w:hAnsi="Times New Roman" w:cs="Times New Roman"/>
          <w:sz w:val="20"/>
          <w:szCs w:val="20"/>
          <w:lang w:val="en"/>
        </w:rPr>
        <w:t>.</w:t>
      </w:r>
      <w:r w:rsidR="00C2273E" w:rsidRPr="00937B31">
        <w:rPr>
          <w:rFonts w:ascii="Times New Roman" w:hAnsi="Times New Roman" w:cs="Times New Roman"/>
          <w:sz w:val="20"/>
          <w:szCs w:val="20"/>
          <w:lang w:val="en"/>
        </w:rPr>
        <w:t xml:space="preserve"> </w:t>
      </w:r>
      <w:r w:rsidRPr="00937B31">
        <w:rPr>
          <w:rFonts w:ascii="Times New Roman" w:hAnsi="Times New Roman" w:cs="Times New Roman"/>
          <w:sz w:val="20"/>
          <w:szCs w:val="20"/>
          <w:lang w:val="en"/>
        </w:rPr>
        <w:t xml:space="preserve">Today, </w:t>
      </w:r>
      <w:r w:rsidR="008B6DB1" w:rsidRPr="00937B31">
        <w:rPr>
          <w:rFonts w:ascii="Times New Roman" w:hAnsi="Times New Roman" w:cs="Times New Roman"/>
          <w:sz w:val="20"/>
          <w:szCs w:val="20"/>
          <w:lang w:val="en"/>
        </w:rPr>
        <w:t xml:space="preserve">many insurers consider </w:t>
      </w:r>
      <w:r w:rsidRPr="00937B31">
        <w:rPr>
          <w:rFonts w:ascii="Times New Roman" w:hAnsi="Times New Roman" w:cs="Times New Roman"/>
          <w:sz w:val="20"/>
          <w:szCs w:val="20"/>
          <w:lang w:val="en"/>
        </w:rPr>
        <w:t xml:space="preserve">univariate methods </w:t>
      </w:r>
      <w:r w:rsidR="0091000F" w:rsidRPr="00937B31">
        <w:rPr>
          <w:rFonts w:ascii="Times New Roman" w:hAnsi="Times New Roman" w:cs="Times New Roman"/>
          <w:sz w:val="20"/>
          <w:szCs w:val="20"/>
          <w:lang w:val="en"/>
        </w:rPr>
        <w:t xml:space="preserve">too </w:t>
      </w:r>
      <w:r w:rsidRPr="00937B31">
        <w:rPr>
          <w:rFonts w:ascii="Times New Roman" w:hAnsi="Times New Roman" w:cs="Times New Roman"/>
          <w:sz w:val="20"/>
          <w:szCs w:val="20"/>
          <w:lang w:val="en"/>
        </w:rPr>
        <w:t xml:space="preserve">simplistic since they do not take into account the interaction (or dependencies) of the selected input variables. </w:t>
      </w:r>
    </w:p>
    <w:p w14:paraId="28CD08D7" w14:textId="3E319C4A" w:rsidR="00967CE1" w:rsidRPr="00937B31" w:rsidRDefault="00E32618" w:rsidP="00ED744F">
      <w:pPr>
        <w:ind w:left="360"/>
        <w:jc w:val="both"/>
        <w:rPr>
          <w:rFonts w:ascii="Times New Roman" w:hAnsi="Times New Roman" w:cs="Times New Roman"/>
          <w:sz w:val="20"/>
          <w:szCs w:val="20"/>
          <w:lang w:val="en"/>
        </w:rPr>
      </w:pPr>
      <w:r w:rsidRPr="00937B31">
        <w:rPr>
          <w:rFonts w:ascii="Times New Roman" w:hAnsi="Times New Roman" w:cs="Times New Roman"/>
          <w:sz w:val="20"/>
          <w:szCs w:val="20"/>
          <w:lang w:val="en"/>
        </w:rPr>
        <w:t xml:space="preserve">According to many </w:t>
      </w:r>
      <w:r w:rsidR="005D326D" w:rsidRPr="00937B31">
        <w:rPr>
          <w:rFonts w:ascii="Times New Roman" w:hAnsi="Times New Roman" w:cs="Times New Roman"/>
          <w:sz w:val="20"/>
          <w:szCs w:val="20"/>
          <w:lang w:val="en"/>
        </w:rPr>
        <w:t xml:space="preserve">in the </w:t>
      </w:r>
      <w:r w:rsidRPr="00937B31">
        <w:rPr>
          <w:rFonts w:ascii="Times New Roman" w:hAnsi="Times New Roman" w:cs="Times New Roman"/>
          <w:sz w:val="20"/>
          <w:szCs w:val="20"/>
          <w:lang w:val="en"/>
        </w:rPr>
        <w:t xml:space="preserve">insurance industry, </w:t>
      </w:r>
      <w:r w:rsidR="00544DCB" w:rsidRPr="00937B31">
        <w:rPr>
          <w:rFonts w:ascii="Times New Roman" w:hAnsi="Times New Roman" w:cs="Times New Roman"/>
          <w:sz w:val="20"/>
          <w:szCs w:val="20"/>
          <w:lang w:val="en"/>
        </w:rPr>
        <w:t xml:space="preserve">GLMs introduce significant improvements over univariate-based rating plans by </w:t>
      </w:r>
      <w:r w:rsidR="00824543" w:rsidRPr="00937B31">
        <w:rPr>
          <w:rFonts w:ascii="Times New Roman" w:hAnsi="Times New Roman" w:cs="Times New Roman"/>
          <w:sz w:val="20"/>
          <w:szCs w:val="20"/>
          <w:lang w:val="en"/>
        </w:rPr>
        <w:t xml:space="preserve">automatically </w:t>
      </w:r>
      <w:r w:rsidR="00544DCB" w:rsidRPr="00937B31">
        <w:rPr>
          <w:rFonts w:ascii="Times New Roman" w:hAnsi="Times New Roman" w:cs="Times New Roman"/>
          <w:sz w:val="20"/>
          <w:szCs w:val="20"/>
          <w:lang w:val="en"/>
        </w:rPr>
        <w:t>adjusting for correlations among input variables</w:t>
      </w:r>
      <w:r w:rsidR="00E545EB" w:rsidRPr="00937B31">
        <w:rPr>
          <w:rFonts w:ascii="Times New Roman" w:hAnsi="Times New Roman" w:cs="Times New Roman"/>
          <w:sz w:val="20"/>
          <w:szCs w:val="20"/>
          <w:lang w:val="en"/>
        </w:rPr>
        <w:t xml:space="preserve">. </w:t>
      </w:r>
      <w:r w:rsidR="00544DCB" w:rsidRPr="00937B31">
        <w:rPr>
          <w:rFonts w:ascii="Times New Roman" w:hAnsi="Times New Roman" w:cs="Times New Roman"/>
          <w:sz w:val="20"/>
          <w:szCs w:val="20"/>
          <w:lang w:val="en"/>
        </w:rPr>
        <w:t>T</w:t>
      </w:r>
      <w:r w:rsidR="002412B5" w:rsidRPr="00937B31">
        <w:rPr>
          <w:rFonts w:ascii="Times New Roman" w:hAnsi="Times New Roman" w:cs="Times New Roman"/>
          <w:sz w:val="20"/>
          <w:szCs w:val="20"/>
          <w:lang w:val="en"/>
        </w:rPr>
        <w:t>oday, t</w:t>
      </w:r>
      <w:r w:rsidR="00544DCB" w:rsidRPr="00937B31">
        <w:rPr>
          <w:rFonts w:ascii="Times New Roman" w:hAnsi="Times New Roman" w:cs="Times New Roman"/>
          <w:sz w:val="20"/>
          <w:szCs w:val="20"/>
          <w:lang w:val="en"/>
        </w:rPr>
        <w:t xml:space="preserve">he majority of predictive models used in private passenger </w:t>
      </w:r>
      <w:r w:rsidR="005D326D" w:rsidRPr="00937B31">
        <w:rPr>
          <w:rFonts w:ascii="Times New Roman" w:hAnsi="Times New Roman" w:cs="Times New Roman"/>
          <w:sz w:val="20"/>
          <w:szCs w:val="20"/>
          <w:lang w:val="en"/>
        </w:rPr>
        <w:t xml:space="preserve">automobile </w:t>
      </w:r>
      <w:r w:rsidR="00544DCB" w:rsidRPr="00937B31">
        <w:rPr>
          <w:rFonts w:ascii="Times New Roman" w:hAnsi="Times New Roman" w:cs="Times New Roman"/>
          <w:sz w:val="20"/>
          <w:szCs w:val="20"/>
          <w:lang w:val="en"/>
        </w:rPr>
        <w:t>and homeowner</w:t>
      </w:r>
      <w:r w:rsidR="005D326D" w:rsidRPr="00937B31">
        <w:rPr>
          <w:rFonts w:ascii="Times New Roman" w:hAnsi="Times New Roman" w:cs="Times New Roman"/>
          <w:sz w:val="20"/>
          <w:szCs w:val="20"/>
          <w:lang w:val="en"/>
        </w:rPr>
        <w:t>s’</w:t>
      </w:r>
      <w:r w:rsidR="00544DCB" w:rsidRPr="00937B31">
        <w:rPr>
          <w:rFonts w:ascii="Times New Roman" w:hAnsi="Times New Roman" w:cs="Times New Roman"/>
          <w:sz w:val="20"/>
          <w:szCs w:val="20"/>
          <w:lang w:val="en"/>
        </w:rPr>
        <w:t xml:space="preserve"> rating plans are GLMs</w:t>
      </w:r>
      <w:r w:rsidR="00E545EB" w:rsidRPr="00937B31">
        <w:rPr>
          <w:rFonts w:ascii="Times New Roman" w:hAnsi="Times New Roman" w:cs="Times New Roman"/>
          <w:sz w:val="20"/>
          <w:szCs w:val="20"/>
          <w:lang w:val="en"/>
        </w:rPr>
        <w:t xml:space="preserve">. </w:t>
      </w:r>
      <w:r w:rsidR="00967CE1" w:rsidRPr="00937B31">
        <w:rPr>
          <w:rFonts w:ascii="Times New Roman" w:hAnsi="Times New Roman" w:cs="Times New Roman"/>
          <w:sz w:val="20"/>
          <w:szCs w:val="20"/>
          <w:lang w:val="en"/>
        </w:rPr>
        <w:t>However, GLM results are not always intuitive</w:t>
      </w:r>
      <w:r w:rsidR="00C9434B" w:rsidRPr="00937B31">
        <w:rPr>
          <w:rFonts w:ascii="Times New Roman" w:hAnsi="Times New Roman" w:cs="Times New Roman"/>
          <w:sz w:val="20"/>
          <w:szCs w:val="20"/>
          <w:lang w:val="en"/>
        </w:rPr>
        <w:t>,</w:t>
      </w:r>
      <w:r w:rsidR="00967CE1" w:rsidRPr="00937B31">
        <w:rPr>
          <w:rFonts w:ascii="Times New Roman" w:hAnsi="Times New Roman" w:cs="Times New Roman"/>
          <w:sz w:val="20"/>
          <w:szCs w:val="20"/>
          <w:lang w:val="en"/>
        </w:rPr>
        <w:t xml:space="preserve"> </w:t>
      </w:r>
      <w:r w:rsidR="00C9434B" w:rsidRPr="00937B31">
        <w:rPr>
          <w:rFonts w:ascii="Times New Roman" w:hAnsi="Times New Roman" w:cs="Times New Roman"/>
          <w:sz w:val="20"/>
          <w:szCs w:val="20"/>
          <w:lang w:val="en"/>
        </w:rPr>
        <w:t>and</w:t>
      </w:r>
      <w:r w:rsidR="004509AF" w:rsidRPr="00937B31">
        <w:rPr>
          <w:rFonts w:ascii="Times New Roman" w:hAnsi="Times New Roman" w:cs="Times New Roman"/>
          <w:sz w:val="20"/>
          <w:szCs w:val="20"/>
          <w:lang w:val="en"/>
        </w:rPr>
        <w:t xml:space="preserve"> the relationship to costs</w:t>
      </w:r>
      <w:r w:rsidR="00C9434B" w:rsidRPr="00937B31">
        <w:rPr>
          <w:rFonts w:ascii="Times New Roman" w:hAnsi="Times New Roman" w:cs="Times New Roman"/>
          <w:sz w:val="20"/>
          <w:szCs w:val="20"/>
          <w:lang w:val="en"/>
        </w:rPr>
        <w:t xml:space="preserve"> may be difficult to explain</w:t>
      </w:r>
      <w:r w:rsidR="00967CE1" w:rsidRPr="00937B31">
        <w:rPr>
          <w:rFonts w:ascii="Times New Roman" w:hAnsi="Times New Roman" w:cs="Times New Roman"/>
          <w:sz w:val="20"/>
          <w:szCs w:val="20"/>
          <w:lang w:val="en"/>
        </w:rPr>
        <w:t xml:space="preserve">. </w:t>
      </w:r>
      <w:r w:rsidR="002412B5" w:rsidRPr="00937B31">
        <w:rPr>
          <w:rFonts w:ascii="Times New Roman" w:hAnsi="Times New Roman" w:cs="Times New Roman"/>
          <w:sz w:val="20"/>
          <w:szCs w:val="20"/>
          <w:lang w:val="en"/>
        </w:rPr>
        <w:t>This is</w:t>
      </w:r>
      <w:r w:rsidR="00885630" w:rsidRPr="00937B31">
        <w:rPr>
          <w:rFonts w:ascii="Times New Roman" w:hAnsi="Times New Roman" w:cs="Times New Roman"/>
          <w:sz w:val="20"/>
          <w:szCs w:val="20"/>
          <w:lang w:val="en"/>
        </w:rPr>
        <w:t xml:space="preserve"> </w:t>
      </w:r>
      <w:r w:rsidR="00981E2C">
        <w:rPr>
          <w:rFonts w:ascii="Times New Roman" w:hAnsi="Times New Roman" w:cs="Times New Roman"/>
          <w:sz w:val="20"/>
          <w:szCs w:val="20"/>
          <w:lang w:val="en"/>
        </w:rPr>
        <w:t>a primary</w:t>
      </w:r>
      <w:r w:rsidR="002412B5" w:rsidRPr="00937B31">
        <w:rPr>
          <w:rFonts w:ascii="Times New Roman" w:hAnsi="Times New Roman" w:cs="Times New Roman"/>
          <w:sz w:val="20"/>
          <w:szCs w:val="20"/>
          <w:lang w:val="en"/>
        </w:rPr>
        <w:t xml:space="preserve"> reason regulators can benefit from </w:t>
      </w:r>
      <w:r w:rsidR="00A87026" w:rsidRPr="00937B31">
        <w:rPr>
          <w:rFonts w:ascii="Times New Roman" w:hAnsi="Times New Roman" w:cs="Times New Roman"/>
          <w:sz w:val="20"/>
          <w:szCs w:val="20"/>
          <w:lang w:val="en"/>
        </w:rPr>
        <w:t xml:space="preserve">best practices. </w:t>
      </w:r>
    </w:p>
    <w:p w14:paraId="5CD8EB7B" w14:textId="77777777" w:rsidR="00544DCB" w:rsidRPr="00937B31" w:rsidRDefault="00544DCB" w:rsidP="00ED744F">
      <w:pPr>
        <w:ind w:left="360"/>
        <w:jc w:val="both"/>
        <w:rPr>
          <w:rFonts w:ascii="Times New Roman" w:hAnsi="Times New Roman" w:cs="Times New Roman"/>
          <w:sz w:val="20"/>
          <w:szCs w:val="20"/>
          <w:lang w:val="en"/>
        </w:rPr>
      </w:pPr>
      <w:r w:rsidRPr="00937B31">
        <w:rPr>
          <w:rFonts w:ascii="Times New Roman" w:hAnsi="Times New Roman" w:cs="Times New Roman"/>
          <w:sz w:val="20"/>
          <w:szCs w:val="20"/>
          <w:lang w:val="en"/>
        </w:rPr>
        <w:t>A GLM consists of three elements</w:t>
      </w:r>
      <w:r w:rsidR="002C4C38" w:rsidRPr="00937B31">
        <w:rPr>
          <w:rStyle w:val="FootnoteReference"/>
          <w:rFonts w:ascii="Times New Roman" w:hAnsi="Times New Roman" w:cs="Times New Roman"/>
          <w:sz w:val="20"/>
          <w:szCs w:val="20"/>
          <w:lang w:val="en"/>
        </w:rPr>
        <w:footnoteReference w:id="6"/>
      </w:r>
      <w:r w:rsidRPr="00937B31">
        <w:rPr>
          <w:rFonts w:ascii="Times New Roman" w:hAnsi="Times New Roman" w:cs="Times New Roman"/>
          <w:sz w:val="20"/>
          <w:szCs w:val="20"/>
          <w:lang w:val="en"/>
        </w:rPr>
        <w:t>:</w:t>
      </w:r>
    </w:p>
    <w:p w14:paraId="08CEC38D" w14:textId="385EE67F" w:rsidR="00544DCB" w:rsidRPr="00937B31" w:rsidRDefault="00232EB1" w:rsidP="00232EB1">
      <w:pPr>
        <w:pStyle w:val="ListParagraph"/>
        <w:numPr>
          <w:ilvl w:val="0"/>
          <w:numId w:val="38"/>
        </w:numPr>
        <w:jc w:val="both"/>
        <w:rPr>
          <w:rFonts w:ascii="Times New Roman" w:hAnsi="Times New Roman" w:cs="Times New Roman"/>
          <w:sz w:val="20"/>
          <w:szCs w:val="20"/>
          <w:lang w:val="en"/>
        </w:rPr>
      </w:pPr>
      <w:r w:rsidRPr="00937B31">
        <w:rPr>
          <w:rFonts w:ascii="Times New Roman" w:hAnsi="Times New Roman" w:cs="Times New Roman"/>
          <w:sz w:val="20"/>
          <w:szCs w:val="20"/>
          <w:lang w:val="en"/>
        </w:rPr>
        <w:t>Each component of Y is independent and a probability distribution from the exponential family, or more generally, a selected variance function and dispersion parameter.</w:t>
      </w:r>
    </w:p>
    <w:p w14:paraId="7F30A0FB" w14:textId="77777777" w:rsidR="00544DCB" w:rsidRPr="00937B31" w:rsidRDefault="00544DCB" w:rsidP="00ED744F">
      <w:pPr>
        <w:pStyle w:val="ListParagraph"/>
        <w:numPr>
          <w:ilvl w:val="0"/>
          <w:numId w:val="38"/>
        </w:numPr>
        <w:jc w:val="both"/>
        <w:rPr>
          <w:rFonts w:ascii="Times New Roman" w:hAnsi="Times New Roman" w:cs="Times New Roman"/>
          <w:sz w:val="20"/>
          <w:szCs w:val="20"/>
          <w:lang w:val="en"/>
        </w:rPr>
      </w:pPr>
      <w:r w:rsidRPr="00937B31">
        <w:rPr>
          <w:rFonts w:ascii="Times New Roman" w:hAnsi="Times New Roman" w:cs="Times New Roman"/>
          <w:sz w:val="20"/>
          <w:szCs w:val="20"/>
          <w:lang w:val="en"/>
        </w:rPr>
        <w:t xml:space="preserve">A linear predictor η = </w:t>
      </w:r>
      <w:r w:rsidR="00FD3135" w:rsidRPr="00937B31">
        <w:rPr>
          <w:rFonts w:ascii="Times New Roman" w:hAnsi="Times New Roman" w:cs="Times New Roman"/>
          <w:sz w:val="20"/>
          <w:szCs w:val="20"/>
          <w:lang w:val="en"/>
        </w:rPr>
        <w:t>Xβ.</w:t>
      </w:r>
    </w:p>
    <w:p w14:paraId="079CB632" w14:textId="77777777" w:rsidR="00544DCB" w:rsidRPr="00937B31" w:rsidRDefault="00544DCB" w:rsidP="00ED744F">
      <w:pPr>
        <w:pStyle w:val="ListParagraph"/>
        <w:numPr>
          <w:ilvl w:val="0"/>
          <w:numId w:val="38"/>
        </w:numPr>
        <w:jc w:val="both"/>
        <w:rPr>
          <w:rFonts w:ascii="Times New Roman" w:hAnsi="Times New Roman" w:cs="Times New Roman"/>
          <w:sz w:val="20"/>
          <w:szCs w:val="20"/>
          <w:lang w:val="en"/>
        </w:rPr>
      </w:pPr>
      <w:r w:rsidRPr="00937B31">
        <w:rPr>
          <w:rFonts w:ascii="Times New Roman" w:hAnsi="Times New Roman" w:cs="Times New Roman"/>
          <w:sz w:val="20"/>
          <w:szCs w:val="20"/>
          <w:lang w:val="en"/>
        </w:rPr>
        <w:t>A link function g such that E(Y) = μ = g</w:t>
      </w:r>
      <w:r w:rsidRPr="00937B31">
        <w:rPr>
          <w:rFonts w:ascii="Times New Roman" w:hAnsi="Times New Roman" w:cs="Times New Roman"/>
          <w:sz w:val="20"/>
          <w:szCs w:val="20"/>
          <w:vertAlign w:val="superscript"/>
          <w:lang w:val="en"/>
        </w:rPr>
        <w:t>−1</w:t>
      </w:r>
      <w:r w:rsidRPr="00937B31">
        <w:rPr>
          <w:rFonts w:ascii="Times New Roman" w:hAnsi="Times New Roman" w:cs="Times New Roman"/>
          <w:sz w:val="20"/>
          <w:szCs w:val="20"/>
          <w:lang w:val="en"/>
        </w:rPr>
        <w:t>(η).</w:t>
      </w:r>
    </w:p>
    <w:p w14:paraId="35BAC07A" w14:textId="77777777" w:rsidR="000733FD" w:rsidRPr="00937B31" w:rsidRDefault="00544DCB" w:rsidP="00ED744F">
      <w:pPr>
        <w:ind w:left="360"/>
        <w:jc w:val="both"/>
        <w:rPr>
          <w:rFonts w:ascii="Times New Roman" w:hAnsi="Times New Roman" w:cs="Times New Roman"/>
          <w:sz w:val="20"/>
          <w:szCs w:val="20"/>
          <w:lang w:val="en"/>
        </w:rPr>
      </w:pPr>
      <w:r w:rsidRPr="00937B31">
        <w:rPr>
          <w:rFonts w:ascii="Times New Roman" w:hAnsi="Times New Roman" w:cs="Times New Roman"/>
          <w:sz w:val="20"/>
          <w:szCs w:val="20"/>
          <w:lang w:val="en"/>
        </w:rPr>
        <w:t xml:space="preserve">As can be seen in the description of the three GLM components above, it </w:t>
      </w:r>
      <w:r w:rsidR="00824543" w:rsidRPr="00937B31">
        <w:rPr>
          <w:rFonts w:ascii="Times New Roman" w:hAnsi="Times New Roman" w:cs="Times New Roman"/>
          <w:sz w:val="20"/>
          <w:szCs w:val="20"/>
          <w:lang w:val="en"/>
        </w:rPr>
        <w:t>may</w:t>
      </w:r>
      <w:r w:rsidRPr="00937B31">
        <w:rPr>
          <w:rFonts w:ascii="Times New Roman" w:hAnsi="Times New Roman" w:cs="Times New Roman"/>
          <w:sz w:val="20"/>
          <w:szCs w:val="20"/>
          <w:lang w:val="en"/>
        </w:rPr>
        <w:t xml:space="preserve"> take more than a casual introduction to statistics to comprehend the construction of a GLM</w:t>
      </w:r>
      <w:r w:rsidR="00E545EB" w:rsidRPr="00937B31">
        <w:rPr>
          <w:rFonts w:ascii="Times New Roman" w:hAnsi="Times New Roman" w:cs="Times New Roman"/>
          <w:sz w:val="20"/>
          <w:szCs w:val="20"/>
          <w:lang w:val="en"/>
        </w:rPr>
        <w:t xml:space="preserve">. </w:t>
      </w:r>
      <w:r w:rsidRPr="00937B31">
        <w:rPr>
          <w:rFonts w:ascii="Times New Roman" w:hAnsi="Times New Roman" w:cs="Times New Roman"/>
          <w:sz w:val="20"/>
          <w:szCs w:val="20"/>
          <w:lang w:val="en"/>
        </w:rPr>
        <w:t>A</w:t>
      </w:r>
      <w:r w:rsidR="0014296A" w:rsidRPr="00937B31">
        <w:rPr>
          <w:rFonts w:ascii="Times New Roman" w:hAnsi="Times New Roman" w:cs="Times New Roman"/>
          <w:sz w:val="20"/>
          <w:szCs w:val="20"/>
          <w:lang w:val="en"/>
        </w:rPr>
        <w:t>s stated earlier, a</w:t>
      </w:r>
      <w:r w:rsidRPr="00937B31">
        <w:rPr>
          <w:rFonts w:ascii="Times New Roman" w:hAnsi="Times New Roman" w:cs="Times New Roman"/>
          <w:sz w:val="20"/>
          <w:szCs w:val="20"/>
          <w:lang w:val="en"/>
        </w:rPr>
        <w:t xml:space="preserve"> downside to GLMs is that it is more challenging to interpret the GLMs output than with univariate models</w:t>
      </w:r>
      <w:r w:rsidR="00E545EB" w:rsidRPr="00937B31">
        <w:rPr>
          <w:rFonts w:ascii="Times New Roman" w:hAnsi="Times New Roman" w:cs="Times New Roman"/>
          <w:sz w:val="20"/>
          <w:szCs w:val="20"/>
          <w:lang w:val="en"/>
        </w:rPr>
        <w:t xml:space="preserve">. </w:t>
      </w:r>
    </w:p>
    <w:p w14:paraId="695D8AAA" w14:textId="2C1BA388" w:rsidR="000733FD" w:rsidRPr="00937B31" w:rsidRDefault="000733FD" w:rsidP="00ED744F">
      <w:pPr>
        <w:ind w:left="360"/>
        <w:jc w:val="both"/>
        <w:rPr>
          <w:rFonts w:ascii="Times New Roman" w:hAnsi="Times New Roman" w:cs="Times New Roman"/>
          <w:sz w:val="20"/>
          <w:szCs w:val="20"/>
          <w:lang w:val="en"/>
        </w:rPr>
      </w:pPr>
      <w:r w:rsidRPr="00937B31">
        <w:rPr>
          <w:rFonts w:ascii="Times New Roman" w:hAnsi="Times New Roman" w:cs="Times New Roman"/>
          <w:sz w:val="20"/>
          <w:szCs w:val="20"/>
          <w:lang w:val="en"/>
        </w:rPr>
        <w:t xml:space="preserve">GLM software provides point estimates and allows the modeler to consider standard errors and confidence intervals. GLM output is typically assumed to be 100% credible no matter the size of the underlying data set. If some segments have little data, the resulting uncertainty would not be reflected in the GLM parameter estimates themselves (although it might be reflected in the standard errors, confidence intervals, etc.). Even though the process of selecting relativities often includes </w:t>
      </w:r>
      <w:r w:rsidR="00981E2C" w:rsidRPr="00937B31">
        <w:rPr>
          <w:rFonts w:ascii="Times New Roman" w:hAnsi="Times New Roman" w:cs="Times New Roman"/>
          <w:sz w:val="20"/>
          <w:szCs w:val="20"/>
          <w:lang w:val="en"/>
        </w:rPr>
        <w:t>adjusting</w:t>
      </w:r>
      <w:r w:rsidRPr="00937B31">
        <w:rPr>
          <w:rFonts w:ascii="Times New Roman" w:hAnsi="Times New Roman" w:cs="Times New Roman"/>
          <w:sz w:val="20"/>
          <w:szCs w:val="20"/>
          <w:lang w:val="en"/>
        </w:rPr>
        <w:t xml:space="preserve"> the raw GLM output, the resultant selections are not then credibility-weighted with any complement of credibility. Nevertheless, selected relativities based on GLM model output may differ from GLM point estimates.</w:t>
      </w:r>
    </w:p>
    <w:p w14:paraId="3513B317" w14:textId="77777777" w:rsidR="000733FD" w:rsidRPr="00937B31" w:rsidRDefault="000733FD" w:rsidP="00ED744F">
      <w:pPr>
        <w:ind w:left="360"/>
        <w:jc w:val="both"/>
        <w:rPr>
          <w:rFonts w:ascii="Times New Roman" w:hAnsi="Times New Roman" w:cs="Times New Roman"/>
          <w:sz w:val="20"/>
          <w:szCs w:val="20"/>
          <w:lang w:val="en"/>
        </w:rPr>
      </w:pPr>
      <w:r w:rsidRPr="00937B31">
        <w:rPr>
          <w:rFonts w:ascii="Times New Roman" w:hAnsi="Times New Roman" w:cs="Times New Roman"/>
          <w:sz w:val="20"/>
          <w:szCs w:val="20"/>
          <w:lang w:val="en"/>
        </w:rPr>
        <w:t>Because of this presumption in credibility, which may or may not be valid in practice, the modeler and the regulator reviewing the model would need to engage in thoughtful consideration when incorporating GLM output into a rating plan to ensure that model predictiveness is not compromised by any lack of actual credibility. Therefore, to mitigate the risk that model credibility or predictiveness is lacking, a complete filing for a rating plan that incorporates GLM output should include validation evidence for the rating plan, not just the statistical model.</w:t>
      </w:r>
    </w:p>
    <w:p w14:paraId="692F80F8" w14:textId="420927BF" w:rsidR="00544DCB" w:rsidRPr="00937B31" w:rsidRDefault="009937B2" w:rsidP="00ED744F">
      <w:pPr>
        <w:ind w:left="360"/>
        <w:jc w:val="both"/>
        <w:rPr>
          <w:rFonts w:ascii="Times New Roman" w:hAnsi="Times New Roman" w:cs="Times New Roman"/>
          <w:sz w:val="20"/>
          <w:szCs w:val="20"/>
          <w:lang w:val="en"/>
        </w:rPr>
      </w:pPr>
      <w:r w:rsidRPr="00937B31">
        <w:rPr>
          <w:rFonts w:ascii="Times New Roman" w:hAnsi="Times New Roman" w:cs="Times New Roman"/>
          <w:sz w:val="20"/>
          <w:szCs w:val="20"/>
          <w:lang w:val="en"/>
        </w:rPr>
        <w:t>To</w:t>
      </w:r>
      <w:r w:rsidR="00544DCB" w:rsidRPr="00937B31">
        <w:rPr>
          <w:rFonts w:ascii="Times New Roman" w:hAnsi="Times New Roman" w:cs="Times New Roman"/>
          <w:sz w:val="20"/>
          <w:szCs w:val="20"/>
          <w:lang w:val="en"/>
        </w:rPr>
        <w:t xml:space="preserve"> further complicate regulatory review of models in the future, modeling methods are evolving rapidly and not limited </w:t>
      </w:r>
      <w:r w:rsidR="00981E2C">
        <w:rPr>
          <w:rFonts w:ascii="Times New Roman" w:hAnsi="Times New Roman" w:cs="Times New Roman"/>
          <w:sz w:val="20"/>
          <w:szCs w:val="20"/>
          <w:lang w:val="en"/>
        </w:rPr>
        <w:t xml:space="preserve">just </w:t>
      </w:r>
      <w:r w:rsidR="00544DCB" w:rsidRPr="00937B31">
        <w:rPr>
          <w:rFonts w:ascii="Times New Roman" w:hAnsi="Times New Roman" w:cs="Times New Roman"/>
          <w:sz w:val="20"/>
          <w:szCs w:val="20"/>
          <w:lang w:val="en"/>
        </w:rPr>
        <w:t>to GLMs</w:t>
      </w:r>
      <w:r w:rsidR="00E545EB" w:rsidRPr="00937B31">
        <w:rPr>
          <w:rFonts w:ascii="Times New Roman" w:hAnsi="Times New Roman" w:cs="Times New Roman"/>
          <w:sz w:val="20"/>
          <w:szCs w:val="20"/>
          <w:lang w:val="en"/>
        </w:rPr>
        <w:t xml:space="preserve">. </w:t>
      </w:r>
      <w:r w:rsidR="00544DCB" w:rsidRPr="00937B31">
        <w:rPr>
          <w:rFonts w:ascii="Times New Roman" w:hAnsi="Times New Roman" w:cs="Times New Roman"/>
          <w:sz w:val="20"/>
          <w:szCs w:val="20"/>
          <w:lang w:val="en"/>
        </w:rPr>
        <w:t>As computing power grows exponentially, it is opening up the modeling world to more sophisticated forms of data acquisition and data analysis</w:t>
      </w:r>
      <w:r w:rsidR="00E545EB" w:rsidRPr="00937B31">
        <w:rPr>
          <w:rFonts w:ascii="Times New Roman" w:hAnsi="Times New Roman" w:cs="Times New Roman"/>
          <w:sz w:val="20"/>
          <w:szCs w:val="20"/>
          <w:lang w:val="en"/>
        </w:rPr>
        <w:t xml:space="preserve">. </w:t>
      </w:r>
      <w:r w:rsidR="00544DCB" w:rsidRPr="00937B31">
        <w:rPr>
          <w:rFonts w:ascii="Times New Roman" w:hAnsi="Times New Roman" w:cs="Times New Roman"/>
          <w:sz w:val="20"/>
          <w:szCs w:val="20"/>
          <w:lang w:val="en"/>
        </w:rPr>
        <w:t xml:space="preserve">Insurance actuaries and data scientists </w:t>
      </w:r>
      <w:r w:rsidR="0000104F" w:rsidRPr="00937B31">
        <w:rPr>
          <w:rFonts w:ascii="Times New Roman" w:hAnsi="Times New Roman" w:cs="Times New Roman"/>
          <w:sz w:val="20"/>
          <w:szCs w:val="20"/>
          <w:lang w:val="en"/>
        </w:rPr>
        <w:t xml:space="preserve">seek </w:t>
      </w:r>
      <w:r w:rsidR="00544DCB" w:rsidRPr="00937B31">
        <w:rPr>
          <w:rFonts w:ascii="Times New Roman" w:hAnsi="Times New Roman" w:cs="Times New Roman"/>
          <w:sz w:val="20"/>
          <w:szCs w:val="20"/>
          <w:lang w:val="en"/>
        </w:rPr>
        <w:t xml:space="preserve">increased predictiveness by using </w:t>
      </w:r>
      <w:r w:rsidR="007D3DB7" w:rsidRPr="00937B31">
        <w:rPr>
          <w:rFonts w:ascii="Times New Roman" w:hAnsi="Times New Roman" w:cs="Times New Roman"/>
          <w:sz w:val="20"/>
          <w:szCs w:val="20"/>
          <w:lang w:val="en"/>
        </w:rPr>
        <w:t xml:space="preserve">even </w:t>
      </w:r>
      <w:r w:rsidR="00544DCB" w:rsidRPr="00937B31">
        <w:rPr>
          <w:rFonts w:ascii="Times New Roman" w:hAnsi="Times New Roman" w:cs="Times New Roman"/>
          <w:sz w:val="20"/>
          <w:szCs w:val="20"/>
          <w:lang w:val="en"/>
        </w:rPr>
        <w:t>more complex predictive modeling methods</w:t>
      </w:r>
      <w:r w:rsidR="00E545EB" w:rsidRPr="00937B31">
        <w:rPr>
          <w:rFonts w:ascii="Times New Roman" w:hAnsi="Times New Roman" w:cs="Times New Roman"/>
          <w:sz w:val="20"/>
          <w:szCs w:val="20"/>
          <w:lang w:val="en"/>
        </w:rPr>
        <w:t xml:space="preserve">. </w:t>
      </w:r>
      <w:r w:rsidR="00544DCB" w:rsidRPr="00937B31">
        <w:rPr>
          <w:rFonts w:ascii="Times New Roman" w:hAnsi="Times New Roman" w:cs="Times New Roman"/>
          <w:sz w:val="20"/>
          <w:szCs w:val="20"/>
          <w:lang w:val="en"/>
        </w:rPr>
        <w:t xml:space="preserve">Examples </w:t>
      </w:r>
      <w:r w:rsidR="00F6604B" w:rsidRPr="00937B31">
        <w:rPr>
          <w:rFonts w:ascii="Times New Roman" w:hAnsi="Times New Roman" w:cs="Times New Roman"/>
          <w:sz w:val="20"/>
          <w:szCs w:val="20"/>
          <w:lang w:val="en"/>
        </w:rPr>
        <w:t xml:space="preserve">of these </w:t>
      </w:r>
      <w:r w:rsidR="00544DCB" w:rsidRPr="00937B31">
        <w:rPr>
          <w:rFonts w:ascii="Times New Roman" w:hAnsi="Times New Roman" w:cs="Times New Roman"/>
          <w:sz w:val="20"/>
          <w:szCs w:val="20"/>
          <w:lang w:val="en"/>
        </w:rPr>
        <w:t>are predictive models utilizing random forests, decision trees</w:t>
      </w:r>
      <w:r w:rsidR="00C36035" w:rsidRPr="00937B31">
        <w:rPr>
          <w:rFonts w:ascii="Times New Roman" w:hAnsi="Times New Roman" w:cs="Times New Roman"/>
          <w:sz w:val="20"/>
          <w:szCs w:val="20"/>
          <w:lang w:val="en"/>
        </w:rPr>
        <w:t>,</w:t>
      </w:r>
      <w:r w:rsidR="00167CC3" w:rsidRPr="00937B31">
        <w:rPr>
          <w:rFonts w:ascii="Times New Roman" w:hAnsi="Times New Roman" w:cs="Times New Roman"/>
          <w:sz w:val="20"/>
          <w:szCs w:val="20"/>
          <w:lang w:val="en"/>
        </w:rPr>
        <w:t xml:space="preserve"> neural networks,</w:t>
      </w:r>
      <w:r w:rsidR="00544DCB" w:rsidRPr="00937B31">
        <w:rPr>
          <w:rFonts w:ascii="Times New Roman" w:hAnsi="Times New Roman" w:cs="Times New Roman"/>
          <w:sz w:val="20"/>
          <w:szCs w:val="20"/>
          <w:lang w:val="en"/>
        </w:rPr>
        <w:t xml:space="preserve"> or combinations of available modeling methods</w:t>
      </w:r>
      <w:r w:rsidRPr="00937B31">
        <w:rPr>
          <w:rFonts w:ascii="Times New Roman" w:hAnsi="Times New Roman" w:cs="Times New Roman"/>
          <w:sz w:val="20"/>
          <w:szCs w:val="20"/>
          <w:lang w:val="en"/>
        </w:rPr>
        <w:t xml:space="preserve"> (often referred to as ensembles)</w:t>
      </w:r>
      <w:r w:rsidR="00E545EB" w:rsidRPr="00937B31">
        <w:rPr>
          <w:rFonts w:ascii="Times New Roman" w:hAnsi="Times New Roman" w:cs="Times New Roman"/>
          <w:sz w:val="20"/>
          <w:szCs w:val="20"/>
          <w:lang w:val="en"/>
        </w:rPr>
        <w:t xml:space="preserve">. </w:t>
      </w:r>
      <w:r w:rsidR="00544DCB" w:rsidRPr="00937B31">
        <w:rPr>
          <w:rFonts w:ascii="Times New Roman" w:hAnsi="Times New Roman" w:cs="Times New Roman"/>
          <w:sz w:val="20"/>
          <w:szCs w:val="20"/>
          <w:lang w:val="en"/>
        </w:rPr>
        <w:t xml:space="preserve">These evolving techniques </w:t>
      </w:r>
      <w:r w:rsidR="00F6604B" w:rsidRPr="00937B31">
        <w:rPr>
          <w:rFonts w:ascii="Times New Roman" w:hAnsi="Times New Roman" w:cs="Times New Roman"/>
          <w:sz w:val="20"/>
          <w:szCs w:val="20"/>
          <w:lang w:val="en"/>
        </w:rPr>
        <w:t xml:space="preserve">will </w:t>
      </w:r>
      <w:r w:rsidR="00544DCB" w:rsidRPr="00937B31">
        <w:rPr>
          <w:rFonts w:ascii="Times New Roman" w:hAnsi="Times New Roman" w:cs="Times New Roman"/>
          <w:sz w:val="20"/>
          <w:szCs w:val="20"/>
          <w:lang w:val="en"/>
        </w:rPr>
        <w:t>make the regulators</w:t>
      </w:r>
      <w:r w:rsidR="00020C34" w:rsidRPr="00937B31">
        <w:rPr>
          <w:rFonts w:ascii="Times New Roman" w:hAnsi="Times New Roman" w:cs="Times New Roman"/>
          <w:sz w:val="20"/>
          <w:szCs w:val="20"/>
          <w:lang w:val="en"/>
        </w:rPr>
        <w:t>’</w:t>
      </w:r>
      <w:r w:rsidR="00544DCB" w:rsidRPr="00937B31">
        <w:rPr>
          <w:rFonts w:ascii="Times New Roman" w:hAnsi="Times New Roman" w:cs="Times New Roman"/>
          <w:sz w:val="20"/>
          <w:szCs w:val="20"/>
          <w:lang w:val="en"/>
        </w:rPr>
        <w:t xml:space="preserve"> understanding and oversight of </w:t>
      </w:r>
      <w:r w:rsidR="0014296A" w:rsidRPr="00937B31">
        <w:rPr>
          <w:rFonts w:ascii="Times New Roman" w:hAnsi="Times New Roman" w:cs="Times New Roman"/>
          <w:sz w:val="20"/>
          <w:szCs w:val="20"/>
          <w:lang w:val="en"/>
        </w:rPr>
        <w:t xml:space="preserve">filed rating plans incorporating </w:t>
      </w:r>
      <w:r w:rsidR="00544DCB" w:rsidRPr="00937B31">
        <w:rPr>
          <w:rFonts w:ascii="Times New Roman" w:hAnsi="Times New Roman" w:cs="Times New Roman"/>
          <w:sz w:val="20"/>
          <w:szCs w:val="20"/>
          <w:lang w:val="en"/>
        </w:rPr>
        <w:t>predictive models even more challenging.</w:t>
      </w:r>
    </w:p>
    <w:p w14:paraId="5E739CF5" w14:textId="77777777" w:rsidR="00EC3108" w:rsidRPr="00937B31" w:rsidRDefault="00EC3108" w:rsidP="00ED744F">
      <w:pPr>
        <w:ind w:left="360"/>
        <w:jc w:val="both"/>
        <w:rPr>
          <w:rFonts w:ascii="Times New Roman" w:hAnsi="Times New Roman" w:cs="Times New Roman"/>
          <w:sz w:val="20"/>
          <w:szCs w:val="20"/>
          <w:lang w:val="en"/>
        </w:rPr>
      </w:pPr>
      <w:r w:rsidRPr="00937B31">
        <w:rPr>
          <w:rFonts w:ascii="Times New Roman" w:hAnsi="Times New Roman" w:cs="Times New Roman"/>
          <w:sz w:val="20"/>
          <w:szCs w:val="20"/>
          <w:lang w:val="en"/>
        </w:rPr>
        <w:t>In addition to the growing complexity of predictive models, m</w:t>
      </w:r>
      <w:r w:rsidR="00544DCB" w:rsidRPr="00937B31">
        <w:rPr>
          <w:rFonts w:ascii="Times New Roman" w:hAnsi="Times New Roman" w:cs="Times New Roman"/>
          <w:sz w:val="20"/>
          <w:szCs w:val="20"/>
          <w:lang w:val="en"/>
        </w:rPr>
        <w:t>any state</w:t>
      </w:r>
      <w:r w:rsidR="00DB03CA" w:rsidRPr="00937B31">
        <w:rPr>
          <w:rFonts w:ascii="Times New Roman" w:hAnsi="Times New Roman" w:cs="Times New Roman"/>
          <w:sz w:val="20"/>
          <w:szCs w:val="20"/>
          <w:lang w:val="en"/>
        </w:rPr>
        <w:t xml:space="preserve"> insurance depar</w:t>
      </w:r>
      <w:r w:rsidR="008C6FA6" w:rsidRPr="00937B31">
        <w:rPr>
          <w:rFonts w:ascii="Times New Roman" w:hAnsi="Times New Roman" w:cs="Times New Roman"/>
          <w:sz w:val="20"/>
          <w:szCs w:val="20"/>
          <w:lang w:val="en"/>
        </w:rPr>
        <w:t>t</w:t>
      </w:r>
      <w:r w:rsidR="00DB03CA" w:rsidRPr="00937B31">
        <w:rPr>
          <w:rFonts w:ascii="Times New Roman" w:hAnsi="Times New Roman" w:cs="Times New Roman"/>
          <w:sz w:val="20"/>
          <w:szCs w:val="20"/>
          <w:lang w:val="en"/>
        </w:rPr>
        <w:t>ments</w:t>
      </w:r>
      <w:r w:rsidR="00544DCB" w:rsidRPr="00937B31">
        <w:rPr>
          <w:rFonts w:ascii="Times New Roman" w:hAnsi="Times New Roman" w:cs="Times New Roman"/>
          <w:sz w:val="20"/>
          <w:szCs w:val="20"/>
          <w:lang w:val="en"/>
        </w:rPr>
        <w:t xml:space="preserve"> </w:t>
      </w:r>
      <w:r w:rsidR="000D6FD5" w:rsidRPr="00937B31">
        <w:rPr>
          <w:rFonts w:ascii="Times New Roman" w:hAnsi="Times New Roman" w:cs="Times New Roman"/>
          <w:sz w:val="20"/>
          <w:szCs w:val="20"/>
          <w:lang w:val="en"/>
        </w:rPr>
        <w:t xml:space="preserve">do not </w:t>
      </w:r>
      <w:r w:rsidR="00544DCB" w:rsidRPr="00937B31">
        <w:rPr>
          <w:rFonts w:ascii="Times New Roman" w:hAnsi="Times New Roman" w:cs="Times New Roman"/>
          <w:sz w:val="20"/>
          <w:szCs w:val="20"/>
          <w:lang w:val="en"/>
        </w:rPr>
        <w:t>have in-house actuarial support or</w:t>
      </w:r>
      <w:r w:rsidR="000D6FD5" w:rsidRPr="00937B31">
        <w:rPr>
          <w:rFonts w:ascii="Times New Roman" w:hAnsi="Times New Roman" w:cs="Times New Roman"/>
          <w:sz w:val="20"/>
          <w:szCs w:val="20"/>
          <w:lang w:val="en"/>
        </w:rPr>
        <w:t xml:space="preserve"> have</w:t>
      </w:r>
      <w:r w:rsidR="00544DCB" w:rsidRPr="00937B31">
        <w:rPr>
          <w:rFonts w:ascii="Times New Roman" w:hAnsi="Times New Roman" w:cs="Times New Roman"/>
          <w:sz w:val="20"/>
          <w:szCs w:val="20"/>
          <w:lang w:val="en"/>
        </w:rPr>
        <w:t xml:space="preserve"> limited resources to contract out for support when reviewing rate filings that include use of predictive models</w:t>
      </w:r>
      <w:r w:rsidR="00E545EB" w:rsidRPr="00937B31">
        <w:rPr>
          <w:rFonts w:ascii="Times New Roman" w:hAnsi="Times New Roman" w:cs="Times New Roman"/>
          <w:sz w:val="20"/>
          <w:szCs w:val="20"/>
          <w:lang w:val="en"/>
        </w:rPr>
        <w:t xml:space="preserve">. </w:t>
      </w:r>
      <w:r w:rsidR="00544DCB" w:rsidRPr="00937B31">
        <w:rPr>
          <w:rFonts w:ascii="Times New Roman" w:hAnsi="Times New Roman" w:cs="Times New Roman"/>
          <w:sz w:val="20"/>
          <w:szCs w:val="20"/>
          <w:lang w:val="en"/>
        </w:rPr>
        <w:t xml:space="preserve">The Big Data </w:t>
      </w:r>
      <w:r w:rsidR="001E6F24" w:rsidRPr="00937B31">
        <w:rPr>
          <w:rFonts w:ascii="Times New Roman" w:hAnsi="Times New Roman" w:cs="Times New Roman"/>
          <w:sz w:val="20"/>
          <w:szCs w:val="20"/>
          <w:lang w:val="en"/>
        </w:rPr>
        <w:t xml:space="preserve">(EX) </w:t>
      </w:r>
      <w:r w:rsidR="00544DCB" w:rsidRPr="00937B31">
        <w:rPr>
          <w:rFonts w:ascii="Times New Roman" w:hAnsi="Times New Roman" w:cs="Times New Roman"/>
          <w:sz w:val="20"/>
          <w:szCs w:val="20"/>
          <w:lang w:val="en"/>
        </w:rPr>
        <w:t>Working Group identified the need to provide states with guidance and assistance when reviewing predictive models underlying filed rating plans.</w:t>
      </w:r>
      <w:r w:rsidR="00544DCB" w:rsidRPr="00937B31">
        <w:rPr>
          <w:rStyle w:val="FootnoteReference"/>
          <w:rFonts w:ascii="Times New Roman" w:hAnsi="Times New Roman" w:cs="Times New Roman"/>
          <w:sz w:val="20"/>
          <w:szCs w:val="20"/>
          <w:lang w:val="en"/>
        </w:rPr>
        <w:footnoteReference w:id="7"/>
      </w:r>
      <w:r w:rsidR="00C2273E" w:rsidRPr="00937B31">
        <w:rPr>
          <w:rFonts w:ascii="Times New Roman" w:hAnsi="Times New Roman" w:cs="Times New Roman"/>
          <w:sz w:val="20"/>
          <w:szCs w:val="20"/>
          <w:lang w:val="en"/>
        </w:rPr>
        <w:t xml:space="preserve"> </w:t>
      </w:r>
      <w:r w:rsidR="00AF0ADF" w:rsidRPr="00937B31">
        <w:rPr>
          <w:rFonts w:ascii="Times New Roman" w:hAnsi="Times New Roman" w:cs="Times New Roman"/>
          <w:sz w:val="20"/>
          <w:szCs w:val="20"/>
          <w:lang w:val="en"/>
        </w:rPr>
        <w:t>The Working Group</w:t>
      </w:r>
      <w:r w:rsidR="00544DCB" w:rsidRPr="00937B31">
        <w:rPr>
          <w:rFonts w:ascii="Times New Roman" w:hAnsi="Times New Roman" w:cs="Times New Roman"/>
          <w:sz w:val="20"/>
          <w:szCs w:val="20"/>
          <w:lang w:val="en"/>
        </w:rPr>
        <w:t xml:space="preserve"> circulated a proposal addressing aid </w:t>
      </w:r>
      <w:r w:rsidRPr="00937B31">
        <w:rPr>
          <w:rFonts w:ascii="Times New Roman" w:hAnsi="Times New Roman" w:cs="Times New Roman"/>
          <w:sz w:val="20"/>
          <w:szCs w:val="20"/>
          <w:lang w:val="en"/>
        </w:rPr>
        <w:t xml:space="preserve">to </w:t>
      </w:r>
      <w:r w:rsidR="00544DCB" w:rsidRPr="00937B31">
        <w:rPr>
          <w:rFonts w:ascii="Times New Roman" w:hAnsi="Times New Roman" w:cs="Times New Roman"/>
          <w:sz w:val="20"/>
          <w:szCs w:val="20"/>
          <w:lang w:val="en"/>
        </w:rPr>
        <w:t>state</w:t>
      </w:r>
      <w:r w:rsidR="000D6FD5" w:rsidRPr="00937B31">
        <w:rPr>
          <w:rFonts w:ascii="Times New Roman" w:hAnsi="Times New Roman" w:cs="Times New Roman"/>
          <w:sz w:val="20"/>
          <w:szCs w:val="20"/>
          <w:lang w:val="en"/>
        </w:rPr>
        <w:t xml:space="preserve"> insurance</w:t>
      </w:r>
      <w:r w:rsidR="00544DCB" w:rsidRPr="00937B31">
        <w:rPr>
          <w:rFonts w:ascii="Times New Roman" w:hAnsi="Times New Roman" w:cs="Times New Roman"/>
          <w:sz w:val="20"/>
          <w:szCs w:val="20"/>
          <w:lang w:val="en"/>
        </w:rPr>
        <w:t xml:space="preserve"> regulators in the review of predictive models as used in </w:t>
      </w:r>
      <w:r w:rsidR="005D326D" w:rsidRPr="00937B31">
        <w:rPr>
          <w:rFonts w:ascii="Times New Roman" w:hAnsi="Times New Roman" w:cs="Times New Roman"/>
          <w:sz w:val="20"/>
          <w:szCs w:val="20"/>
          <w:lang w:val="en"/>
        </w:rPr>
        <w:t>private passenger</w:t>
      </w:r>
      <w:r w:rsidR="00544DCB" w:rsidRPr="00937B31">
        <w:rPr>
          <w:rFonts w:ascii="Times New Roman" w:hAnsi="Times New Roman" w:cs="Times New Roman"/>
          <w:sz w:val="20"/>
          <w:szCs w:val="20"/>
          <w:lang w:val="en"/>
        </w:rPr>
        <w:t xml:space="preserve"> auto</w:t>
      </w:r>
      <w:r w:rsidR="00885630" w:rsidRPr="00937B31">
        <w:rPr>
          <w:rFonts w:ascii="Times New Roman" w:hAnsi="Times New Roman" w:cs="Times New Roman"/>
          <w:sz w:val="20"/>
          <w:szCs w:val="20"/>
          <w:lang w:val="en"/>
        </w:rPr>
        <w:t>mobile</w:t>
      </w:r>
      <w:r w:rsidR="005D326D" w:rsidRPr="00937B31">
        <w:rPr>
          <w:rFonts w:ascii="Times New Roman" w:hAnsi="Times New Roman" w:cs="Times New Roman"/>
          <w:sz w:val="20"/>
          <w:szCs w:val="20"/>
          <w:lang w:val="en"/>
        </w:rPr>
        <w:t xml:space="preserve"> </w:t>
      </w:r>
      <w:r w:rsidR="00544DCB" w:rsidRPr="00937B31">
        <w:rPr>
          <w:rFonts w:ascii="Times New Roman" w:hAnsi="Times New Roman" w:cs="Times New Roman"/>
          <w:sz w:val="20"/>
          <w:szCs w:val="20"/>
          <w:lang w:val="en"/>
        </w:rPr>
        <w:t>and homeowners</w:t>
      </w:r>
      <w:r w:rsidR="005D326D" w:rsidRPr="00937B31">
        <w:rPr>
          <w:rFonts w:ascii="Times New Roman" w:hAnsi="Times New Roman" w:cs="Times New Roman"/>
          <w:sz w:val="20"/>
          <w:szCs w:val="20"/>
          <w:lang w:val="en"/>
        </w:rPr>
        <w:t>’</w:t>
      </w:r>
      <w:r w:rsidR="00544DCB" w:rsidRPr="00937B31">
        <w:rPr>
          <w:rFonts w:ascii="Times New Roman" w:hAnsi="Times New Roman" w:cs="Times New Roman"/>
          <w:sz w:val="20"/>
          <w:szCs w:val="20"/>
          <w:lang w:val="en"/>
        </w:rPr>
        <w:t xml:space="preserve"> insurance rate filings. This proposal was circulated to all </w:t>
      </w:r>
      <w:r w:rsidR="005D326D" w:rsidRPr="00937B31">
        <w:rPr>
          <w:rFonts w:ascii="Times New Roman" w:hAnsi="Times New Roman" w:cs="Times New Roman"/>
          <w:sz w:val="20"/>
          <w:szCs w:val="20"/>
          <w:lang w:val="en"/>
        </w:rPr>
        <w:t xml:space="preserve">of </w:t>
      </w:r>
      <w:r w:rsidR="00AF0ADF" w:rsidRPr="00937B31">
        <w:rPr>
          <w:rFonts w:ascii="Times New Roman" w:hAnsi="Times New Roman" w:cs="Times New Roman"/>
          <w:sz w:val="20"/>
          <w:szCs w:val="20"/>
          <w:lang w:val="en"/>
        </w:rPr>
        <w:t>the Working Group</w:t>
      </w:r>
      <w:r w:rsidR="00544DCB" w:rsidRPr="00937B31">
        <w:rPr>
          <w:rFonts w:ascii="Times New Roman" w:hAnsi="Times New Roman" w:cs="Times New Roman"/>
          <w:sz w:val="20"/>
          <w:szCs w:val="20"/>
          <w:lang w:val="en"/>
        </w:rPr>
        <w:t xml:space="preserve"> members and interested parties on December 19, 2017</w:t>
      </w:r>
      <w:r w:rsidR="00506F26" w:rsidRPr="00937B31">
        <w:rPr>
          <w:rFonts w:ascii="Times New Roman" w:hAnsi="Times New Roman" w:cs="Times New Roman"/>
          <w:sz w:val="20"/>
          <w:szCs w:val="20"/>
          <w:lang w:val="en"/>
        </w:rPr>
        <w:t>,</w:t>
      </w:r>
      <w:r w:rsidR="00544DCB" w:rsidRPr="00937B31">
        <w:rPr>
          <w:rFonts w:ascii="Times New Roman" w:hAnsi="Times New Roman" w:cs="Times New Roman"/>
          <w:sz w:val="20"/>
          <w:szCs w:val="20"/>
          <w:lang w:val="en"/>
        </w:rPr>
        <w:t xml:space="preserve"> for a public comment period ending January 12, 2018.</w:t>
      </w:r>
      <w:r w:rsidR="00544DCB" w:rsidRPr="00937B31">
        <w:rPr>
          <w:rStyle w:val="FootnoteReference"/>
          <w:rFonts w:ascii="Times New Roman" w:hAnsi="Times New Roman" w:cs="Times New Roman"/>
          <w:sz w:val="20"/>
          <w:szCs w:val="20"/>
          <w:lang w:val="en"/>
        </w:rPr>
        <w:footnoteReference w:id="8"/>
      </w:r>
      <w:r w:rsidR="00C2273E" w:rsidRPr="00937B31">
        <w:rPr>
          <w:rFonts w:ascii="Times New Roman" w:hAnsi="Times New Roman" w:cs="Times New Roman"/>
          <w:sz w:val="20"/>
          <w:szCs w:val="20"/>
          <w:lang w:val="en"/>
        </w:rPr>
        <w:t xml:space="preserve"> </w:t>
      </w:r>
      <w:r w:rsidR="00102E55" w:rsidRPr="00937B31">
        <w:rPr>
          <w:rFonts w:ascii="Times New Roman" w:hAnsi="Times New Roman" w:cs="Times New Roman"/>
          <w:sz w:val="20"/>
          <w:szCs w:val="20"/>
          <w:lang w:val="en"/>
        </w:rPr>
        <w:t xml:space="preserve">The Big Data </w:t>
      </w:r>
      <w:r w:rsidR="00AF0ADF" w:rsidRPr="00937B31">
        <w:rPr>
          <w:rFonts w:ascii="Times New Roman" w:hAnsi="Times New Roman" w:cs="Times New Roman"/>
          <w:sz w:val="20"/>
          <w:szCs w:val="20"/>
          <w:lang w:val="en"/>
        </w:rPr>
        <w:t>Working Group</w:t>
      </w:r>
      <w:r w:rsidR="00544DCB" w:rsidRPr="00937B31">
        <w:rPr>
          <w:rFonts w:ascii="Times New Roman" w:hAnsi="Times New Roman" w:cs="Times New Roman"/>
          <w:sz w:val="20"/>
          <w:szCs w:val="20"/>
          <w:lang w:val="en"/>
        </w:rPr>
        <w:t xml:space="preserve"> effort resulted in the new CASTF charges </w:t>
      </w:r>
      <w:r w:rsidRPr="00937B31">
        <w:rPr>
          <w:rFonts w:ascii="Times New Roman" w:hAnsi="Times New Roman" w:cs="Times New Roman"/>
          <w:sz w:val="20"/>
          <w:szCs w:val="20"/>
          <w:lang w:val="en"/>
        </w:rPr>
        <w:t>(see the Introduction</w:t>
      </w:r>
      <w:r w:rsidR="00102E55" w:rsidRPr="00937B31">
        <w:rPr>
          <w:rFonts w:ascii="Times New Roman" w:hAnsi="Times New Roman" w:cs="Times New Roman"/>
          <w:sz w:val="20"/>
          <w:szCs w:val="20"/>
          <w:lang w:val="en"/>
        </w:rPr>
        <w:t xml:space="preserve"> section</w:t>
      </w:r>
      <w:r w:rsidRPr="00937B31">
        <w:rPr>
          <w:rFonts w:ascii="Times New Roman" w:hAnsi="Times New Roman" w:cs="Times New Roman"/>
          <w:sz w:val="20"/>
          <w:szCs w:val="20"/>
          <w:lang w:val="en"/>
        </w:rPr>
        <w:t xml:space="preserve">) </w:t>
      </w:r>
      <w:r w:rsidR="005D326D" w:rsidRPr="00937B31">
        <w:rPr>
          <w:rFonts w:ascii="Times New Roman" w:hAnsi="Times New Roman" w:cs="Times New Roman"/>
          <w:sz w:val="20"/>
          <w:szCs w:val="20"/>
          <w:lang w:val="en"/>
        </w:rPr>
        <w:t xml:space="preserve">with </w:t>
      </w:r>
      <w:r w:rsidR="00544DCB" w:rsidRPr="00937B31">
        <w:rPr>
          <w:rFonts w:ascii="Times New Roman" w:hAnsi="Times New Roman" w:cs="Times New Roman"/>
          <w:sz w:val="20"/>
          <w:szCs w:val="20"/>
          <w:lang w:val="en"/>
        </w:rPr>
        <w:t>identify</w:t>
      </w:r>
      <w:r w:rsidR="005D326D" w:rsidRPr="00937B31">
        <w:rPr>
          <w:rFonts w:ascii="Times New Roman" w:hAnsi="Times New Roman" w:cs="Times New Roman"/>
          <w:sz w:val="20"/>
          <w:szCs w:val="20"/>
          <w:lang w:val="en"/>
        </w:rPr>
        <w:t>ing</w:t>
      </w:r>
      <w:r w:rsidR="00544DCB" w:rsidRPr="00937B31">
        <w:rPr>
          <w:rFonts w:ascii="Times New Roman" w:hAnsi="Times New Roman" w:cs="Times New Roman"/>
          <w:sz w:val="20"/>
          <w:szCs w:val="20"/>
          <w:lang w:val="en"/>
        </w:rPr>
        <w:t xml:space="preserve"> best practices that provide guidance to states in the review of predictive</w:t>
      </w:r>
      <w:r w:rsidRPr="00937B31">
        <w:rPr>
          <w:rFonts w:ascii="Times New Roman" w:hAnsi="Times New Roman" w:cs="Times New Roman"/>
          <w:sz w:val="20"/>
          <w:szCs w:val="20"/>
          <w:lang w:val="en"/>
        </w:rPr>
        <w:t xml:space="preserve"> models.</w:t>
      </w:r>
    </w:p>
    <w:p w14:paraId="1BAFAC61" w14:textId="77777777" w:rsidR="00F74DA5" w:rsidRPr="00937B31" w:rsidRDefault="00F74DA5" w:rsidP="00ED744F">
      <w:pPr>
        <w:ind w:left="360"/>
        <w:jc w:val="both"/>
        <w:rPr>
          <w:rFonts w:ascii="Times New Roman" w:hAnsi="Times New Roman" w:cs="Times New Roman"/>
          <w:sz w:val="20"/>
          <w:szCs w:val="20"/>
          <w:lang w:val="en"/>
        </w:rPr>
      </w:pPr>
      <w:r w:rsidRPr="00937B31">
        <w:rPr>
          <w:rFonts w:ascii="Times New Roman" w:hAnsi="Times New Roman" w:cs="Times New Roman"/>
          <w:sz w:val="20"/>
          <w:szCs w:val="20"/>
          <w:lang w:val="en"/>
        </w:rPr>
        <w:t xml:space="preserve">So, to get to the question asked by the title of this section: Do regulators need best practices to review predictive models? It might be better to ask this question another way: Are best practices in the review of predictive models of value to regulators and insurance companies? The answer is “yes” to both questions. Best practices will aid regulatory reviewers by raising their level of model understanding.  With regard to scorecard models and the model algorithm, there is often not sufficient support for relative weight, parameter values, or scores of each variable.  Best practices can potentially aid in fixing this problem. </w:t>
      </w:r>
    </w:p>
    <w:p w14:paraId="14594E4E" w14:textId="60DD58F8" w:rsidR="00544DCB" w:rsidRPr="00937B31" w:rsidRDefault="00F74DA5" w:rsidP="00ED744F">
      <w:pPr>
        <w:ind w:left="360"/>
        <w:jc w:val="both"/>
        <w:rPr>
          <w:rFonts w:ascii="Times New Roman" w:hAnsi="Times New Roman" w:cs="Times New Roman"/>
          <w:sz w:val="20"/>
          <w:szCs w:val="20"/>
          <w:lang w:val="en"/>
        </w:rPr>
      </w:pPr>
      <w:r w:rsidRPr="00937B31">
        <w:rPr>
          <w:rFonts w:ascii="Times New Roman" w:hAnsi="Times New Roman" w:cs="Times New Roman"/>
          <w:sz w:val="20"/>
          <w:szCs w:val="20"/>
          <w:lang w:val="en"/>
        </w:rPr>
        <w:t>However, best practices are not intended to create standards for filings that include predictive models. Rather, best practices will assist the states in identifying the model elements they should be looking for in a filing that will aid the regulator in understanding why the company believes that the filed predictive model improves the company’s rating plan, making that rating plan fairer to all consumers in the marketplace. To make this work, both regulators and industry need to recognize that:</w:t>
      </w:r>
    </w:p>
    <w:p w14:paraId="411DBE02" w14:textId="3973DC2A" w:rsidR="00093289" w:rsidRPr="00937B31" w:rsidRDefault="00093289" w:rsidP="00C94535">
      <w:pPr>
        <w:pStyle w:val="Heading3"/>
        <w:numPr>
          <w:ilvl w:val="2"/>
          <w:numId w:val="39"/>
        </w:numPr>
        <w:ind w:left="1080" w:right="720" w:hanging="360"/>
        <w:jc w:val="both"/>
        <w:rPr>
          <w:rFonts w:cs="Times New Roman"/>
          <w:i w:val="0"/>
        </w:rPr>
      </w:pPr>
      <w:r w:rsidRPr="00937B31">
        <w:rPr>
          <w:rFonts w:cs="Times New Roman"/>
          <w:i w:val="0"/>
        </w:rPr>
        <w:t xml:space="preserve">Best practices </w:t>
      </w:r>
      <w:r w:rsidR="00E65FDA" w:rsidRPr="00937B31">
        <w:rPr>
          <w:rFonts w:cs="Times New Roman"/>
          <w:i w:val="0"/>
        </w:rPr>
        <w:t xml:space="preserve">merely </w:t>
      </w:r>
      <w:r w:rsidRPr="00937B31">
        <w:rPr>
          <w:rFonts w:cs="Times New Roman"/>
          <w:i w:val="0"/>
        </w:rPr>
        <w:t xml:space="preserve">provide guidance to regulators in their essential and authoritative role over the rating plans in their state. </w:t>
      </w:r>
    </w:p>
    <w:p w14:paraId="2D0F2AFE" w14:textId="35923A21" w:rsidR="00544DCB" w:rsidRPr="00937B31" w:rsidRDefault="00506F26" w:rsidP="00C94535">
      <w:pPr>
        <w:pStyle w:val="Heading3"/>
        <w:numPr>
          <w:ilvl w:val="2"/>
          <w:numId w:val="39"/>
        </w:numPr>
        <w:ind w:left="1080" w:right="720" w:hanging="360"/>
        <w:jc w:val="both"/>
        <w:rPr>
          <w:rFonts w:cs="Times New Roman"/>
          <w:i w:val="0"/>
        </w:rPr>
      </w:pPr>
      <w:r w:rsidRPr="00937B31">
        <w:rPr>
          <w:rFonts w:cs="Times New Roman"/>
          <w:i w:val="0"/>
        </w:rPr>
        <w:t xml:space="preserve">All states </w:t>
      </w:r>
      <w:r w:rsidR="00102E55" w:rsidRPr="00937B31">
        <w:rPr>
          <w:rFonts w:cs="Times New Roman"/>
          <w:i w:val="0"/>
        </w:rPr>
        <w:t xml:space="preserve">may </w:t>
      </w:r>
      <w:r w:rsidRPr="00937B31">
        <w:rPr>
          <w:rFonts w:cs="Times New Roman"/>
          <w:i w:val="0"/>
        </w:rPr>
        <w:t xml:space="preserve">have </w:t>
      </w:r>
      <w:r w:rsidR="00102E55" w:rsidRPr="00937B31">
        <w:rPr>
          <w:rFonts w:cs="Times New Roman"/>
          <w:i w:val="0"/>
        </w:rPr>
        <w:t xml:space="preserve">a </w:t>
      </w:r>
      <w:r w:rsidRPr="00937B31">
        <w:rPr>
          <w:rFonts w:cs="Times New Roman"/>
          <w:i w:val="0"/>
        </w:rPr>
        <w:t xml:space="preserve">need to review </w:t>
      </w:r>
      <w:r w:rsidR="00544DCB" w:rsidRPr="00937B31">
        <w:rPr>
          <w:rFonts w:cs="Times New Roman"/>
          <w:i w:val="0"/>
        </w:rPr>
        <w:t>predictive model</w:t>
      </w:r>
      <w:r w:rsidRPr="00937B31">
        <w:rPr>
          <w:rFonts w:cs="Times New Roman"/>
          <w:i w:val="0"/>
        </w:rPr>
        <w:t xml:space="preserve">s whether that occurs with approval of </w:t>
      </w:r>
      <w:r w:rsidR="00102E55" w:rsidRPr="00937B31">
        <w:rPr>
          <w:rFonts w:cs="Times New Roman"/>
          <w:i w:val="0"/>
        </w:rPr>
        <w:t xml:space="preserve">rating plans </w:t>
      </w:r>
      <w:r w:rsidRPr="00937B31">
        <w:rPr>
          <w:rFonts w:cs="Times New Roman"/>
          <w:i w:val="0"/>
        </w:rPr>
        <w:t xml:space="preserve">or in </w:t>
      </w:r>
      <w:r w:rsidR="00102E55" w:rsidRPr="00937B31">
        <w:rPr>
          <w:rFonts w:cs="Times New Roman"/>
          <w:i w:val="0"/>
        </w:rPr>
        <w:t xml:space="preserve">a </w:t>
      </w:r>
      <w:r w:rsidRPr="00937B31">
        <w:rPr>
          <w:rFonts w:cs="Times New Roman"/>
          <w:i w:val="0"/>
        </w:rPr>
        <w:t xml:space="preserve">market conduct </w:t>
      </w:r>
      <w:r w:rsidR="00102E55" w:rsidRPr="00937B31">
        <w:rPr>
          <w:rFonts w:cs="Times New Roman"/>
          <w:i w:val="0"/>
        </w:rPr>
        <w:t>exam</w:t>
      </w:r>
      <w:r w:rsidR="00E545EB" w:rsidRPr="00937B31">
        <w:rPr>
          <w:rFonts w:cs="Times New Roman"/>
          <w:i w:val="0"/>
        </w:rPr>
        <w:t xml:space="preserve">. </w:t>
      </w:r>
      <w:r w:rsidR="00093289" w:rsidRPr="00937B31">
        <w:rPr>
          <w:rFonts w:cs="Times New Roman"/>
          <w:i w:val="0"/>
        </w:rPr>
        <w:t xml:space="preserve">Best practices help the regulator identify elements of a model that may influence the regulatory review as to whether modeled rates are appropriately justified. </w:t>
      </w:r>
      <w:r w:rsidR="00544DCB" w:rsidRPr="00937B31">
        <w:rPr>
          <w:rFonts w:cs="Times New Roman"/>
          <w:i w:val="0"/>
        </w:rPr>
        <w:t>Each regulator needs to decide</w:t>
      </w:r>
      <w:r w:rsidR="0097761D" w:rsidRPr="00937B31">
        <w:rPr>
          <w:rFonts w:cs="Times New Roman"/>
          <w:i w:val="0"/>
        </w:rPr>
        <w:t xml:space="preserve"> if the insurer’s proposed rates </w:t>
      </w:r>
      <w:r w:rsidR="00FD3135" w:rsidRPr="00937B31">
        <w:rPr>
          <w:rFonts w:cs="Times New Roman"/>
          <w:i w:val="0"/>
        </w:rPr>
        <w:t xml:space="preserve">are </w:t>
      </w:r>
      <w:r w:rsidR="0017555C" w:rsidRPr="00937B31">
        <w:rPr>
          <w:rFonts w:cs="Times New Roman"/>
          <w:i w:val="0"/>
        </w:rPr>
        <w:t>compliant with state laws and regulations</w:t>
      </w:r>
      <w:r w:rsidR="00093289" w:rsidRPr="00937B31">
        <w:rPr>
          <w:rFonts w:cs="Times New Roman"/>
          <w:i w:val="0"/>
        </w:rPr>
        <w:t xml:space="preserve"> and </w:t>
      </w:r>
      <w:r w:rsidR="0097761D" w:rsidRPr="00937B31">
        <w:rPr>
          <w:rFonts w:cs="Times New Roman"/>
          <w:i w:val="0"/>
        </w:rPr>
        <w:t xml:space="preserve">whether </w:t>
      </w:r>
      <w:r w:rsidR="008A1CA1" w:rsidRPr="00937B31">
        <w:rPr>
          <w:rFonts w:cs="Times New Roman"/>
          <w:i w:val="0"/>
        </w:rPr>
        <w:t>to act on that information.</w:t>
      </w:r>
    </w:p>
    <w:p w14:paraId="39F12B10" w14:textId="77777777" w:rsidR="00D61554" w:rsidRPr="00937B31" w:rsidRDefault="00D61554" w:rsidP="00C94535">
      <w:pPr>
        <w:pStyle w:val="Heading3"/>
        <w:numPr>
          <w:ilvl w:val="2"/>
          <w:numId w:val="39"/>
        </w:numPr>
        <w:ind w:left="1080" w:right="720" w:hanging="360"/>
        <w:jc w:val="both"/>
        <w:rPr>
          <w:rFonts w:cs="Times New Roman"/>
          <w:i w:val="0"/>
        </w:rPr>
      </w:pPr>
      <w:r w:rsidRPr="00937B31">
        <w:rPr>
          <w:rFonts w:cs="Times New Roman"/>
          <w:i w:val="0"/>
        </w:rPr>
        <w:t xml:space="preserve">Best practices </w:t>
      </w:r>
      <w:r w:rsidR="00C45BAE" w:rsidRPr="00937B31">
        <w:rPr>
          <w:rFonts w:cs="Times New Roman"/>
          <w:i w:val="0"/>
        </w:rPr>
        <w:t xml:space="preserve">will </w:t>
      </w:r>
      <w:r w:rsidRPr="00937B31">
        <w:rPr>
          <w:rFonts w:cs="Times New Roman"/>
          <w:i w:val="0"/>
        </w:rPr>
        <w:t xml:space="preserve">lead to improved quality </w:t>
      </w:r>
      <w:r w:rsidR="00544DCB" w:rsidRPr="00937B31">
        <w:rPr>
          <w:rFonts w:cs="Times New Roman"/>
          <w:i w:val="0"/>
        </w:rPr>
        <w:t>in predictive model reviews across states</w:t>
      </w:r>
      <w:r w:rsidRPr="00937B31">
        <w:rPr>
          <w:rFonts w:cs="Times New Roman"/>
          <w:i w:val="0"/>
        </w:rPr>
        <w:t>,</w:t>
      </w:r>
      <w:r w:rsidR="00544DCB" w:rsidRPr="00937B31">
        <w:rPr>
          <w:rFonts w:cs="Times New Roman"/>
          <w:i w:val="0"/>
        </w:rPr>
        <w:t xml:space="preserve"> aid</w:t>
      </w:r>
      <w:r w:rsidRPr="00937B31">
        <w:rPr>
          <w:rFonts w:cs="Times New Roman"/>
          <w:i w:val="0"/>
        </w:rPr>
        <w:t>ing</w:t>
      </w:r>
      <w:r w:rsidR="00544DCB" w:rsidRPr="00937B31">
        <w:rPr>
          <w:rFonts w:cs="Times New Roman"/>
          <w:i w:val="0"/>
        </w:rPr>
        <w:t xml:space="preserve"> speed to market and competitiveness of </w:t>
      </w:r>
      <w:r w:rsidR="00D4297D" w:rsidRPr="00937B31">
        <w:rPr>
          <w:rFonts w:cs="Times New Roman"/>
          <w:i w:val="0"/>
        </w:rPr>
        <w:t xml:space="preserve">the state </w:t>
      </w:r>
      <w:r w:rsidR="00544DCB" w:rsidRPr="00937B31">
        <w:rPr>
          <w:rFonts w:cs="Times New Roman"/>
          <w:i w:val="0"/>
        </w:rPr>
        <w:t>marketplace.</w:t>
      </w:r>
      <w:r w:rsidR="00E70E07" w:rsidRPr="00937B31">
        <w:rPr>
          <w:rFonts w:cs="Times New Roman"/>
          <w:i w:val="0"/>
        </w:rPr>
        <w:t xml:space="preserve"> </w:t>
      </w:r>
    </w:p>
    <w:p w14:paraId="740DE804" w14:textId="77777777" w:rsidR="00544DCB" w:rsidRPr="00937B31" w:rsidRDefault="00544DCB" w:rsidP="00C94535">
      <w:pPr>
        <w:pStyle w:val="Heading3"/>
        <w:numPr>
          <w:ilvl w:val="2"/>
          <w:numId w:val="39"/>
        </w:numPr>
        <w:ind w:left="1080" w:right="720" w:hanging="360"/>
        <w:jc w:val="both"/>
        <w:rPr>
          <w:rFonts w:cs="Times New Roman"/>
          <w:i w:val="0"/>
        </w:rPr>
      </w:pPr>
      <w:r w:rsidRPr="00937B31">
        <w:rPr>
          <w:rFonts w:cs="Times New Roman"/>
          <w:i w:val="0"/>
        </w:rPr>
        <w:t xml:space="preserve">Best practices provide a framework for states to share knowledge and resources to facilitate the technical </w:t>
      </w:r>
      <w:r w:rsidR="008A1CA1" w:rsidRPr="00937B31">
        <w:rPr>
          <w:rFonts w:cs="Times New Roman"/>
          <w:i w:val="0"/>
        </w:rPr>
        <w:t>review</w:t>
      </w:r>
      <w:r w:rsidRPr="00937B31">
        <w:rPr>
          <w:rFonts w:cs="Times New Roman"/>
          <w:i w:val="0"/>
        </w:rPr>
        <w:t xml:space="preserve"> of predictive models.</w:t>
      </w:r>
    </w:p>
    <w:p w14:paraId="548ACE2C" w14:textId="77777777" w:rsidR="00544DCB" w:rsidRPr="00937B31" w:rsidRDefault="00544DCB" w:rsidP="00C94535">
      <w:pPr>
        <w:pStyle w:val="Heading3"/>
        <w:numPr>
          <w:ilvl w:val="2"/>
          <w:numId w:val="39"/>
        </w:numPr>
        <w:ind w:left="1080" w:right="720" w:hanging="360"/>
        <w:jc w:val="both"/>
        <w:rPr>
          <w:rFonts w:cs="Times New Roman"/>
          <w:i w:val="0"/>
        </w:rPr>
      </w:pPr>
      <w:r w:rsidRPr="00937B31">
        <w:rPr>
          <w:rFonts w:cs="Times New Roman"/>
          <w:i w:val="0"/>
        </w:rPr>
        <w:t>Best practices aid training of new regulators and/or regulators new to reviewing predictive models. (This is especially useful for those regulators who do not actively participate in NAIC discussions related to the subject of predictive models.)</w:t>
      </w:r>
    </w:p>
    <w:p w14:paraId="6C145D66" w14:textId="7CF27809" w:rsidR="00544DCB" w:rsidRPr="00937B31" w:rsidRDefault="00544DCB" w:rsidP="00C94535">
      <w:pPr>
        <w:pStyle w:val="Heading3"/>
        <w:numPr>
          <w:ilvl w:val="2"/>
          <w:numId w:val="39"/>
        </w:numPr>
        <w:ind w:left="1080" w:right="720" w:hanging="360"/>
        <w:jc w:val="both"/>
        <w:rPr>
          <w:rFonts w:cs="Times New Roman"/>
          <w:i w:val="0"/>
        </w:rPr>
      </w:pPr>
      <w:r w:rsidRPr="00937B31">
        <w:rPr>
          <w:rFonts w:cs="Times New Roman"/>
          <w:i w:val="0"/>
        </w:rPr>
        <w:t xml:space="preserve">Each regulator </w:t>
      </w:r>
      <w:r w:rsidR="00C45BAE" w:rsidRPr="00937B31">
        <w:rPr>
          <w:rFonts w:cs="Times New Roman"/>
          <w:i w:val="0"/>
        </w:rPr>
        <w:t xml:space="preserve">adopting </w:t>
      </w:r>
      <w:r w:rsidRPr="00937B31">
        <w:rPr>
          <w:rFonts w:cs="Times New Roman"/>
          <w:i w:val="0"/>
        </w:rPr>
        <w:t>best practices will be better able to identify the resources needed to assist their state in the review of predictive models.</w:t>
      </w:r>
    </w:p>
    <w:p w14:paraId="64501614" w14:textId="77777777" w:rsidR="00544DCB" w:rsidRPr="00937B31" w:rsidRDefault="007D3DB7" w:rsidP="00ED744F">
      <w:pPr>
        <w:spacing w:after="0"/>
        <w:ind w:left="360"/>
        <w:jc w:val="both"/>
        <w:rPr>
          <w:rFonts w:ascii="Times New Roman" w:hAnsi="Times New Roman" w:cs="Times New Roman"/>
          <w:sz w:val="20"/>
          <w:szCs w:val="20"/>
          <w:lang w:val="en"/>
        </w:rPr>
      </w:pPr>
      <w:r w:rsidRPr="00937B31">
        <w:rPr>
          <w:rFonts w:ascii="Times New Roman" w:hAnsi="Times New Roman" w:cs="Times New Roman"/>
          <w:sz w:val="20"/>
          <w:szCs w:val="20"/>
          <w:lang w:val="en"/>
        </w:rPr>
        <w:t>Lastly</w:t>
      </w:r>
      <w:r w:rsidR="00FE39EF" w:rsidRPr="00937B31">
        <w:rPr>
          <w:rFonts w:ascii="Times New Roman" w:hAnsi="Times New Roman" w:cs="Times New Roman"/>
          <w:sz w:val="20"/>
          <w:szCs w:val="20"/>
          <w:lang w:val="en"/>
        </w:rPr>
        <w:t xml:space="preserve">, from this point on in this paper, best practices </w:t>
      </w:r>
      <w:proofErr w:type="gramStart"/>
      <w:r w:rsidR="00FE39EF" w:rsidRPr="00937B31">
        <w:rPr>
          <w:rFonts w:ascii="Times New Roman" w:hAnsi="Times New Roman" w:cs="Times New Roman"/>
          <w:sz w:val="20"/>
          <w:szCs w:val="20"/>
          <w:lang w:val="en"/>
        </w:rPr>
        <w:t>will be referred</w:t>
      </w:r>
      <w:proofErr w:type="gramEnd"/>
      <w:r w:rsidR="00FE39EF" w:rsidRPr="00937B31">
        <w:rPr>
          <w:rFonts w:ascii="Times New Roman" w:hAnsi="Times New Roman" w:cs="Times New Roman"/>
          <w:sz w:val="20"/>
          <w:szCs w:val="20"/>
          <w:lang w:val="en"/>
        </w:rPr>
        <w:t xml:space="preserve"> to as “guidance.”</w:t>
      </w:r>
      <w:r w:rsidR="00C2273E" w:rsidRPr="00937B31">
        <w:rPr>
          <w:rFonts w:ascii="Times New Roman" w:hAnsi="Times New Roman" w:cs="Times New Roman"/>
          <w:sz w:val="20"/>
          <w:szCs w:val="20"/>
          <w:lang w:val="en"/>
        </w:rPr>
        <w:t xml:space="preserve"> </w:t>
      </w:r>
      <w:r w:rsidR="00D4044A" w:rsidRPr="00937B31">
        <w:rPr>
          <w:rFonts w:ascii="Times New Roman" w:hAnsi="Times New Roman" w:cs="Times New Roman"/>
          <w:sz w:val="20"/>
          <w:szCs w:val="20"/>
          <w:lang w:val="en"/>
        </w:rPr>
        <w:t>This reference is in line with the intent of this paper to support individual state autonomy in the review of predictive models.</w:t>
      </w:r>
    </w:p>
    <w:p w14:paraId="6F6BD933" w14:textId="56CB3965" w:rsidR="006A6BE1" w:rsidRPr="00937B31" w:rsidRDefault="006A6BE1" w:rsidP="00ED744F">
      <w:pPr>
        <w:pStyle w:val="Heading1"/>
        <w:jc w:val="both"/>
        <w:rPr>
          <w:rFonts w:cs="Times New Roman"/>
        </w:rPr>
      </w:pPr>
      <w:bookmarkStart w:id="3" w:name="_Toc8388750"/>
      <w:r w:rsidRPr="00937B31">
        <w:rPr>
          <w:rFonts w:cs="Times New Roman"/>
        </w:rPr>
        <w:t>Scope</w:t>
      </w:r>
      <w:bookmarkEnd w:id="3"/>
    </w:p>
    <w:p w14:paraId="177874DD" w14:textId="25E63B6D" w:rsidR="001C41C3" w:rsidRPr="00937B31" w:rsidRDefault="008D4F0D" w:rsidP="00ED744F">
      <w:pPr>
        <w:ind w:left="360"/>
        <w:jc w:val="both"/>
        <w:rPr>
          <w:rFonts w:ascii="Times New Roman" w:hAnsi="Times New Roman" w:cs="Times New Roman"/>
          <w:sz w:val="20"/>
          <w:szCs w:val="20"/>
          <w:lang w:val="en"/>
        </w:rPr>
      </w:pPr>
      <w:r w:rsidRPr="00937B31">
        <w:rPr>
          <w:rFonts w:ascii="Times New Roman" w:hAnsi="Times New Roman" w:cs="Times New Roman"/>
          <w:sz w:val="20"/>
          <w:szCs w:val="20"/>
          <w:lang w:val="en"/>
        </w:rPr>
        <w:t>The</w:t>
      </w:r>
      <w:r w:rsidR="00F64852" w:rsidRPr="00937B31">
        <w:rPr>
          <w:rFonts w:ascii="Times New Roman" w:hAnsi="Times New Roman" w:cs="Times New Roman"/>
          <w:sz w:val="20"/>
          <w:szCs w:val="20"/>
          <w:lang w:val="en"/>
        </w:rPr>
        <w:t xml:space="preserve"> focus </w:t>
      </w:r>
      <w:r w:rsidR="007F3BA0" w:rsidRPr="00937B31">
        <w:rPr>
          <w:rFonts w:ascii="Times New Roman" w:hAnsi="Times New Roman" w:cs="Times New Roman"/>
          <w:sz w:val="20"/>
          <w:szCs w:val="20"/>
          <w:lang w:val="en"/>
        </w:rPr>
        <w:t xml:space="preserve">of this paper </w:t>
      </w:r>
      <w:r w:rsidR="00F64852" w:rsidRPr="00937B31">
        <w:rPr>
          <w:rFonts w:ascii="Times New Roman" w:hAnsi="Times New Roman" w:cs="Times New Roman"/>
          <w:sz w:val="20"/>
          <w:szCs w:val="20"/>
          <w:lang w:val="en"/>
        </w:rPr>
        <w:t xml:space="preserve">will be on </w:t>
      </w:r>
      <w:r w:rsidR="00167CC3" w:rsidRPr="00937B31">
        <w:rPr>
          <w:rFonts w:ascii="Times New Roman" w:hAnsi="Times New Roman" w:cs="Times New Roman"/>
          <w:sz w:val="20"/>
          <w:szCs w:val="20"/>
          <w:lang w:val="en"/>
        </w:rPr>
        <w:t>GLMs</w:t>
      </w:r>
      <w:r w:rsidR="00F64852" w:rsidRPr="00937B31">
        <w:rPr>
          <w:rFonts w:ascii="Times New Roman" w:hAnsi="Times New Roman" w:cs="Times New Roman"/>
          <w:sz w:val="20"/>
          <w:szCs w:val="20"/>
          <w:lang w:val="en"/>
        </w:rPr>
        <w:t xml:space="preserve"> used </w:t>
      </w:r>
      <w:r w:rsidR="00467E7F" w:rsidRPr="00937B31">
        <w:rPr>
          <w:rFonts w:ascii="Times New Roman" w:hAnsi="Times New Roman" w:cs="Times New Roman"/>
          <w:sz w:val="20"/>
          <w:szCs w:val="20"/>
          <w:lang w:val="en"/>
        </w:rPr>
        <w:t xml:space="preserve">to create </w:t>
      </w:r>
      <w:r w:rsidR="00F64852" w:rsidRPr="00937B31">
        <w:rPr>
          <w:rFonts w:ascii="Times New Roman" w:hAnsi="Times New Roman" w:cs="Times New Roman"/>
          <w:sz w:val="20"/>
          <w:szCs w:val="20"/>
          <w:lang w:val="en"/>
        </w:rPr>
        <w:t>private passenger automobile and home insurance rating plans</w:t>
      </w:r>
      <w:r w:rsidR="007F3BA0" w:rsidRPr="00937B31">
        <w:rPr>
          <w:rFonts w:ascii="Times New Roman" w:hAnsi="Times New Roman" w:cs="Times New Roman"/>
          <w:sz w:val="20"/>
          <w:szCs w:val="20"/>
          <w:lang w:val="en"/>
        </w:rPr>
        <w:t>.</w:t>
      </w:r>
      <w:r w:rsidR="00C36035" w:rsidRPr="00937B31">
        <w:rPr>
          <w:rFonts w:ascii="Times New Roman" w:hAnsi="Times New Roman" w:cs="Times New Roman"/>
          <w:sz w:val="20"/>
          <w:szCs w:val="20"/>
          <w:lang w:val="en"/>
        </w:rPr>
        <w:t xml:space="preserve"> </w:t>
      </w:r>
    </w:p>
    <w:p w14:paraId="0C443495" w14:textId="00B3F1C1" w:rsidR="00D31D14" w:rsidRPr="00937B31" w:rsidRDefault="00D31D14" w:rsidP="00D31D14">
      <w:pPr>
        <w:ind w:left="360"/>
        <w:jc w:val="both"/>
        <w:rPr>
          <w:rFonts w:ascii="Times New Roman" w:hAnsi="Times New Roman" w:cs="Times New Roman"/>
          <w:sz w:val="20"/>
          <w:szCs w:val="20"/>
          <w:lang w:val="en"/>
        </w:rPr>
      </w:pPr>
      <w:r w:rsidRPr="00937B31">
        <w:rPr>
          <w:rFonts w:ascii="Times New Roman" w:hAnsi="Times New Roman" w:cs="Times New Roman"/>
          <w:sz w:val="20"/>
          <w:szCs w:val="20"/>
          <w:lang w:val="en"/>
        </w:rPr>
        <w:t xml:space="preserve">The knowledge needed to review predictive models, and guidance in this paper regarding GLMs for personal automobile and home insurance may be transferrable when the review involves GLMs applied to other lines of business.   Modeling depends on context, so the GLM reviewer has to be alert for data challenges and business applications that differ from the most familiar personal lines.  For example, compared to personal lines, modeling for rates in commercial lines is more likely to encounter low volumes of historical data, dependence on advisory loss costs, unique large accounts with some large deductibles and products that build policies from numerous line-of-business and coverage building blocks.  Commercial lines commonly use individual risk modifications following experience, judgment, and/or expense considerations.  </w:t>
      </w:r>
      <w:r w:rsidR="00981E2C" w:rsidRPr="00937B31">
        <w:rPr>
          <w:rFonts w:ascii="Times New Roman" w:hAnsi="Times New Roman" w:cs="Times New Roman"/>
          <w:sz w:val="20"/>
          <w:szCs w:val="20"/>
          <w:lang w:val="en"/>
        </w:rPr>
        <w:t>A regulator may never see commercial excess and surplus lines filings</w:t>
      </w:r>
      <w:r w:rsidRPr="00937B31">
        <w:rPr>
          <w:rFonts w:ascii="Times New Roman" w:hAnsi="Times New Roman" w:cs="Times New Roman"/>
          <w:sz w:val="20"/>
          <w:szCs w:val="20"/>
          <w:lang w:val="en"/>
        </w:rPr>
        <w:t>.  The legal and regulatory constraints (including state variations) are likely to be more evolved, and challenging, in personal lines.  A GLM rate model for personal lines in 2019 is either an update or a late-adopter's defensive tactic.  Adopting GLM for commercial lines has a shorter history.</w:t>
      </w:r>
    </w:p>
    <w:p w14:paraId="0327F52A" w14:textId="64C3536B" w:rsidR="00F64852" w:rsidRPr="00937B31" w:rsidRDefault="00D31D14" w:rsidP="00D31D14">
      <w:pPr>
        <w:ind w:left="360"/>
        <w:jc w:val="both"/>
        <w:rPr>
          <w:rFonts w:ascii="Times New Roman" w:hAnsi="Times New Roman" w:cs="Times New Roman"/>
          <w:sz w:val="20"/>
          <w:szCs w:val="20"/>
          <w:lang w:val="en"/>
        </w:rPr>
      </w:pPr>
      <w:r w:rsidRPr="00937B31">
        <w:rPr>
          <w:rFonts w:ascii="Times New Roman" w:hAnsi="Times New Roman" w:cs="Times New Roman"/>
          <w:sz w:val="20"/>
          <w:szCs w:val="20"/>
          <w:lang w:val="en"/>
        </w:rPr>
        <w:t xml:space="preserve">Guidance offered here </w:t>
      </w:r>
      <w:r w:rsidRPr="00937B31">
        <w:rPr>
          <w:rFonts w:ascii="Times New Roman" w:hAnsi="Times New Roman" w:cs="Times New Roman"/>
          <w:sz w:val="20"/>
          <w:szCs w:val="20"/>
          <w:lang w:val="en"/>
        </w:rPr>
        <w:t>might</w:t>
      </w:r>
      <w:r w:rsidRPr="00937B31">
        <w:rPr>
          <w:rFonts w:ascii="Times New Roman" w:hAnsi="Times New Roman" w:cs="Times New Roman"/>
          <w:sz w:val="20"/>
          <w:szCs w:val="20"/>
          <w:lang w:val="en"/>
        </w:rPr>
        <w:t xml:space="preserve"> be useful (with deeper adaptations) when starting to review different types of predictive models.  If the model is not a GLM, some listed items might not apply.  Not all predictive models generate p-values or F tests.  Depending on the model type, other considerations might be important.  When transferring guidance to other lines of business and other types of model, unique considerations may arise depending on the context in which a predictive model is proposed to be deployed, the uses to which it is proposed to be put, and the potential consequences for the insurer, its customers and its competitors.  This paper does not delve into these possible considerations but regulators should be prepared to address them as they arise.</w:t>
      </w:r>
    </w:p>
    <w:p w14:paraId="2EF50C8C" w14:textId="680CAAA6" w:rsidR="00574BCD" w:rsidRPr="00937B31" w:rsidRDefault="00574BCD" w:rsidP="00ED744F">
      <w:pPr>
        <w:pStyle w:val="Heading1"/>
        <w:jc w:val="both"/>
        <w:rPr>
          <w:rFonts w:cs="Times New Roman"/>
        </w:rPr>
      </w:pPr>
      <w:bookmarkStart w:id="4" w:name="_Toc8388751"/>
      <w:r w:rsidRPr="00937B31">
        <w:rPr>
          <w:rFonts w:cs="Times New Roman"/>
        </w:rPr>
        <w:t>Confidentiality</w:t>
      </w:r>
      <w:bookmarkEnd w:id="4"/>
    </w:p>
    <w:p w14:paraId="09EF2ADC" w14:textId="474D217E" w:rsidR="00160651" w:rsidRPr="00937B31" w:rsidRDefault="00D31D14" w:rsidP="00ED744F">
      <w:pPr>
        <w:ind w:left="360"/>
        <w:jc w:val="both"/>
        <w:rPr>
          <w:rFonts w:ascii="Times New Roman" w:hAnsi="Times New Roman" w:cs="Times New Roman"/>
          <w:sz w:val="20"/>
          <w:szCs w:val="20"/>
        </w:rPr>
      </w:pPr>
      <w:r w:rsidRPr="00937B31">
        <w:rPr>
          <w:rFonts w:ascii="Times New Roman" w:hAnsi="Times New Roman" w:cs="Times New Roman"/>
          <w:sz w:val="20"/>
          <w:szCs w:val="20"/>
        </w:rPr>
        <w:t>Regulatory reviewers are required to protect confidential information in accordance with applicable State law. However, insurers should be aware that a rate filing might become part of the public record.  Each state determines the confidentiality of a rate filing, supplemental material to the filing, when filing information might become public, the procedure to request that filing information be held confidentially, and the procedure by which a public records request is made. It is incumbent on an insurer to be familiar with each state’s laws regarding the confidentiality of information submitted with their rate filing.</w:t>
      </w:r>
    </w:p>
    <w:p w14:paraId="374BF5CA" w14:textId="2BD37D5B" w:rsidR="008119AC" w:rsidRPr="00937B31" w:rsidRDefault="00944969" w:rsidP="00D31D14">
      <w:pPr>
        <w:pStyle w:val="Heading1"/>
        <w:jc w:val="both"/>
        <w:rPr>
          <w:rFonts w:cs="Times New Roman"/>
          <w:lang w:val="en"/>
        </w:rPr>
      </w:pPr>
      <w:bookmarkStart w:id="5" w:name="_Toc8388752"/>
      <w:r w:rsidRPr="00937B31">
        <w:rPr>
          <w:rFonts w:cs="Times New Roman"/>
          <w:lang w:val="en"/>
        </w:rPr>
        <w:t>Guidance</w:t>
      </w:r>
      <w:r w:rsidR="00410A92" w:rsidRPr="00937B31">
        <w:rPr>
          <w:rFonts w:cs="Times New Roman"/>
          <w:lang w:val="en"/>
        </w:rPr>
        <w:t xml:space="preserve"> </w:t>
      </w:r>
      <w:r w:rsidR="008119AC" w:rsidRPr="00937B31">
        <w:rPr>
          <w:rFonts w:cs="Times New Roman"/>
          <w:lang w:val="en"/>
        </w:rPr>
        <w:t>for Regulatory Review of Predictive Models</w:t>
      </w:r>
      <w:r w:rsidR="00F55D77" w:rsidRPr="00937B31">
        <w:rPr>
          <w:rFonts w:cs="Times New Roman"/>
          <w:lang w:val="en"/>
        </w:rPr>
        <w:t xml:space="preserve"> (Best Practices)</w:t>
      </w:r>
      <w:bookmarkEnd w:id="5"/>
    </w:p>
    <w:p w14:paraId="768F0F08" w14:textId="6D756FF1" w:rsidR="00D31D14" w:rsidRPr="00937B31" w:rsidRDefault="00981E2C" w:rsidP="00D31D14">
      <w:pPr>
        <w:ind w:left="360"/>
        <w:jc w:val="both"/>
        <w:rPr>
          <w:rFonts w:ascii="Times New Roman" w:hAnsi="Times New Roman" w:cs="Times New Roman"/>
          <w:sz w:val="20"/>
          <w:szCs w:val="20"/>
          <w:lang w:val="en"/>
        </w:rPr>
      </w:pPr>
      <w:r w:rsidRPr="00937B31">
        <w:rPr>
          <w:rFonts w:ascii="Times New Roman" w:hAnsi="Times New Roman" w:cs="Times New Roman"/>
          <w:sz w:val="20"/>
          <w:szCs w:val="20"/>
          <w:lang w:val="en"/>
        </w:rPr>
        <w:t>Best practices</w:t>
      </w:r>
      <w:r w:rsidR="00D31D14" w:rsidRPr="00937B31">
        <w:rPr>
          <w:rFonts w:ascii="Times New Roman" w:hAnsi="Times New Roman" w:cs="Times New Roman"/>
          <w:sz w:val="20"/>
          <w:szCs w:val="20"/>
          <w:lang w:val="en"/>
        </w:rPr>
        <w:t xml:space="preserve"> will help the regulator understand if a predictive model is cost based, if the predictive model is compliant with stat</w:t>
      </w:r>
      <w:bookmarkStart w:id="6" w:name="_GoBack"/>
      <w:bookmarkEnd w:id="6"/>
      <w:r w:rsidR="00D31D14" w:rsidRPr="00937B31">
        <w:rPr>
          <w:rFonts w:ascii="Times New Roman" w:hAnsi="Times New Roman" w:cs="Times New Roman"/>
          <w:sz w:val="20"/>
          <w:szCs w:val="20"/>
          <w:lang w:val="en"/>
        </w:rPr>
        <w:t xml:space="preserve">e law, and how the model </w:t>
      </w:r>
      <w:r w:rsidRPr="00937B31">
        <w:rPr>
          <w:rFonts w:ascii="Times New Roman" w:hAnsi="Times New Roman" w:cs="Times New Roman"/>
          <w:sz w:val="20"/>
          <w:szCs w:val="20"/>
          <w:lang w:val="en"/>
        </w:rPr>
        <w:t>improves,</w:t>
      </w:r>
      <w:r w:rsidR="00D31D14" w:rsidRPr="00937B31">
        <w:rPr>
          <w:rFonts w:ascii="Times New Roman" w:hAnsi="Times New Roman" w:cs="Times New Roman"/>
          <w:sz w:val="20"/>
          <w:szCs w:val="20"/>
          <w:lang w:val="en"/>
        </w:rPr>
        <w:t xml:space="preserve"> the company’s rating plan. Best practices can, also, make the regulator's review more consistent across states and more efficient, and assist companies in getting their products to market faster. With this in mind, the regulator's review of predictive models should:</w:t>
      </w:r>
    </w:p>
    <w:p w14:paraId="202DFB56" w14:textId="77777777" w:rsidR="00D31D14" w:rsidRPr="00937B31" w:rsidRDefault="00D31D14" w:rsidP="00DC41F6">
      <w:pPr>
        <w:pStyle w:val="Heading3"/>
        <w:keepNext w:val="0"/>
        <w:keepLines w:val="0"/>
        <w:numPr>
          <w:ilvl w:val="0"/>
          <w:numId w:val="42"/>
        </w:numPr>
        <w:spacing w:before="0"/>
        <w:ind w:left="1080"/>
        <w:rPr>
          <w:rFonts w:cs="Times New Roman"/>
          <w:i w:val="0"/>
        </w:rPr>
      </w:pPr>
      <w:r w:rsidRPr="00937B31">
        <w:rPr>
          <w:rFonts w:cs="Times New Roman"/>
          <w:i w:val="0"/>
        </w:rPr>
        <w:t>Ensure that the factors developed based on the model produce rates that are not excessive, inadequate, or unfairly discriminatory.</w:t>
      </w:r>
    </w:p>
    <w:p w14:paraId="332D10F1" w14:textId="51B70351" w:rsidR="00D31D14" w:rsidRPr="00937B31" w:rsidRDefault="008F7DA1" w:rsidP="00146957">
      <w:pPr>
        <w:pStyle w:val="Heading3"/>
        <w:keepNext w:val="0"/>
        <w:keepLines w:val="0"/>
        <w:numPr>
          <w:ilvl w:val="1"/>
          <w:numId w:val="42"/>
        </w:numPr>
        <w:spacing w:before="0"/>
        <w:rPr>
          <w:rFonts w:cs="Times New Roman"/>
          <w:i w:val="0"/>
        </w:rPr>
      </w:pPr>
      <w:r w:rsidRPr="00937B31">
        <w:rPr>
          <w:rFonts w:cs="Times New Roman"/>
          <w:i w:val="0"/>
        </w:rPr>
        <w:t>Review the overall rate level impact of the revisions proposed based on the predictive model output in comparison to rate level indications provided by the filer.</w:t>
      </w:r>
    </w:p>
    <w:p w14:paraId="00B68954" w14:textId="4B15F21F" w:rsidR="008F7DA1" w:rsidRPr="00937B31" w:rsidRDefault="008F7DA1" w:rsidP="00146957">
      <w:pPr>
        <w:pStyle w:val="Heading3"/>
        <w:keepNext w:val="0"/>
        <w:keepLines w:val="0"/>
        <w:numPr>
          <w:ilvl w:val="1"/>
          <w:numId w:val="42"/>
        </w:numPr>
        <w:spacing w:before="0"/>
        <w:rPr>
          <w:rFonts w:cs="Times New Roman"/>
          <w:i w:val="0"/>
        </w:rPr>
      </w:pPr>
      <w:r w:rsidRPr="00937B31">
        <w:rPr>
          <w:rFonts w:cs="Times New Roman"/>
          <w:i w:val="0"/>
        </w:rPr>
        <w:t>Review the premium disruption for individual policyholders and how the disruptions can be explained to individual consumers.</w:t>
      </w:r>
    </w:p>
    <w:p w14:paraId="3585EAA8" w14:textId="6B10F6BE" w:rsidR="008F7DA1" w:rsidRPr="00937B31" w:rsidRDefault="008F7DA1" w:rsidP="00146957">
      <w:pPr>
        <w:pStyle w:val="Heading3"/>
        <w:keepNext w:val="0"/>
        <w:keepLines w:val="0"/>
        <w:numPr>
          <w:ilvl w:val="1"/>
          <w:numId w:val="42"/>
        </w:numPr>
        <w:spacing w:before="0"/>
        <w:rPr>
          <w:rFonts w:cs="Times New Roman"/>
          <w:i w:val="0"/>
        </w:rPr>
      </w:pPr>
      <w:r w:rsidRPr="00937B31">
        <w:rPr>
          <w:rFonts w:cs="Times New Roman"/>
          <w:i w:val="0"/>
        </w:rPr>
        <w:t xml:space="preserve">Review the individual input characteristics to and output factors from the predictive model (and its sub-models), as well as, associated selected relativities to ensure </w:t>
      </w:r>
      <w:r w:rsidR="00981E2C" w:rsidRPr="00937B31">
        <w:rPr>
          <w:rFonts w:cs="Times New Roman"/>
          <w:i w:val="0"/>
        </w:rPr>
        <w:t>they are</w:t>
      </w:r>
      <w:r w:rsidRPr="00937B31">
        <w:rPr>
          <w:rFonts w:cs="Times New Roman"/>
          <w:i w:val="0"/>
        </w:rPr>
        <w:t xml:space="preserve"> not unfairly discriminatory.</w:t>
      </w:r>
    </w:p>
    <w:p w14:paraId="69F1F824" w14:textId="02C975A4" w:rsidR="00DC41F6" w:rsidRPr="00937B31" w:rsidRDefault="008F7DA1" w:rsidP="00DC41F6">
      <w:pPr>
        <w:pStyle w:val="Heading3"/>
        <w:keepNext w:val="0"/>
        <w:keepLines w:val="0"/>
        <w:numPr>
          <w:ilvl w:val="0"/>
          <w:numId w:val="42"/>
        </w:numPr>
        <w:spacing w:before="0"/>
        <w:ind w:left="1080"/>
        <w:rPr>
          <w:rFonts w:cs="Times New Roman"/>
          <w:i w:val="0"/>
        </w:rPr>
      </w:pPr>
      <w:r w:rsidRPr="00937B31">
        <w:rPr>
          <w:rFonts w:cs="Times New Roman"/>
          <w:i w:val="0"/>
          <w:szCs w:val="20"/>
        </w:rPr>
        <w:t>Thoroughly review all aspects of the model including the source data, assumptions, adjustments, variables, and resulting output.</w:t>
      </w:r>
      <w:r w:rsidR="00DC41F6" w:rsidRPr="00937B31">
        <w:rPr>
          <w:rFonts w:cs="Times New Roman"/>
          <w:i w:val="0"/>
        </w:rPr>
        <w:t xml:space="preserve"> </w:t>
      </w:r>
    </w:p>
    <w:p w14:paraId="25752D5A" w14:textId="2F22ED2F" w:rsidR="008F7DA1" w:rsidRPr="00937B31" w:rsidRDefault="008F7DA1" w:rsidP="00146957">
      <w:pPr>
        <w:pStyle w:val="ListParagraph"/>
        <w:numPr>
          <w:ilvl w:val="1"/>
          <w:numId w:val="42"/>
        </w:numPr>
        <w:spacing w:after="120" w:line="240" w:lineRule="auto"/>
        <w:contextualSpacing w:val="0"/>
        <w:rPr>
          <w:rFonts w:ascii="Times New Roman" w:hAnsi="Times New Roman" w:cs="Times New Roman"/>
          <w:sz w:val="20"/>
          <w:szCs w:val="20"/>
          <w:lang w:val="en"/>
        </w:rPr>
      </w:pPr>
      <w:r w:rsidRPr="00937B31">
        <w:rPr>
          <w:rFonts w:ascii="Times New Roman" w:hAnsi="Times New Roman" w:cs="Times New Roman"/>
          <w:sz w:val="20"/>
          <w:szCs w:val="20"/>
          <w:lang w:val="en"/>
        </w:rPr>
        <w:t>Determine that individual input characteristics to a predictive model are related to the expected loss or expense differences in risk. Each input characteristic should have an intuitive or demonstrable actual relationship to expected loss or expense.</w:t>
      </w:r>
    </w:p>
    <w:p w14:paraId="48B3CC1B" w14:textId="6D761E2C" w:rsidR="008F7DA1" w:rsidRPr="00937B31" w:rsidRDefault="008F7DA1" w:rsidP="00146957">
      <w:pPr>
        <w:pStyle w:val="ListParagraph"/>
        <w:numPr>
          <w:ilvl w:val="1"/>
          <w:numId w:val="42"/>
        </w:numPr>
        <w:spacing w:after="120" w:line="240" w:lineRule="auto"/>
        <w:contextualSpacing w:val="0"/>
        <w:rPr>
          <w:rFonts w:ascii="Times New Roman" w:hAnsi="Times New Roman" w:cs="Times New Roman"/>
          <w:sz w:val="20"/>
          <w:szCs w:val="20"/>
          <w:lang w:val="en"/>
        </w:rPr>
      </w:pPr>
      <w:r w:rsidRPr="00937B31">
        <w:rPr>
          <w:rFonts w:ascii="Times New Roman" w:hAnsi="Times New Roman" w:cs="Times New Roman"/>
          <w:sz w:val="20"/>
          <w:szCs w:val="20"/>
          <w:lang w:val="en"/>
        </w:rPr>
        <w:t>Determine that the data used as input to the predictive model is accurate, including a clear understanding how missing values, erroneous values and outliers are handled.</w:t>
      </w:r>
    </w:p>
    <w:p w14:paraId="677070EC" w14:textId="4BD7E02B" w:rsidR="008F7DA1" w:rsidRPr="00937B31" w:rsidRDefault="008F7DA1" w:rsidP="00146957">
      <w:pPr>
        <w:pStyle w:val="ListParagraph"/>
        <w:numPr>
          <w:ilvl w:val="1"/>
          <w:numId w:val="42"/>
        </w:numPr>
        <w:spacing w:after="120" w:line="240" w:lineRule="auto"/>
        <w:contextualSpacing w:val="0"/>
        <w:rPr>
          <w:rFonts w:ascii="Times New Roman" w:hAnsi="Times New Roman" w:cs="Times New Roman"/>
          <w:sz w:val="20"/>
          <w:szCs w:val="20"/>
          <w:lang w:val="en"/>
        </w:rPr>
      </w:pPr>
      <w:r w:rsidRPr="00937B31">
        <w:rPr>
          <w:rFonts w:ascii="Times New Roman" w:hAnsi="Times New Roman" w:cs="Times New Roman"/>
          <w:sz w:val="20"/>
          <w:szCs w:val="20"/>
          <w:lang w:val="en"/>
        </w:rPr>
        <w:t>Determine that any adjustments to the raw data are handled appropriately, including but not limited to, trending, development, capping, removal of catastrophes.</w:t>
      </w:r>
    </w:p>
    <w:p w14:paraId="33BFBB32" w14:textId="292941B4" w:rsidR="008F7DA1" w:rsidRPr="00937B31" w:rsidRDefault="008F7DA1" w:rsidP="00146957">
      <w:pPr>
        <w:pStyle w:val="ListParagraph"/>
        <w:numPr>
          <w:ilvl w:val="1"/>
          <w:numId w:val="42"/>
        </w:numPr>
        <w:spacing w:after="120" w:line="240" w:lineRule="auto"/>
        <w:contextualSpacing w:val="0"/>
        <w:rPr>
          <w:rFonts w:ascii="Times New Roman" w:hAnsi="Times New Roman" w:cs="Times New Roman"/>
          <w:sz w:val="20"/>
          <w:szCs w:val="20"/>
          <w:lang w:val="en"/>
        </w:rPr>
      </w:pPr>
      <w:r w:rsidRPr="00937B31">
        <w:rPr>
          <w:rFonts w:ascii="Times New Roman" w:hAnsi="Times New Roman" w:cs="Times New Roman"/>
          <w:sz w:val="20"/>
          <w:szCs w:val="20"/>
          <w:lang w:val="en"/>
        </w:rPr>
        <w:t>Determine that rating factors from a predictive model are related to expected loss or expense differences in risk. Each rating factor should have a demonstrable actual relationship to expected loss or expense.</w:t>
      </w:r>
    </w:p>
    <w:p w14:paraId="2ECA6657" w14:textId="23DA1CC7" w:rsidR="008F7DA1" w:rsidRPr="00937B31" w:rsidRDefault="008F7DA1" w:rsidP="00146957">
      <w:pPr>
        <w:pStyle w:val="ListParagraph"/>
        <w:numPr>
          <w:ilvl w:val="1"/>
          <w:numId w:val="42"/>
        </w:numPr>
        <w:spacing w:after="120" w:line="240" w:lineRule="auto"/>
        <w:contextualSpacing w:val="0"/>
        <w:rPr>
          <w:rFonts w:ascii="Times New Roman" w:hAnsi="Times New Roman" w:cs="Times New Roman"/>
          <w:sz w:val="20"/>
          <w:szCs w:val="20"/>
          <w:lang w:val="en"/>
        </w:rPr>
      </w:pPr>
      <w:r w:rsidRPr="00937B31">
        <w:rPr>
          <w:rFonts w:ascii="Times New Roman" w:hAnsi="Times New Roman" w:cs="Times New Roman"/>
          <w:sz w:val="20"/>
          <w:szCs w:val="20"/>
          <w:lang w:val="en"/>
        </w:rPr>
        <w:t xml:space="preserve">Obtain a clear understanding how often each risk characteristic, used as input to the model, is updated and whether the model is periodically </w:t>
      </w:r>
      <w:r w:rsidR="00981E2C" w:rsidRPr="00937B31">
        <w:rPr>
          <w:rFonts w:ascii="Times New Roman" w:hAnsi="Times New Roman" w:cs="Times New Roman"/>
          <w:sz w:val="20"/>
          <w:szCs w:val="20"/>
          <w:lang w:val="en"/>
        </w:rPr>
        <w:t>rerun,</w:t>
      </w:r>
      <w:r w:rsidRPr="00937B31">
        <w:rPr>
          <w:rFonts w:ascii="Times New Roman" w:hAnsi="Times New Roman" w:cs="Times New Roman"/>
          <w:sz w:val="20"/>
          <w:szCs w:val="20"/>
          <w:lang w:val="en"/>
        </w:rPr>
        <w:t xml:space="preserve"> so model output reflects changes to non-static risk characteristics.</w:t>
      </w:r>
    </w:p>
    <w:p w14:paraId="0C517FCF" w14:textId="4A06D10A" w:rsidR="008F7DA1" w:rsidRPr="00937B31" w:rsidRDefault="008F7DA1" w:rsidP="00146957">
      <w:pPr>
        <w:pStyle w:val="ListParagraph"/>
        <w:numPr>
          <w:ilvl w:val="0"/>
          <w:numId w:val="42"/>
        </w:numPr>
        <w:spacing w:after="120" w:line="240" w:lineRule="auto"/>
        <w:ind w:left="1080"/>
        <w:contextualSpacing w:val="0"/>
        <w:rPr>
          <w:rFonts w:ascii="Times New Roman" w:hAnsi="Times New Roman" w:cs="Times New Roman"/>
          <w:sz w:val="20"/>
          <w:szCs w:val="20"/>
          <w:lang w:val="en"/>
        </w:rPr>
      </w:pPr>
      <w:r w:rsidRPr="00937B31">
        <w:rPr>
          <w:rFonts w:ascii="Times New Roman" w:hAnsi="Times New Roman" w:cs="Times New Roman"/>
          <w:sz w:val="20"/>
          <w:szCs w:val="20"/>
          <w:lang w:val="en"/>
        </w:rPr>
        <w:t>Evaluate how the model interacts with and improves the rating plan.</w:t>
      </w:r>
    </w:p>
    <w:p w14:paraId="028E3983" w14:textId="71319F40" w:rsidR="00DC41F6" w:rsidRPr="00937B31" w:rsidRDefault="00DC41F6" w:rsidP="00146957">
      <w:pPr>
        <w:pStyle w:val="ListParagraph"/>
        <w:numPr>
          <w:ilvl w:val="1"/>
          <w:numId w:val="42"/>
        </w:numPr>
        <w:spacing w:after="120"/>
        <w:contextualSpacing w:val="0"/>
        <w:rPr>
          <w:rFonts w:ascii="Times New Roman" w:hAnsi="Times New Roman" w:cs="Times New Roman"/>
          <w:sz w:val="20"/>
          <w:szCs w:val="20"/>
          <w:lang w:val="en"/>
        </w:rPr>
      </w:pPr>
      <w:r w:rsidRPr="00937B31">
        <w:rPr>
          <w:rFonts w:ascii="Times New Roman" w:hAnsi="Times New Roman" w:cs="Times New Roman"/>
          <w:sz w:val="20"/>
          <w:szCs w:val="20"/>
          <w:lang w:val="en"/>
        </w:rPr>
        <w:t>Obtain a clear understanding of the characteristics that are input to a predictive model (and its sub-models), their relationship to each other and their relationship to non-modeled characteristics/variables used to calculate a risk’s premium.</w:t>
      </w:r>
    </w:p>
    <w:p w14:paraId="17B74E9E" w14:textId="6036F436" w:rsidR="00DC41F6" w:rsidRPr="00937B31" w:rsidRDefault="00DC41F6" w:rsidP="00146957">
      <w:pPr>
        <w:pStyle w:val="ListParagraph"/>
        <w:numPr>
          <w:ilvl w:val="1"/>
          <w:numId w:val="42"/>
        </w:numPr>
        <w:spacing w:after="120"/>
        <w:contextualSpacing w:val="0"/>
        <w:rPr>
          <w:rFonts w:ascii="Times New Roman" w:hAnsi="Times New Roman" w:cs="Times New Roman"/>
          <w:sz w:val="20"/>
          <w:szCs w:val="20"/>
          <w:lang w:val="en"/>
        </w:rPr>
      </w:pPr>
      <w:r w:rsidRPr="00937B31">
        <w:rPr>
          <w:rFonts w:ascii="Times New Roman" w:hAnsi="Times New Roman" w:cs="Times New Roman"/>
          <w:sz w:val="20"/>
          <w:szCs w:val="20"/>
          <w:lang w:val="en"/>
        </w:rPr>
        <w:t>Obtain a clear understanding of how the selected predictive model was built and why the insurer believes this type of model works in a private passenger automobile or homeowner’s insurance risk application.</w:t>
      </w:r>
    </w:p>
    <w:p w14:paraId="3743AEB5" w14:textId="1AD6D2F9" w:rsidR="00DC41F6" w:rsidRPr="00937B31" w:rsidRDefault="00DC41F6" w:rsidP="00146957">
      <w:pPr>
        <w:pStyle w:val="ListParagraph"/>
        <w:numPr>
          <w:ilvl w:val="1"/>
          <w:numId w:val="42"/>
        </w:numPr>
        <w:spacing w:after="120"/>
        <w:contextualSpacing w:val="0"/>
        <w:rPr>
          <w:rFonts w:ascii="Times New Roman" w:hAnsi="Times New Roman" w:cs="Times New Roman"/>
          <w:sz w:val="20"/>
          <w:szCs w:val="20"/>
          <w:lang w:val="en"/>
        </w:rPr>
      </w:pPr>
      <w:r w:rsidRPr="00937B31">
        <w:rPr>
          <w:rFonts w:ascii="Times New Roman" w:hAnsi="Times New Roman" w:cs="Times New Roman"/>
          <w:sz w:val="20"/>
          <w:szCs w:val="20"/>
          <w:lang w:val="en"/>
        </w:rPr>
        <w:t>Obtain a clear understanding of how model output interacts with non-modeled characteristics/variables used to calculate a risk’s premium.</w:t>
      </w:r>
    </w:p>
    <w:p w14:paraId="3E6847F0" w14:textId="004D5093" w:rsidR="00DC41F6" w:rsidRPr="00937B31" w:rsidRDefault="00DC41F6" w:rsidP="00146957">
      <w:pPr>
        <w:pStyle w:val="ListParagraph"/>
        <w:numPr>
          <w:ilvl w:val="1"/>
          <w:numId w:val="42"/>
        </w:numPr>
        <w:spacing w:after="120"/>
        <w:contextualSpacing w:val="0"/>
        <w:rPr>
          <w:rFonts w:ascii="Times New Roman" w:hAnsi="Times New Roman" w:cs="Times New Roman"/>
          <w:sz w:val="20"/>
          <w:szCs w:val="20"/>
          <w:lang w:val="en"/>
        </w:rPr>
      </w:pPr>
      <w:r w:rsidRPr="00937B31">
        <w:rPr>
          <w:rFonts w:ascii="Times New Roman" w:hAnsi="Times New Roman" w:cs="Times New Roman"/>
          <w:sz w:val="20"/>
          <w:szCs w:val="20"/>
          <w:lang w:val="en"/>
        </w:rPr>
        <w:t>Obtain a clear understanding of how the predictive model was integrated into the insurer’s state rating plan and how it improves that plan.</w:t>
      </w:r>
    </w:p>
    <w:p w14:paraId="3118CF9A" w14:textId="4004A102" w:rsidR="00DC41F6" w:rsidRPr="00937B31" w:rsidRDefault="00DC41F6" w:rsidP="00146957">
      <w:pPr>
        <w:pStyle w:val="ListParagraph"/>
        <w:numPr>
          <w:ilvl w:val="1"/>
          <w:numId w:val="42"/>
        </w:numPr>
        <w:spacing w:after="120"/>
        <w:contextualSpacing w:val="0"/>
        <w:rPr>
          <w:rFonts w:ascii="Times New Roman" w:hAnsi="Times New Roman" w:cs="Times New Roman"/>
          <w:sz w:val="20"/>
          <w:szCs w:val="20"/>
          <w:lang w:val="en"/>
        </w:rPr>
      </w:pPr>
      <w:r w:rsidRPr="00937B31">
        <w:rPr>
          <w:rFonts w:ascii="Times New Roman" w:hAnsi="Times New Roman" w:cs="Times New Roman"/>
          <w:sz w:val="20"/>
          <w:szCs w:val="20"/>
          <w:lang w:val="en"/>
        </w:rPr>
        <w:t>For predictive model refreshes, determine whether sufficient validation was performed to ensure the model is still a good fit.</w:t>
      </w:r>
    </w:p>
    <w:p w14:paraId="1E00E17F" w14:textId="161FBEA4" w:rsidR="008F7DA1" w:rsidRPr="00937B31" w:rsidRDefault="008F7DA1" w:rsidP="00146957">
      <w:pPr>
        <w:pStyle w:val="ListParagraph"/>
        <w:numPr>
          <w:ilvl w:val="0"/>
          <w:numId w:val="42"/>
        </w:numPr>
        <w:spacing w:after="120" w:line="240" w:lineRule="auto"/>
        <w:ind w:left="1080"/>
        <w:rPr>
          <w:rFonts w:ascii="Times New Roman" w:hAnsi="Times New Roman" w:cs="Times New Roman"/>
          <w:sz w:val="20"/>
          <w:szCs w:val="20"/>
          <w:lang w:val="en"/>
        </w:rPr>
      </w:pPr>
      <w:r w:rsidRPr="00937B31">
        <w:rPr>
          <w:rFonts w:ascii="Times New Roman" w:hAnsi="Times New Roman" w:cs="Times New Roman"/>
          <w:sz w:val="20"/>
          <w:szCs w:val="20"/>
          <w:lang w:val="en"/>
        </w:rPr>
        <w:t>Enable competition and innovation to promote the growth, financial stability, and efficiency of the insurance marketplace.</w:t>
      </w:r>
    </w:p>
    <w:p w14:paraId="204C4752" w14:textId="2427B74F" w:rsidR="008F7DA1" w:rsidRPr="00937B31" w:rsidRDefault="008F7DA1" w:rsidP="00146957">
      <w:pPr>
        <w:pStyle w:val="ListParagraph"/>
        <w:numPr>
          <w:ilvl w:val="0"/>
          <w:numId w:val="45"/>
        </w:numPr>
        <w:spacing w:after="120"/>
        <w:ind w:left="1440"/>
        <w:contextualSpacing w:val="0"/>
        <w:rPr>
          <w:rFonts w:ascii="Times New Roman" w:hAnsi="Times New Roman" w:cs="Times New Roman"/>
          <w:sz w:val="20"/>
          <w:szCs w:val="20"/>
          <w:lang w:val="en"/>
        </w:rPr>
      </w:pPr>
      <w:r w:rsidRPr="00937B31">
        <w:rPr>
          <w:rFonts w:ascii="Times New Roman" w:hAnsi="Times New Roman" w:cs="Times New Roman"/>
          <w:sz w:val="20"/>
          <w:szCs w:val="20"/>
          <w:lang w:val="en"/>
        </w:rPr>
        <w:t>Enable innovation in the pricing of insurance though acceptance of predictive models, provided they are actuarially sound and in compliance with state laws.</w:t>
      </w:r>
    </w:p>
    <w:p w14:paraId="28A96B39" w14:textId="07590F44" w:rsidR="008F7DA1" w:rsidRPr="00937B31" w:rsidRDefault="008F7DA1" w:rsidP="00146957">
      <w:pPr>
        <w:pStyle w:val="ListParagraph"/>
        <w:numPr>
          <w:ilvl w:val="0"/>
          <w:numId w:val="45"/>
        </w:numPr>
        <w:spacing w:after="120"/>
        <w:ind w:left="1440"/>
        <w:contextualSpacing w:val="0"/>
        <w:rPr>
          <w:rFonts w:ascii="Times New Roman" w:hAnsi="Times New Roman" w:cs="Times New Roman"/>
          <w:sz w:val="20"/>
          <w:szCs w:val="20"/>
          <w:lang w:val="en"/>
        </w:rPr>
      </w:pPr>
      <w:r w:rsidRPr="00937B31">
        <w:rPr>
          <w:rFonts w:ascii="Times New Roman" w:hAnsi="Times New Roman" w:cs="Times New Roman"/>
          <w:sz w:val="20"/>
          <w:szCs w:val="20"/>
          <w:lang w:val="en"/>
        </w:rPr>
        <w:t>Protect the confidentiality of filed predictive models and supporting information in accordance with state law.</w:t>
      </w:r>
    </w:p>
    <w:p w14:paraId="6682CCDE" w14:textId="4837051B" w:rsidR="008F7DA1" w:rsidRPr="00937B31" w:rsidRDefault="008F7DA1" w:rsidP="00146957">
      <w:pPr>
        <w:pStyle w:val="ListParagraph"/>
        <w:numPr>
          <w:ilvl w:val="0"/>
          <w:numId w:val="45"/>
        </w:numPr>
        <w:spacing w:after="120"/>
        <w:ind w:left="1440"/>
        <w:contextualSpacing w:val="0"/>
        <w:rPr>
          <w:rFonts w:ascii="Times New Roman" w:hAnsi="Times New Roman" w:cs="Times New Roman"/>
          <w:sz w:val="20"/>
          <w:szCs w:val="20"/>
          <w:lang w:val="en"/>
        </w:rPr>
      </w:pPr>
      <w:r w:rsidRPr="00937B31">
        <w:rPr>
          <w:rFonts w:ascii="Times New Roman" w:hAnsi="Times New Roman" w:cs="Times New Roman"/>
          <w:sz w:val="20"/>
          <w:szCs w:val="20"/>
          <w:lang w:val="en"/>
        </w:rPr>
        <w:t>Review predictive models in a timely manner to enable reasonable speed to market.</w:t>
      </w:r>
    </w:p>
    <w:p w14:paraId="676ADB9D" w14:textId="0D647C14" w:rsidR="00496092" w:rsidRPr="00937B31" w:rsidRDefault="008416B5" w:rsidP="00CD5564">
      <w:pPr>
        <w:pStyle w:val="Heading1"/>
        <w:tabs>
          <w:tab w:val="clear" w:pos="360"/>
          <w:tab w:val="left" w:pos="540"/>
        </w:tabs>
        <w:jc w:val="both"/>
        <w:rPr>
          <w:rFonts w:cs="Times New Roman"/>
        </w:rPr>
      </w:pPr>
      <w:bookmarkStart w:id="7" w:name="_Toc8388753"/>
      <w:r w:rsidRPr="00937B31">
        <w:rPr>
          <w:rFonts w:cs="Times New Roman"/>
        </w:rPr>
        <w:t>Predictive Model</w:t>
      </w:r>
      <w:r w:rsidR="0051148D" w:rsidRPr="00937B31">
        <w:rPr>
          <w:rFonts w:cs="Times New Roman"/>
        </w:rPr>
        <w:t>s</w:t>
      </w:r>
      <w:r w:rsidR="00805C73" w:rsidRPr="00937B31">
        <w:rPr>
          <w:rFonts w:cs="Times New Roman"/>
        </w:rPr>
        <w:t xml:space="preserve"> </w:t>
      </w:r>
      <w:r w:rsidR="0090751D" w:rsidRPr="00937B31">
        <w:rPr>
          <w:rFonts w:cs="Times New Roman"/>
        </w:rPr>
        <w:t>–</w:t>
      </w:r>
      <w:r w:rsidR="007619A8" w:rsidRPr="00937B31">
        <w:rPr>
          <w:rFonts w:cs="Times New Roman"/>
        </w:rPr>
        <w:t xml:space="preserve"> </w:t>
      </w:r>
      <w:r w:rsidR="00A605A5" w:rsidRPr="00937B31">
        <w:rPr>
          <w:rFonts w:cs="Times New Roman"/>
        </w:rPr>
        <w:t>Information for Regulatory Review</w:t>
      </w:r>
      <w:bookmarkEnd w:id="7"/>
    </w:p>
    <w:p w14:paraId="4302D8C4" w14:textId="5F42B89C" w:rsidR="003049D9" w:rsidRPr="00937B31" w:rsidRDefault="003049D9" w:rsidP="003049D9">
      <w:pPr>
        <w:ind w:left="360"/>
        <w:jc w:val="both"/>
        <w:rPr>
          <w:rFonts w:ascii="Times New Roman" w:hAnsi="Times New Roman" w:cs="Times New Roman"/>
          <w:sz w:val="20"/>
          <w:szCs w:val="20"/>
          <w:lang w:val="en"/>
        </w:rPr>
      </w:pPr>
      <w:r w:rsidRPr="00937B31">
        <w:rPr>
          <w:rFonts w:ascii="Times New Roman" w:hAnsi="Times New Roman" w:cs="Times New Roman"/>
          <w:sz w:val="20"/>
          <w:szCs w:val="20"/>
        </w:rPr>
        <w:t>This section of the paper identifies the information a regulator may need to review a predictive model used by an insurer to support a filed P/C insurance rating plan. The list is lengthy but not exhaustive. It is not intended to limit the authority of a regulator to request additional information in support of the model or filed rating plan. Nor is every item on the list intended to be a requirement for every filing. However, the items listed should help guide a regulator to obtain sufficient information to determine if the rating plan meets state specific filing and legal requirements.</w:t>
      </w:r>
      <w:r w:rsidRPr="00937B31">
        <w:rPr>
          <w:rFonts w:ascii="Times New Roman" w:hAnsi="Times New Roman" w:cs="Times New Roman"/>
          <w:sz w:val="20"/>
          <w:szCs w:val="20"/>
          <w:lang w:val="en"/>
        </w:rPr>
        <w:t xml:space="preserve"> </w:t>
      </w:r>
    </w:p>
    <w:p w14:paraId="46187F55" w14:textId="77777777" w:rsidR="00997CC0" w:rsidRPr="00937B31" w:rsidRDefault="00E93812" w:rsidP="003049D9">
      <w:pPr>
        <w:ind w:left="360"/>
        <w:jc w:val="both"/>
        <w:rPr>
          <w:rFonts w:ascii="Times New Roman" w:hAnsi="Times New Roman" w:cs="Times New Roman"/>
          <w:sz w:val="20"/>
          <w:szCs w:val="20"/>
        </w:rPr>
      </w:pPr>
      <w:r w:rsidRPr="00937B31">
        <w:rPr>
          <w:rFonts w:ascii="Times New Roman" w:hAnsi="Times New Roman" w:cs="Times New Roman"/>
          <w:sz w:val="20"/>
          <w:szCs w:val="20"/>
        </w:rPr>
        <w:t>Though the list seems long, the insurer should already have internal documentation on the model for more than half of the information listed. The remaining items on the list require either minimal analysis (approximately 25%) or deeper analysis to generate the information for a regulator (approximately 25%)</w:t>
      </w:r>
    </w:p>
    <w:p w14:paraId="157D157A" w14:textId="2861E378" w:rsidR="00997CC0" w:rsidRPr="00937B31" w:rsidRDefault="00997CC0" w:rsidP="003049D9">
      <w:pPr>
        <w:ind w:left="360"/>
        <w:jc w:val="both"/>
        <w:rPr>
          <w:rFonts w:ascii="Times New Roman" w:hAnsi="Times New Roman" w:cs="Times New Roman"/>
          <w:sz w:val="20"/>
          <w:szCs w:val="20"/>
        </w:rPr>
      </w:pPr>
      <w:r w:rsidRPr="00937B31">
        <w:rPr>
          <w:rFonts w:ascii="Times New Roman" w:hAnsi="Times New Roman" w:cs="Times New Roman"/>
          <w:sz w:val="20"/>
          <w:szCs w:val="20"/>
        </w:rPr>
        <w:t xml:space="preserve">The “Importance to Regulator’s Review” ranking of information a regulator may need to review </w:t>
      </w:r>
      <w:proofErr w:type="gramStart"/>
      <w:r w:rsidRPr="00937B31">
        <w:rPr>
          <w:rFonts w:ascii="Times New Roman" w:hAnsi="Times New Roman" w:cs="Times New Roman"/>
          <w:sz w:val="20"/>
          <w:szCs w:val="20"/>
        </w:rPr>
        <w:t>is based</w:t>
      </w:r>
      <w:proofErr w:type="gramEnd"/>
      <w:r w:rsidRPr="00937B31">
        <w:rPr>
          <w:rFonts w:ascii="Times New Roman" w:hAnsi="Times New Roman" w:cs="Times New Roman"/>
          <w:sz w:val="20"/>
          <w:szCs w:val="20"/>
        </w:rPr>
        <w:t xml:space="preserve"> on the following </w:t>
      </w:r>
      <w:r w:rsidR="00CD5564">
        <w:rPr>
          <w:rFonts w:ascii="Times New Roman" w:hAnsi="Times New Roman" w:cs="Times New Roman"/>
          <w:sz w:val="20"/>
          <w:szCs w:val="20"/>
        </w:rPr>
        <w:t xml:space="preserve">level </w:t>
      </w:r>
      <w:r w:rsidRPr="00937B31">
        <w:rPr>
          <w:rFonts w:ascii="Times New Roman" w:hAnsi="Times New Roman" w:cs="Times New Roman"/>
          <w:sz w:val="20"/>
          <w:szCs w:val="20"/>
        </w:rPr>
        <w:t>criteria:</w:t>
      </w:r>
    </w:p>
    <w:p w14:paraId="5247B150" w14:textId="77777777" w:rsidR="00997CC0" w:rsidRPr="00937B31" w:rsidRDefault="00997CC0" w:rsidP="00997CC0">
      <w:pPr>
        <w:ind w:left="360"/>
        <w:jc w:val="both"/>
        <w:rPr>
          <w:rFonts w:ascii="Times New Roman" w:hAnsi="Times New Roman" w:cs="Times New Roman"/>
          <w:sz w:val="20"/>
          <w:szCs w:val="20"/>
        </w:rPr>
      </w:pPr>
      <w:r w:rsidRPr="00937B31">
        <w:rPr>
          <w:rFonts w:ascii="Times New Roman" w:hAnsi="Times New Roman" w:cs="Times New Roman"/>
          <w:b/>
          <w:sz w:val="20"/>
          <w:szCs w:val="20"/>
        </w:rPr>
        <w:t>Level 1</w:t>
      </w:r>
      <w:r w:rsidRPr="00937B31">
        <w:rPr>
          <w:rFonts w:ascii="Times New Roman" w:hAnsi="Times New Roman" w:cs="Times New Roman"/>
          <w:sz w:val="20"/>
          <w:szCs w:val="20"/>
        </w:rPr>
        <w:t xml:space="preserve"> - This information is necessary to begin the review of a predictive model.  These data elements pertain to basic information about the type and structure of the model, the data and variables used, the assumptions made, and the goodness of fit.  Ideally, this information would be included in the filing documentation with the initial submission of a filing made based on a predictive model.</w:t>
      </w:r>
    </w:p>
    <w:p w14:paraId="394C4DF6" w14:textId="32C13E6E" w:rsidR="00997CC0" w:rsidRPr="00937B31" w:rsidRDefault="00997CC0" w:rsidP="00997CC0">
      <w:pPr>
        <w:ind w:left="360"/>
        <w:jc w:val="both"/>
        <w:rPr>
          <w:rFonts w:ascii="Times New Roman" w:hAnsi="Times New Roman" w:cs="Times New Roman"/>
          <w:sz w:val="20"/>
          <w:szCs w:val="20"/>
        </w:rPr>
      </w:pPr>
      <w:r w:rsidRPr="00937B31">
        <w:rPr>
          <w:rFonts w:ascii="Times New Roman" w:hAnsi="Times New Roman" w:cs="Times New Roman"/>
          <w:b/>
          <w:sz w:val="20"/>
          <w:szCs w:val="20"/>
        </w:rPr>
        <w:t>Level 2</w:t>
      </w:r>
      <w:r w:rsidRPr="00937B31">
        <w:rPr>
          <w:rFonts w:ascii="Times New Roman" w:hAnsi="Times New Roman" w:cs="Times New Roman"/>
          <w:sz w:val="20"/>
          <w:szCs w:val="20"/>
        </w:rPr>
        <w:t xml:space="preserve"> - This information is necessary to continue the review of all but the most basic models; such as those based only on the filer`s internal data and only including variables that are in the filed rating plan.  These data elements provide more detailed information about the model and address questions arising from review of the information in Level 1.  Insurers concerned with speed to market may also want to include this information in the filing documentation. </w:t>
      </w:r>
    </w:p>
    <w:p w14:paraId="22B38B8E" w14:textId="20117B59" w:rsidR="00997CC0" w:rsidRPr="00937B31" w:rsidRDefault="00997CC0" w:rsidP="00997CC0">
      <w:pPr>
        <w:ind w:left="360"/>
        <w:jc w:val="both"/>
        <w:rPr>
          <w:rFonts w:ascii="Times New Roman" w:hAnsi="Times New Roman" w:cs="Times New Roman"/>
          <w:sz w:val="20"/>
          <w:szCs w:val="20"/>
        </w:rPr>
      </w:pPr>
      <w:r w:rsidRPr="00937B31">
        <w:rPr>
          <w:rFonts w:ascii="Times New Roman" w:hAnsi="Times New Roman" w:cs="Times New Roman"/>
          <w:b/>
          <w:sz w:val="20"/>
          <w:szCs w:val="20"/>
        </w:rPr>
        <w:t>Level 3</w:t>
      </w:r>
      <w:r w:rsidRPr="00937B31">
        <w:rPr>
          <w:rFonts w:ascii="Times New Roman" w:hAnsi="Times New Roman" w:cs="Times New Roman"/>
          <w:sz w:val="20"/>
          <w:szCs w:val="20"/>
        </w:rPr>
        <w:t xml:space="preserve"> - This information is </w:t>
      </w:r>
      <w:r w:rsidRPr="00937B31">
        <w:rPr>
          <w:rFonts w:ascii="Times New Roman" w:hAnsi="Times New Roman" w:cs="Times New Roman"/>
          <w:sz w:val="20"/>
          <w:szCs w:val="20"/>
        </w:rPr>
        <w:t>necessary</w:t>
      </w:r>
      <w:r w:rsidRPr="00937B31">
        <w:rPr>
          <w:rFonts w:ascii="Times New Roman" w:hAnsi="Times New Roman" w:cs="Times New Roman"/>
          <w:sz w:val="20"/>
          <w:szCs w:val="20"/>
        </w:rPr>
        <w:t xml:space="preserve"> to continue the review of a model where concerns have been raised and not resolved based on review of the information in Levels 1 and 2.  These data elements address even more detailed aspects of the model including (</w:t>
      </w:r>
      <w:r w:rsidRPr="00CD5564">
        <w:rPr>
          <w:rFonts w:ascii="Times New Roman" w:hAnsi="Times New Roman" w:cs="Times New Roman"/>
          <w:color w:val="FF0000"/>
          <w:sz w:val="20"/>
          <w:szCs w:val="20"/>
        </w:rPr>
        <w:t>to be listed after we assign levels</w:t>
      </w:r>
      <w:r w:rsidRPr="00937B31">
        <w:rPr>
          <w:rFonts w:ascii="Times New Roman" w:hAnsi="Times New Roman" w:cs="Times New Roman"/>
          <w:sz w:val="20"/>
          <w:szCs w:val="20"/>
        </w:rPr>
        <w:t xml:space="preserve">).  This information does not necessarily need to be included with the initial submission, unless specifically requested in a particular jurisdiction, as it is typically requested only if the reviewer has concerns that the model may not </w:t>
      </w:r>
      <w:r w:rsidR="00981E2C" w:rsidRPr="00937B31">
        <w:rPr>
          <w:rFonts w:ascii="Times New Roman" w:hAnsi="Times New Roman" w:cs="Times New Roman"/>
          <w:sz w:val="20"/>
          <w:szCs w:val="20"/>
        </w:rPr>
        <w:t>comply</w:t>
      </w:r>
      <w:r w:rsidRPr="00937B31">
        <w:rPr>
          <w:rFonts w:ascii="Times New Roman" w:hAnsi="Times New Roman" w:cs="Times New Roman"/>
          <w:sz w:val="20"/>
          <w:szCs w:val="20"/>
        </w:rPr>
        <w:t xml:space="preserve"> with state laws.</w:t>
      </w:r>
    </w:p>
    <w:p w14:paraId="0839F032" w14:textId="6670A90C" w:rsidR="00997CC0" w:rsidRPr="00937B31" w:rsidRDefault="00997CC0" w:rsidP="00997CC0">
      <w:pPr>
        <w:ind w:left="360"/>
        <w:jc w:val="both"/>
        <w:rPr>
          <w:rFonts w:ascii="Times New Roman" w:hAnsi="Times New Roman" w:cs="Times New Roman"/>
          <w:sz w:val="20"/>
          <w:szCs w:val="20"/>
        </w:rPr>
      </w:pPr>
      <w:r w:rsidRPr="00937B31">
        <w:rPr>
          <w:rFonts w:ascii="Times New Roman" w:hAnsi="Times New Roman" w:cs="Times New Roman"/>
          <w:b/>
          <w:sz w:val="20"/>
          <w:szCs w:val="20"/>
        </w:rPr>
        <w:t>Level 4</w:t>
      </w:r>
      <w:r w:rsidRPr="00937B31">
        <w:rPr>
          <w:rFonts w:ascii="Times New Roman" w:hAnsi="Times New Roman" w:cs="Times New Roman"/>
          <w:sz w:val="20"/>
          <w:szCs w:val="20"/>
        </w:rPr>
        <w:t xml:space="preserve"> - This information is necessary to continue the review of a model where concerns have been raised and not resolved based on the information in Levels 1, 2, and 3.  This most granular level of detail is addressing the basic building blocks of the model and does not necessarily need to </w:t>
      </w:r>
      <w:proofErr w:type="gramStart"/>
      <w:r w:rsidRPr="00937B31">
        <w:rPr>
          <w:rFonts w:ascii="Times New Roman" w:hAnsi="Times New Roman" w:cs="Times New Roman"/>
          <w:sz w:val="20"/>
          <w:szCs w:val="20"/>
        </w:rPr>
        <w:t>be included</w:t>
      </w:r>
      <w:proofErr w:type="gramEnd"/>
      <w:r w:rsidRPr="00937B31">
        <w:rPr>
          <w:rFonts w:ascii="Times New Roman" w:hAnsi="Times New Roman" w:cs="Times New Roman"/>
          <w:sz w:val="20"/>
          <w:szCs w:val="20"/>
        </w:rPr>
        <w:t xml:space="preserve"> by the filer with the initial submission, unless specifically requested in a particular jurisdiction.  It </w:t>
      </w:r>
      <w:proofErr w:type="gramStart"/>
      <w:r w:rsidRPr="00937B31">
        <w:rPr>
          <w:rFonts w:ascii="Times New Roman" w:hAnsi="Times New Roman" w:cs="Times New Roman"/>
          <w:sz w:val="20"/>
          <w:szCs w:val="20"/>
        </w:rPr>
        <w:t>is typically requested</w:t>
      </w:r>
      <w:proofErr w:type="gramEnd"/>
      <w:r w:rsidRPr="00937B31">
        <w:rPr>
          <w:rFonts w:ascii="Times New Roman" w:hAnsi="Times New Roman" w:cs="Times New Roman"/>
          <w:sz w:val="20"/>
          <w:szCs w:val="20"/>
        </w:rPr>
        <w:t xml:space="preserve"> only if the reviewer has serious concerns that the model produces rates or factors that are excessive, inadequate</w:t>
      </w:r>
      <w:r w:rsidR="00CD5564">
        <w:rPr>
          <w:rFonts w:ascii="Times New Roman" w:hAnsi="Times New Roman" w:cs="Times New Roman"/>
          <w:sz w:val="20"/>
          <w:szCs w:val="20"/>
        </w:rPr>
        <w:t>, or unfairly discriminatory.</w:t>
      </w:r>
    </w:p>
    <w:p w14:paraId="6885AD34" w14:textId="771425C2" w:rsidR="001F35DD" w:rsidRPr="00937B31" w:rsidRDefault="00F362CA" w:rsidP="001F35DD">
      <w:pPr>
        <w:pStyle w:val="Heading2"/>
        <w:tabs>
          <w:tab w:val="clear" w:pos="360"/>
          <w:tab w:val="left" w:pos="0"/>
        </w:tabs>
        <w:ind w:left="-360"/>
        <w:rPr>
          <w:rFonts w:cs="Times New Roman"/>
          <w:b/>
          <w:sz w:val="22"/>
          <w:szCs w:val="22"/>
        </w:rPr>
      </w:pPr>
      <w:r w:rsidRPr="00937B31">
        <w:rPr>
          <w:rFonts w:cs="Times New Roman"/>
          <w:b/>
          <w:sz w:val="22"/>
          <w:szCs w:val="22"/>
        </w:rPr>
        <w:t>Selecting Model Input</w:t>
      </w:r>
    </w:p>
    <w:p w14:paraId="3D8497B6" w14:textId="373E350B" w:rsidR="00A00825" w:rsidRPr="00937B31" w:rsidRDefault="00A00825" w:rsidP="001F35DD">
      <w:pPr>
        <w:pStyle w:val="NoSpacing"/>
        <w:ind w:left="-360"/>
        <w:jc w:val="both"/>
        <w:rPr>
          <w:rFonts w:ascii="Times New Roman" w:hAnsi="Times New Roman" w:cs="Times New Roman"/>
        </w:rPr>
      </w:pPr>
    </w:p>
    <w:tbl>
      <w:tblPr>
        <w:tblW w:w="10800" w:type="dxa"/>
        <w:tblInd w:w="-365" w:type="dxa"/>
        <w:shd w:val="clear" w:color="000000" w:fill="auto"/>
        <w:tblLook w:val="04A0" w:firstRow="1" w:lastRow="0" w:firstColumn="1" w:lastColumn="0" w:noHBand="0" w:noVBand="1"/>
      </w:tblPr>
      <w:tblGrid>
        <w:gridCol w:w="727"/>
        <w:gridCol w:w="4493"/>
        <w:gridCol w:w="997"/>
        <w:gridCol w:w="4583"/>
      </w:tblGrid>
      <w:tr w:rsidR="00402FDF" w:rsidRPr="00937B31" w14:paraId="1C30ABE4" w14:textId="77777777" w:rsidTr="00937B31">
        <w:trPr>
          <w:trHeight w:val="1538"/>
        </w:trPr>
        <w:tc>
          <w:tcPr>
            <w:tcW w:w="727" w:type="dxa"/>
            <w:tcBorders>
              <w:top w:val="single" w:sz="4" w:space="0" w:color="auto"/>
              <w:left w:val="single" w:sz="4" w:space="0" w:color="auto"/>
              <w:bottom w:val="single" w:sz="4" w:space="0" w:color="auto"/>
              <w:right w:val="single" w:sz="4" w:space="0" w:color="auto"/>
            </w:tcBorders>
            <w:shd w:val="clear" w:color="000000" w:fill="auto"/>
            <w:textDirection w:val="btLr"/>
            <w:vAlign w:val="center"/>
            <w:hideMark/>
          </w:tcPr>
          <w:p w14:paraId="12F875D1" w14:textId="77777777" w:rsidR="00997CC0" w:rsidRPr="00997CC0" w:rsidRDefault="00997CC0" w:rsidP="00997CC0">
            <w:pPr>
              <w:spacing w:after="0" w:line="240" w:lineRule="auto"/>
              <w:jc w:val="center"/>
              <w:rPr>
                <w:rFonts w:ascii="Times New Roman" w:eastAsia="Times New Roman" w:hAnsi="Times New Roman" w:cs="Times New Roman"/>
                <w:b/>
                <w:bCs/>
                <w:sz w:val="20"/>
                <w:szCs w:val="20"/>
              </w:rPr>
            </w:pPr>
            <w:r w:rsidRPr="00997CC0">
              <w:rPr>
                <w:rFonts w:ascii="Times New Roman" w:eastAsia="Times New Roman" w:hAnsi="Times New Roman" w:cs="Times New Roman"/>
                <w:b/>
                <w:bCs/>
                <w:sz w:val="20"/>
                <w:szCs w:val="20"/>
              </w:rPr>
              <w:t>Section</w:t>
            </w:r>
          </w:p>
        </w:tc>
        <w:tc>
          <w:tcPr>
            <w:tcW w:w="4493" w:type="dxa"/>
            <w:tcBorders>
              <w:top w:val="single" w:sz="4" w:space="0" w:color="auto"/>
              <w:left w:val="nil"/>
              <w:bottom w:val="single" w:sz="4" w:space="0" w:color="auto"/>
              <w:right w:val="single" w:sz="4" w:space="0" w:color="auto"/>
            </w:tcBorders>
            <w:shd w:val="clear" w:color="000000" w:fill="auto"/>
            <w:vAlign w:val="center"/>
            <w:hideMark/>
          </w:tcPr>
          <w:p w14:paraId="60CC7DA2" w14:textId="77777777" w:rsidR="00997CC0" w:rsidRPr="00997CC0" w:rsidRDefault="00997CC0" w:rsidP="00997CC0">
            <w:pPr>
              <w:spacing w:after="0" w:line="240" w:lineRule="auto"/>
              <w:jc w:val="center"/>
              <w:rPr>
                <w:rFonts w:ascii="Times New Roman" w:eastAsia="Times New Roman" w:hAnsi="Times New Roman" w:cs="Times New Roman"/>
                <w:b/>
                <w:bCs/>
                <w:sz w:val="20"/>
                <w:szCs w:val="20"/>
              </w:rPr>
            </w:pPr>
            <w:r w:rsidRPr="00997CC0">
              <w:rPr>
                <w:rFonts w:ascii="Times New Roman" w:eastAsia="Times New Roman" w:hAnsi="Times New Roman" w:cs="Times New Roman"/>
                <w:b/>
                <w:bCs/>
                <w:sz w:val="20"/>
                <w:szCs w:val="20"/>
              </w:rPr>
              <w:t>Information Element</w:t>
            </w:r>
          </w:p>
        </w:tc>
        <w:tc>
          <w:tcPr>
            <w:tcW w:w="997" w:type="dxa"/>
            <w:tcBorders>
              <w:top w:val="single" w:sz="4" w:space="0" w:color="auto"/>
              <w:left w:val="nil"/>
              <w:bottom w:val="single" w:sz="4" w:space="0" w:color="auto"/>
              <w:right w:val="single" w:sz="4" w:space="0" w:color="auto"/>
            </w:tcBorders>
            <w:shd w:val="clear" w:color="000000" w:fill="auto"/>
            <w:textDirection w:val="btLr"/>
            <w:vAlign w:val="center"/>
            <w:hideMark/>
          </w:tcPr>
          <w:p w14:paraId="1FFC9E39" w14:textId="53819D03" w:rsidR="00997CC0" w:rsidRPr="00997CC0" w:rsidRDefault="00997CC0" w:rsidP="00A92B8C">
            <w:pPr>
              <w:spacing w:after="0" w:line="240" w:lineRule="auto"/>
              <w:jc w:val="center"/>
              <w:rPr>
                <w:rFonts w:ascii="Times New Roman" w:eastAsia="Times New Roman" w:hAnsi="Times New Roman" w:cs="Times New Roman"/>
                <w:b/>
                <w:bCs/>
                <w:sz w:val="18"/>
                <w:szCs w:val="18"/>
              </w:rPr>
            </w:pPr>
            <w:r w:rsidRPr="00937B31">
              <w:rPr>
                <w:rFonts w:ascii="Times New Roman" w:eastAsia="Times New Roman" w:hAnsi="Times New Roman" w:cs="Times New Roman"/>
                <w:b/>
                <w:bCs/>
                <w:sz w:val="18"/>
                <w:szCs w:val="18"/>
              </w:rPr>
              <w:t xml:space="preserve">Level of </w:t>
            </w:r>
            <w:r w:rsidRPr="00997CC0">
              <w:rPr>
                <w:rFonts w:ascii="Times New Roman" w:eastAsia="Times New Roman" w:hAnsi="Times New Roman" w:cs="Times New Roman"/>
                <w:b/>
                <w:bCs/>
                <w:sz w:val="18"/>
                <w:szCs w:val="18"/>
              </w:rPr>
              <w:t xml:space="preserve">Importance to </w:t>
            </w:r>
            <w:r w:rsidR="00A92B8C" w:rsidRPr="00937B31">
              <w:rPr>
                <w:rFonts w:ascii="Times New Roman" w:eastAsia="Times New Roman" w:hAnsi="Times New Roman" w:cs="Times New Roman"/>
                <w:b/>
                <w:bCs/>
                <w:sz w:val="18"/>
                <w:szCs w:val="18"/>
              </w:rPr>
              <w:t xml:space="preserve">the </w:t>
            </w:r>
            <w:r w:rsidRPr="00997CC0">
              <w:rPr>
                <w:rFonts w:ascii="Times New Roman" w:eastAsia="Times New Roman" w:hAnsi="Times New Roman" w:cs="Times New Roman"/>
                <w:b/>
                <w:bCs/>
                <w:sz w:val="18"/>
                <w:szCs w:val="18"/>
              </w:rPr>
              <w:t>Regulator’s Review</w:t>
            </w:r>
          </w:p>
        </w:tc>
        <w:tc>
          <w:tcPr>
            <w:tcW w:w="4583" w:type="dxa"/>
            <w:tcBorders>
              <w:top w:val="single" w:sz="4" w:space="0" w:color="auto"/>
              <w:left w:val="nil"/>
              <w:bottom w:val="single" w:sz="4" w:space="0" w:color="auto"/>
              <w:right w:val="single" w:sz="4" w:space="0" w:color="auto"/>
            </w:tcBorders>
            <w:shd w:val="clear" w:color="000000" w:fill="auto"/>
            <w:vAlign w:val="center"/>
            <w:hideMark/>
          </w:tcPr>
          <w:p w14:paraId="394EB98A" w14:textId="77777777" w:rsidR="00997CC0" w:rsidRPr="00997CC0" w:rsidRDefault="00997CC0" w:rsidP="00997CC0">
            <w:pPr>
              <w:spacing w:after="0" w:line="240" w:lineRule="auto"/>
              <w:jc w:val="center"/>
              <w:rPr>
                <w:rFonts w:ascii="Times New Roman" w:eastAsia="Times New Roman" w:hAnsi="Times New Roman" w:cs="Times New Roman"/>
                <w:b/>
                <w:bCs/>
                <w:sz w:val="20"/>
                <w:szCs w:val="20"/>
              </w:rPr>
            </w:pPr>
            <w:r w:rsidRPr="00997CC0">
              <w:rPr>
                <w:rFonts w:ascii="Times New Roman" w:eastAsia="Times New Roman" w:hAnsi="Times New Roman" w:cs="Times New Roman"/>
                <w:b/>
                <w:bCs/>
                <w:sz w:val="20"/>
                <w:szCs w:val="20"/>
              </w:rPr>
              <w:t>Comments</w:t>
            </w:r>
          </w:p>
        </w:tc>
      </w:tr>
      <w:tr w:rsidR="00402FDF" w:rsidRPr="00937B31" w14:paraId="17AD724F" w14:textId="77777777" w:rsidTr="00937B31">
        <w:trPr>
          <w:trHeight w:val="615"/>
        </w:trPr>
        <w:tc>
          <w:tcPr>
            <w:tcW w:w="10800" w:type="dxa"/>
            <w:gridSpan w:val="4"/>
            <w:tcBorders>
              <w:top w:val="single" w:sz="4" w:space="0" w:color="auto"/>
              <w:left w:val="single" w:sz="4" w:space="0" w:color="auto"/>
              <w:bottom w:val="single" w:sz="4" w:space="0" w:color="auto"/>
              <w:right w:val="single" w:sz="4" w:space="0" w:color="auto"/>
            </w:tcBorders>
            <w:shd w:val="clear" w:color="000000" w:fill="auto"/>
            <w:vAlign w:val="center"/>
            <w:hideMark/>
          </w:tcPr>
          <w:p w14:paraId="123F0B9E" w14:textId="77777777" w:rsidR="00997CC0" w:rsidRPr="00997CC0" w:rsidRDefault="00997CC0" w:rsidP="00997CC0">
            <w:pPr>
              <w:spacing w:after="0" w:line="240" w:lineRule="auto"/>
              <w:rPr>
                <w:rFonts w:ascii="Times New Roman" w:eastAsia="Times New Roman" w:hAnsi="Times New Roman" w:cs="Times New Roman"/>
                <w:bCs/>
              </w:rPr>
            </w:pPr>
            <w:r w:rsidRPr="00997CC0">
              <w:rPr>
                <w:rFonts w:ascii="Times New Roman" w:eastAsia="Times New Roman" w:hAnsi="Times New Roman" w:cs="Times New Roman"/>
                <w:bCs/>
              </w:rPr>
              <w:t>1.  Available Data Sources</w:t>
            </w:r>
          </w:p>
        </w:tc>
      </w:tr>
      <w:tr w:rsidR="00402FDF" w:rsidRPr="00937B31" w14:paraId="2610EC68" w14:textId="77777777" w:rsidTr="00937B31">
        <w:trPr>
          <w:trHeight w:val="4148"/>
        </w:trPr>
        <w:tc>
          <w:tcPr>
            <w:tcW w:w="727" w:type="dxa"/>
            <w:tcBorders>
              <w:top w:val="nil"/>
              <w:left w:val="single" w:sz="4" w:space="0" w:color="auto"/>
              <w:bottom w:val="single" w:sz="4" w:space="0" w:color="auto"/>
              <w:right w:val="single" w:sz="4" w:space="0" w:color="auto"/>
            </w:tcBorders>
            <w:shd w:val="clear" w:color="000000" w:fill="auto"/>
            <w:vAlign w:val="center"/>
            <w:hideMark/>
          </w:tcPr>
          <w:p w14:paraId="7407063B"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A.1.a</w:t>
            </w:r>
          </w:p>
        </w:tc>
        <w:tc>
          <w:tcPr>
            <w:tcW w:w="4493" w:type="dxa"/>
            <w:tcBorders>
              <w:top w:val="nil"/>
              <w:left w:val="nil"/>
              <w:bottom w:val="single" w:sz="4" w:space="0" w:color="auto"/>
              <w:right w:val="single" w:sz="4" w:space="0" w:color="auto"/>
            </w:tcBorders>
            <w:shd w:val="clear" w:color="000000" w:fill="auto"/>
            <w:vAlign w:val="center"/>
            <w:hideMark/>
          </w:tcPr>
          <w:p w14:paraId="4C86F4DA" w14:textId="1636EB18" w:rsidR="00997CC0" w:rsidRPr="00997CC0" w:rsidRDefault="00997CC0" w:rsidP="002C1F3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Review the details of all data sources for input to the model (only need sources for filed input characteristics). For each source, obtain a list all data elements used as input to the model that came from that source. </w:t>
            </w:r>
          </w:p>
        </w:tc>
        <w:tc>
          <w:tcPr>
            <w:tcW w:w="997" w:type="dxa"/>
            <w:tcBorders>
              <w:top w:val="nil"/>
              <w:left w:val="nil"/>
              <w:bottom w:val="single" w:sz="4" w:space="0" w:color="auto"/>
              <w:right w:val="single" w:sz="4" w:space="0" w:color="auto"/>
            </w:tcBorders>
            <w:shd w:val="clear" w:color="000000" w:fill="auto"/>
            <w:vAlign w:val="center"/>
            <w:hideMark/>
          </w:tcPr>
          <w:p w14:paraId="706C2CEE" w14:textId="77777777" w:rsidR="00997CC0" w:rsidRPr="00997CC0" w:rsidRDefault="00997CC0" w:rsidP="00997CC0">
            <w:pPr>
              <w:spacing w:after="0" w:line="240" w:lineRule="auto"/>
              <w:jc w:val="center"/>
              <w:rPr>
                <w:rFonts w:ascii="Times New Roman" w:eastAsia="Times New Roman" w:hAnsi="Times New Roman" w:cs="Times New Roman"/>
                <w:sz w:val="18"/>
                <w:szCs w:val="18"/>
              </w:rPr>
            </w:pPr>
            <w:r w:rsidRPr="00997CC0">
              <w:rPr>
                <w:rFonts w:ascii="Times New Roman" w:eastAsia="Times New Roman" w:hAnsi="Times New Roman" w:cs="Times New Roman"/>
                <w:sz w:val="18"/>
                <w:szCs w:val="18"/>
              </w:rPr>
              <w:t>1</w:t>
            </w:r>
          </w:p>
        </w:tc>
        <w:tc>
          <w:tcPr>
            <w:tcW w:w="4583" w:type="dxa"/>
            <w:tcBorders>
              <w:top w:val="nil"/>
              <w:left w:val="nil"/>
              <w:bottom w:val="single" w:sz="4" w:space="0" w:color="auto"/>
              <w:right w:val="single" w:sz="4" w:space="0" w:color="auto"/>
            </w:tcBorders>
            <w:shd w:val="clear" w:color="000000" w:fill="auto"/>
            <w:vAlign w:val="center"/>
            <w:hideMark/>
          </w:tcPr>
          <w:p w14:paraId="01048938" w14:textId="4F685D3C" w:rsidR="00997CC0" w:rsidRPr="00997CC0" w:rsidRDefault="00997CC0" w:rsidP="00981E2C">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Request details of all data sources. For insurance experience (policy or </w:t>
            </w:r>
            <w:r w:rsidR="00981E2C" w:rsidRPr="00997CC0">
              <w:rPr>
                <w:rFonts w:ascii="Times New Roman" w:eastAsia="Times New Roman" w:hAnsi="Times New Roman" w:cs="Times New Roman"/>
                <w:sz w:val="20"/>
                <w:szCs w:val="20"/>
              </w:rPr>
              <w:t>claim),</w:t>
            </w:r>
            <w:r w:rsidRPr="00997CC0">
              <w:rPr>
                <w:rFonts w:ascii="Times New Roman" w:eastAsia="Times New Roman" w:hAnsi="Times New Roman" w:cs="Times New Roman"/>
                <w:sz w:val="20"/>
                <w:szCs w:val="20"/>
              </w:rPr>
              <w:t xml:space="preserve"> determine whether calendar, accident, fiscal or policy year data and when it was last evaluated. For each data source, get a list all data elements used as input to the model that came from that source. For insurance data, get a list all companies whose data is included in the datasets. Request details of any non-insurance data used (customer-provided or other), including who owns this data, on how consumers can verify their data and correct errors, whether the data was collected by use of a questionnaire/checklist, whether data was voluntarily reported by the applicant, and whether any of the data is subject to the Fair Credit Reporting Act. If the data is from an outside source, find out what steps were taken to verify the data was accurate</w:t>
            </w:r>
            <w:r w:rsidR="00981E2C">
              <w:rPr>
                <w:rFonts w:ascii="Times New Roman" w:eastAsia="Times New Roman" w:hAnsi="Times New Roman" w:cs="Times New Roman"/>
                <w:sz w:val="20"/>
                <w:szCs w:val="20"/>
              </w:rPr>
              <w:t>.</w:t>
            </w:r>
          </w:p>
        </w:tc>
      </w:tr>
      <w:tr w:rsidR="00402FDF" w:rsidRPr="00937B31" w14:paraId="18A0ADEC" w14:textId="77777777" w:rsidTr="00937B31">
        <w:trPr>
          <w:trHeight w:val="980"/>
        </w:trPr>
        <w:tc>
          <w:tcPr>
            <w:tcW w:w="727" w:type="dxa"/>
            <w:tcBorders>
              <w:top w:val="nil"/>
              <w:left w:val="single" w:sz="4" w:space="0" w:color="auto"/>
              <w:bottom w:val="single" w:sz="4" w:space="0" w:color="auto"/>
              <w:right w:val="single" w:sz="4" w:space="0" w:color="auto"/>
            </w:tcBorders>
            <w:shd w:val="clear" w:color="000000" w:fill="auto"/>
            <w:vAlign w:val="center"/>
            <w:hideMark/>
          </w:tcPr>
          <w:p w14:paraId="724A1B0F" w14:textId="42F3C158" w:rsidR="00997CC0" w:rsidRPr="00997CC0" w:rsidRDefault="00997CC0" w:rsidP="00CD2E15">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A.1.</w:t>
            </w:r>
            <w:r w:rsidR="00CD2E15">
              <w:rPr>
                <w:rFonts w:ascii="Times New Roman" w:eastAsia="Times New Roman" w:hAnsi="Times New Roman" w:cs="Times New Roman"/>
                <w:sz w:val="20"/>
                <w:szCs w:val="20"/>
              </w:rPr>
              <w:t>b</w:t>
            </w:r>
          </w:p>
        </w:tc>
        <w:tc>
          <w:tcPr>
            <w:tcW w:w="4493" w:type="dxa"/>
            <w:tcBorders>
              <w:top w:val="nil"/>
              <w:left w:val="nil"/>
              <w:bottom w:val="single" w:sz="4" w:space="0" w:color="auto"/>
              <w:right w:val="single" w:sz="4" w:space="0" w:color="auto"/>
            </w:tcBorders>
            <w:shd w:val="clear" w:color="000000" w:fill="auto"/>
            <w:vAlign w:val="center"/>
            <w:hideMark/>
          </w:tcPr>
          <w:p w14:paraId="1FFD0C85"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Reconcile raw insurance data and with available external insurance reports.</w:t>
            </w:r>
          </w:p>
        </w:tc>
        <w:tc>
          <w:tcPr>
            <w:tcW w:w="997" w:type="dxa"/>
            <w:tcBorders>
              <w:top w:val="nil"/>
              <w:left w:val="nil"/>
              <w:bottom w:val="single" w:sz="4" w:space="0" w:color="auto"/>
              <w:right w:val="single" w:sz="4" w:space="0" w:color="auto"/>
            </w:tcBorders>
            <w:shd w:val="clear" w:color="000000" w:fill="auto"/>
            <w:vAlign w:val="center"/>
            <w:hideMark/>
          </w:tcPr>
          <w:p w14:paraId="49D60223" w14:textId="77777777" w:rsidR="00997CC0" w:rsidRPr="00997CC0" w:rsidRDefault="00997CC0" w:rsidP="00997CC0">
            <w:pPr>
              <w:spacing w:after="0" w:line="240" w:lineRule="auto"/>
              <w:jc w:val="center"/>
              <w:rPr>
                <w:rFonts w:ascii="Times New Roman" w:eastAsia="Times New Roman" w:hAnsi="Times New Roman" w:cs="Times New Roman"/>
                <w:sz w:val="18"/>
                <w:szCs w:val="18"/>
              </w:rPr>
            </w:pPr>
            <w:r w:rsidRPr="00997CC0">
              <w:rPr>
                <w:rFonts w:ascii="Times New Roman" w:eastAsia="Times New Roman" w:hAnsi="Times New Roman" w:cs="Times New Roman"/>
                <w:sz w:val="18"/>
                <w:szCs w:val="18"/>
              </w:rPr>
              <w:t>3</w:t>
            </w:r>
          </w:p>
        </w:tc>
        <w:tc>
          <w:tcPr>
            <w:tcW w:w="4583" w:type="dxa"/>
            <w:tcBorders>
              <w:top w:val="nil"/>
              <w:left w:val="nil"/>
              <w:bottom w:val="single" w:sz="4" w:space="0" w:color="auto"/>
              <w:right w:val="single" w:sz="4" w:space="0" w:color="auto"/>
            </w:tcBorders>
            <w:shd w:val="clear" w:color="000000" w:fill="auto"/>
            <w:vAlign w:val="center"/>
            <w:hideMark/>
          </w:tcPr>
          <w:p w14:paraId="321CDEEB"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Accuracy of insurance data should be reviewed as well.</w:t>
            </w:r>
          </w:p>
        </w:tc>
      </w:tr>
      <w:tr w:rsidR="00402FDF" w:rsidRPr="00937B31" w14:paraId="769E7B48" w14:textId="77777777" w:rsidTr="00937B31">
        <w:trPr>
          <w:trHeight w:val="1160"/>
        </w:trPr>
        <w:tc>
          <w:tcPr>
            <w:tcW w:w="727" w:type="dxa"/>
            <w:tcBorders>
              <w:top w:val="nil"/>
              <w:left w:val="single" w:sz="4" w:space="0" w:color="auto"/>
              <w:bottom w:val="single" w:sz="4" w:space="0" w:color="auto"/>
              <w:right w:val="single" w:sz="4" w:space="0" w:color="auto"/>
            </w:tcBorders>
            <w:shd w:val="clear" w:color="000000" w:fill="auto"/>
            <w:vAlign w:val="center"/>
            <w:hideMark/>
          </w:tcPr>
          <w:p w14:paraId="7821D17C"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A.1.c</w:t>
            </w:r>
          </w:p>
        </w:tc>
        <w:tc>
          <w:tcPr>
            <w:tcW w:w="4493" w:type="dxa"/>
            <w:tcBorders>
              <w:top w:val="nil"/>
              <w:left w:val="nil"/>
              <w:bottom w:val="single" w:sz="4" w:space="0" w:color="auto"/>
              <w:right w:val="single" w:sz="4" w:space="0" w:color="auto"/>
            </w:tcBorders>
            <w:shd w:val="clear" w:color="000000" w:fill="auto"/>
            <w:vAlign w:val="center"/>
            <w:hideMark/>
          </w:tcPr>
          <w:p w14:paraId="446E8625"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Review the geographic scope and geographic exposure distribution of the raw data for relevance to the state where the model is filed. </w:t>
            </w:r>
          </w:p>
        </w:tc>
        <w:tc>
          <w:tcPr>
            <w:tcW w:w="997" w:type="dxa"/>
            <w:tcBorders>
              <w:top w:val="nil"/>
              <w:left w:val="nil"/>
              <w:bottom w:val="single" w:sz="4" w:space="0" w:color="auto"/>
              <w:right w:val="single" w:sz="4" w:space="0" w:color="auto"/>
            </w:tcBorders>
            <w:shd w:val="clear" w:color="000000" w:fill="auto"/>
            <w:vAlign w:val="center"/>
            <w:hideMark/>
          </w:tcPr>
          <w:p w14:paraId="5F1D1C45" w14:textId="77777777" w:rsidR="00997CC0" w:rsidRPr="00997CC0" w:rsidRDefault="00997CC0" w:rsidP="00997CC0">
            <w:pPr>
              <w:spacing w:after="0" w:line="240" w:lineRule="auto"/>
              <w:jc w:val="center"/>
              <w:rPr>
                <w:rFonts w:ascii="Times New Roman" w:eastAsia="Times New Roman" w:hAnsi="Times New Roman" w:cs="Times New Roman"/>
                <w:sz w:val="18"/>
                <w:szCs w:val="18"/>
              </w:rPr>
            </w:pPr>
            <w:r w:rsidRPr="00997CC0">
              <w:rPr>
                <w:rFonts w:ascii="Times New Roman" w:eastAsia="Times New Roman" w:hAnsi="Times New Roman" w:cs="Times New Roman"/>
                <w:sz w:val="18"/>
                <w:szCs w:val="18"/>
              </w:rPr>
              <w:t>1</w:t>
            </w:r>
          </w:p>
        </w:tc>
        <w:tc>
          <w:tcPr>
            <w:tcW w:w="4583" w:type="dxa"/>
            <w:tcBorders>
              <w:top w:val="nil"/>
              <w:left w:val="nil"/>
              <w:bottom w:val="single" w:sz="4" w:space="0" w:color="auto"/>
              <w:right w:val="single" w:sz="4" w:space="0" w:color="auto"/>
            </w:tcBorders>
            <w:shd w:val="clear" w:color="000000" w:fill="auto"/>
            <w:vAlign w:val="center"/>
            <w:hideMark/>
          </w:tcPr>
          <w:p w14:paraId="7AD2734E"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Evaluate whether the data is relevant to the loss potential for which it is being used. For example, verify that hurricane data is only used where hurricanes can occur.</w:t>
            </w:r>
          </w:p>
        </w:tc>
      </w:tr>
      <w:tr w:rsidR="00402FDF" w:rsidRPr="00937B31" w14:paraId="79347876" w14:textId="77777777" w:rsidTr="00937B31">
        <w:trPr>
          <w:trHeight w:val="2690"/>
        </w:trPr>
        <w:tc>
          <w:tcPr>
            <w:tcW w:w="727" w:type="dxa"/>
            <w:tcBorders>
              <w:top w:val="nil"/>
              <w:left w:val="single" w:sz="4" w:space="0" w:color="auto"/>
              <w:bottom w:val="single" w:sz="4" w:space="0" w:color="auto"/>
              <w:right w:val="single" w:sz="4" w:space="0" w:color="auto"/>
            </w:tcBorders>
            <w:shd w:val="clear" w:color="000000" w:fill="auto"/>
            <w:vAlign w:val="center"/>
            <w:hideMark/>
          </w:tcPr>
          <w:p w14:paraId="1251FE86" w14:textId="2F7568A0" w:rsidR="00997CC0" w:rsidRPr="00997CC0" w:rsidRDefault="00997CC0" w:rsidP="00CD2E15">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A.1.</w:t>
            </w:r>
            <w:r w:rsidR="00CD2E15">
              <w:rPr>
                <w:rFonts w:ascii="Times New Roman" w:eastAsia="Times New Roman" w:hAnsi="Times New Roman" w:cs="Times New Roman"/>
                <w:sz w:val="20"/>
                <w:szCs w:val="20"/>
              </w:rPr>
              <w:t>d</w:t>
            </w:r>
          </w:p>
        </w:tc>
        <w:tc>
          <w:tcPr>
            <w:tcW w:w="4493" w:type="dxa"/>
            <w:tcBorders>
              <w:top w:val="nil"/>
              <w:left w:val="nil"/>
              <w:bottom w:val="single" w:sz="4" w:space="0" w:color="auto"/>
              <w:right w:val="single" w:sz="4" w:space="0" w:color="auto"/>
            </w:tcBorders>
            <w:shd w:val="clear" w:color="000000" w:fill="auto"/>
            <w:vAlign w:val="center"/>
            <w:hideMark/>
          </w:tcPr>
          <w:p w14:paraId="6E9E223C" w14:textId="79E417A8" w:rsidR="00997CC0" w:rsidRPr="00997CC0" w:rsidRDefault="00997CC0" w:rsidP="00981E2C">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Be aware of any non-insurance data used (customer-provided or other), including who owns this data, how consumers can verify their data and correct errors, whether the data was collected by use of a questionnaire/checklist, whether it was voluntarily reported by the applicant, and whether any of the variables are subject to the Fair Credit Reporting Act. If the data is from an outside source, determine the steps that were taken by the company to verify the data was accurate</w:t>
            </w:r>
            <w:r w:rsidR="00981E2C">
              <w:rPr>
                <w:rFonts w:ascii="Times New Roman" w:eastAsia="Times New Roman" w:hAnsi="Times New Roman" w:cs="Times New Roman"/>
                <w:sz w:val="20"/>
                <w:szCs w:val="20"/>
              </w:rPr>
              <w:t>.</w:t>
            </w:r>
          </w:p>
        </w:tc>
        <w:tc>
          <w:tcPr>
            <w:tcW w:w="997" w:type="dxa"/>
            <w:tcBorders>
              <w:top w:val="nil"/>
              <w:left w:val="nil"/>
              <w:bottom w:val="single" w:sz="4" w:space="0" w:color="auto"/>
              <w:right w:val="single" w:sz="4" w:space="0" w:color="auto"/>
            </w:tcBorders>
            <w:shd w:val="clear" w:color="000000" w:fill="auto"/>
            <w:vAlign w:val="center"/>
            <w:hideMark/>
          </w:tcPr>
          <w:p w14:paraId="4394438B" w14:textId="77777777" w:rsidR="00997CC0" w:rsidRPr="00997CC0" w:rsidRDefault="00997CC0" w:rsidP="00997CC0">
            <w:pPr>
              <w:spacing w:after="0" w:line="240" w:lineRule="auto"/>
              <w:jc w:val="center"/>
              <w:rPr>
                <w:rFonts w:ascii="Times New Roman" w:eastAsia="Times New Roman" w:hAnsi="Times New Roman" w:cs="Times New Roman"/>
                <w:sz w:val="18"/>
                <w:szCs w:val="18"/>
              </w:rPr>
            </w:pPr>
            <w:r w:rsidRPr="00997CC0">
              <w:rPr>
                <w:rFonts w:ascii="Times New Roman" w:eastAsia="Times New Roman" w:hAnsi="Times New Roman" w:cs="Times New Roman"/>
                <w:sz w:val="18"/>
                <w:szCs w:val="18"/>
              </w:rPr>
              <w:t>2</w:t>
            </w:r>
          </w:p>
        </w:tc>
        <w:tc>
          <w:tcPr>
            <w:tcW w:w="4583" w:type="dxa"/>
            <w:tcBorders>
              <w:top w:val="nil"/>
              <w:left w:val="nil"/>
              <w:bottom w:val="single" w:sz="4" w:space="0" w:color="auto"/>
              <w:right w:val="single" w:sz="4" w:space="0" w:color="auto"/>
            </w:tcBorders>
            <w:shd w:val="clear" w:color="000000" w:fill="auto"/>
            <w:vAlign w:val="center"/>
            <w:hideMark/>
          </w:tcPr>
          <w:p w14:paraId="29F00D21" w14:textId="69FABF0A" w:rsidR="00997CC0" w:rsidRPr="00997CC0" w:rsidRDefault="00997CC0" w:rsidP="002C1F3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If the data is from a third-party source, the company should provide information on the source. Depending on the nature of the data, data should be documented and an overview of who owns it and the topic of consumer verification should be addressed. </w:t>
            </w:r>
          </w:p>
        </w:tc>
      </w:tr>
      <w:tr w:rsidR="00402FDF" w:rsidRPr="00937B31" w14:paraId="1BA4FE90" w14:textId="77777777" w:rsidTr="00937B31">
        <w:trPr>
          <w:trHeight w:val="576"/>
        </w:trPr>
        <w:tc>
          <w:tcPr>
            <w:tcW w:w="10800" w:type="dxa"/>
            <w:gridSpan w:val="4"/>
            <w:tcBorders>
              <w:top w:val="single" w:sz="4" w:space="0" w:color="auto"/>
              <w:left w:val="single" w:sz="4" w:space="0" w:color="auto"/>
              <w:bottom w:val="single" w:sz="4" w:space="0" w:color="auto"/>
              <w:right w:val="single" w:sz="4" w:space="0" w:color="auto"/>
            </w:tcBorders>
            <w:shd w:val="clear" w:color="000000" w:fill="auto"/>
            <w:vAlign w:val="center"/>
            <w:hideMark/>
          </w:tcPr>
          <w:p w14:paraId="218237D7" w14:textId="098B1104" w:rsidR="00997CC0" w:rsidRPr="00997CC0" w:rsidRDefault="00997CC0" w:rsidP="00997CC0">
            <w:pPr>
              <w:spacing w:after="0" w:line="240" w:lineRule="auto"/>
              <w:rPr>
                <w:rFonts w:ascii="Times New Roman" w:eastAsia="Times New Roman" w:hAnsi="Times New Roman" w:cs="Times New Roman"/>
                <w:bCs/>
              </w:rPr>
            </w:pPr>
            <w:r w:rsidRPr="00997CC0">
              <w:rPr>
                <w:rFonts w:ascii="Times New Roman" w:eastAsia="Times New Roman" w:hAnsi="Times New Roman" w:cs="Times New Roman"/>
                <w:bCs/>
              </w:rPr>
              <w:t>2.  Sub-Models</w:t>
            </w:r>
          </w:p>
        </w:tc>
      </w:tr>
      <w:tr w:rsidR="00402FDF" w:rsidRPr="00937B31" w14:paraId="1C747B02" w14:textId="77777777" w:rsidTr="00937B31">
        <w:trPr>
          <w:trHeight w:val="1232"/>
        </w:trPr>
        <w:tc>
          <w:tcPr>
            <w:tcW w:w="727" w:type="dxa"/>
            <w:tcBorders>
              <w:top w:val="nil"/>
              <w:left w:val="single" w:sz="4" w:space="0" w:color="auto"/>
              <w:bottom w:val="single" w:sz="4" w:space="0" w:color="auto"/>
              <w:right w:val="single" w:sz="4" w:space="0" w:color="auto"/>
            </w:tcBorders>
            <w:shd w:val="clear" w:color="000000" w:fill="auto"/>
            <w:vAlign w:val="center"/>
            <w:hideMark/>
          </w:tcPr>
          <w:p w14:paraId="23C68A6B" w14:textId="770104BE" w:rsidR="00997CC0" w:rsidRPr="00997CC0" w:rsidRDefault="00997CC0" w:rsidP="00CD2E15">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A.2.</w:t>
            </w:r>
            <w:r w:rsidR="00CD2E15">
              <w:rPr>
                <w:rFonts w:ascii="Times New Roman" w:eastAsia="Times New Roman" w:hAnsi="Times New Roman" w:cs="Times New Roman"/>
                <w:sz w:val="20"/>
                <w:szCs w:val="20"/>
              </w:rPr>
              <w:t>a</w:t>
            </w:r>
          </w:p>
        </w:tc>
        <w:tc>
          <w:tcPr>
            <w:tcW w:w="4493" w:type="dxa"/>
            <w:tcBorders>
              <w:top w:val="nil"/>
              <w:left w:val="nil"/>
              <w:bottom w:val="single" w:sz="4" w:space="0" w:color="auto"/>
              <w:right w:val="single" w:sz="4" w:space="0" w:color="auto"/>
            </w:tcBorders>
            <w:shd w:val="clear" w:color="000000" w:fill="auto"/>
            <w:vAlign w:val="center"/>
            <w:hideMark/>
          </w:tcPr>
          <w:p w14:paraId="12B8F5E1"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Consider the relevance of (e.g., is there a bias) of overlapping data or variables used in the model and sub-models.</w:t>
            </w:r>
          </w:p>
        </w:tc>
        <w:tc>
          <w:tcPr>
            <w:tcW w:w="997" w:type="dxa"/>
            <w:tcBorders>
              <w:top w:val="nil"/>
              <w:left w:val="nil"/>
              <w:bottom w:val="single" w:sz="4" w:space="0" w:color="auto"/>
              <w:right w:val="single" w:sz="4" w:space="0" w:color="auto"/>
            </w:tcBorders>
            <w:shd w:val="clear" w:color="000000" w:fill="auto"/>
            <w:vAlign w:val="center"/>
            <w:hideMark/>
          </w:tcPr>
          <w:p w14:paraId="5CBD6565" w14:textId="77777777" w:rsidR="00997CC0" w:rsidRPr="00997CC0" w:rsidRDefault="00997CC0" w:rsidP="00997CC0">
            <w:pPr>
              <w:spacing w:after="0" w:line="240" w:lineRule="auto"/>
              <w:jc w:val="center"/>
              <w:rPr>
                <w:rFonts w:ascii="Times New Roman" w:eastAsia="Times New Roman" w:hAnsi="Times New Roman" w:cs="Times New Roman"/>
                <w:sz w:val="18"/>
                <w:szCs w:val="18"/>
              </w:rPr>
            </w:pPr>
            <w:r w:rsidRPr="00997CC0">
              <w:rPr>
                <w:rFonts w:ascii="Times New Roman" w:eastAsia="Times New Roman" w:hAnsi="Times New Roman" w:cs="Times New Roman"/>
                <w:sz w:val="18"/>
                <w:szCs w:val="18"/>
              </w:rPr>
              <w:t>1</w:t>
            </w:r>
          </w:p>
        </w:tc>
        <w:tc>
          <w:tcPr>
            <w:tcW w:w="4583" w:type="dxa"/>
            <w:tcBorders>
              <w:top w:val="nil"/>
              <w:left w:val="nil"/>
              <w:bottom w:val="single" w:sz="4" w:space="0" w:color="auto"/>
              <w:right w:val="single" w:sz="4" w:space="0" w:color="auto"/>
            </w:tcBorders>
            <w:shd w:val="clear" w:color="000000" w:fill="auto"/>
            <w:vAlign w:val="center"/>
            <w:hideMark/>
          </w:tcPr>
          <w:p w14:paraId="68E7B76B" w14:textId="2174AB4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Check if the same variables/datasets were used in both the model, a submodel or as sta</w:t>
            </w:r>
            <w:r w:rsidR="00981E2C">
              <w:rPr>
                <w:rFonts w:ascii="Times New Roman" w:eastAsia="Times New Roman" w:hAnsi="Times New Roman" w:cs="Times New Roman"/>
                <w:sz w:val="20"/>
                <w:szCs w:val="20"/>
              </w:rPr>
              <w:t>nd-alone rating characteristics.</w:t>
            </w:r>
            <w:r w:rsidRPr="00997CC0">
              <w:rPr>
                <w:rFonts w:ascii="Times New Roman" w:eastAsia="Times New Roman" w:hAnsi="Times New Roman" w:cs="Times New Roman"/>
                <w:sz w:val="20"/>
                <w:szCs w:val="20"/>
              </w:rPr>
              <w:t xml:space="preserve">  If so, verify there was no double-counting or redundancy.</w:t>
            </w:r>
          </w:p>
        </w:tc>
      </w:tr>
      <w:tr w:rsidR="00402FDF" w:rsidRPr="00937B31" w14:paraId="2324DCC8" w14:textId="77777777" w:rsidTr="00937B31">
        <w:trPr>
          <w:trHeight w:val="3140"/>
        </w:trPr>
        <w:tc>
          <w:tcPr>
            <w:tcW w:w="727" w:type="dxa"/>
            <w:tcBorders>
              <w:top w:val="nil"/>
              <w:left w:val="single" w:sz="4" w:space="0" w:color="auto"/>
              <w:bottom w:val="single" w:sz="4" w:space="0" w:color="auto"/>
              <w:right w:val="single" w:sz="4" w:space="0" w:color="auto"/>
            </w:tcBorders>
            <w:shd w:val="clear" w:color="000000" w:fill="auto"/>
            <w:vAlign w:val="center"/>
            <w:hideMark/>
          </w:tcPr>
          <w:p w14:paraId="21D9F574" w14:textId="6A84D315" w:rsidR="00997CC0" w:rsidRPr="00997CC0" w:rsidRDefault="00997CC0" w:rsidP="00CD2E15">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A.2.</w:t>
            </w:r>
            <w:r w:rsidR="00CD2E15">
              <w:rPr>
                <w:rFonts w:ascii="Times New Roman" w:eastAsia="Times New Roman" w:hAnsi="Times New Roman" w:cs="Times New Roman"/>
                <w:sz w:val="20"/>
                <w:szCs w:val="20"/>
              </w:rPr>
              <w:t>b</w:t>
            </w:r>
          </w:p>
        </w:tc>
        <w:tc>
          <w:tcPr>
            <w:tcW w:w="4493" w:type="dxa"/>
            <w:tcBorders>
              <w:top w:val="nil"/>
              <w:left w:val="nil"/>
              <w:bottom w:val="single" w:sz="4" w:space="0" w:color="auto"/>
              <w:right w:val="single" w:sz="4" w:space="0" w:color="auto"/>
            </w:tcBorders>
            <w:shd w:val="clear" w:color="000000" w:fill="auto"/>
            <w:vAlign w:val="center"/>
            <w:hideMark/>
          </w:tcPr>
          <w:p w14:paraId="41AA3437" w14:textId="095F27B3" w:rsidR="00997CC0" w:rsidRPr="00997CC0" w:rsidRDefault="00997CC0" w:rsidP="002C1F3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Determine if sub-model output </w:t>
            </w:r>
            <w:proofErr w:type="gramStart"/>
            <w:r w:rsidRPr="00997CC0">
              <w:rPr>
                <w:rFonts w:ascii="Times New Roman" w:eastAsia="Times New Roman" w:hAnsi="Times New Roman" w:cs="Times New Roman"/>
                <w:sz w:val="20"/>
                <w:szCs w:val="20"/>
              </w:rPr>
              <w:t>was used</w:t>
            </w:r>
            <w:proofErr w:type="gramEnd"/>
            <w:r w:rsidRPr="00997CC0">
              <w:rPr>
                <w:rFonts w:ascii="Times New Roman" w:eastAsia="Times New Roman" w:hAnsi="Times New Roman" w:cs="Times New Roman"/>
                <w:sz w:val="20"/>
                <w:szCs w:val="20"/>
              </w:rPr>
              <w:t xml:space="preserve"> as input to the </w:t>
            </w:r>
            <w:r w:rsidR="00981E2C" w:rsidRPr="00997CC0">
              <w:rPr>
                <w:rFonts w:ascii="Times New Roman" w:eastAsia="Times New Roman" w:hAnsi="Times New Roman" w:cs="Times New Roman"/>
                <w:sz w:val="20"/>
                <w:szCs w:val="20"/>
              </w:rPr>
              <w:t>GLM;</w:t>
            </w:r>
            <w:r w:rsidRPr="00997CC0">
              <w:rPr>
                <w:rFonts w:ascii="Times New Roman" w:eastAsia="Times New Roman" w:hAnsi="Times New Roman" w:cs="Times New Roman"/>
                <w:sz w:val="20"/>
                <w:szCs w:val="20"/>
              </w:rPr>
              <w:t xml:space="preserve"> obtain the vendor name, and the name and version of the sub-model. </w:t>
            </w:r>
          </w:p>
        </w:tc>
        <w:tc>
          <w:tcPr>
            <w:tcW w:w="997" w:type="dxa"/>
            <w:tcBorders>
              <w:top w:val="nil"/>
              <w:left w:val="nil"/>
              <w:bottom w:val="single" w:sz="4" w:space="0" w:color="auto"/>
              <w:right w:val="single" w:sz="4" w:space="0" w:color="auto"/>
            </w:tcBorders>
            <w:shd w:val="clear" w:color="000000" w:fill="auto"/>
            <w:vAlign w:val="center"/>
            <w:hideMark/>
          </w:tcPr>
          <w:p w14:paraId="39A1E9FD" w14:textId="77777777" w:rsidR="00997CC0" w:rsidRPr="00997CC0" w:rsidRDefault="00997CC0" w:rsidP="00997CC0">
            <w:pPr>
              <w:spacing w:after="0" w:line="240" w:lineRule="auto"/>
              <w:jc w:val="center"/>
              <w:rPr>
                <w:rFonts w:ascii="Times New Roman" w:eastAsia="Times New Roman" w:hAnsi="Times New Roman" w:cs="Times New Roman"/>
                <w:sz w:val="18"/>
                <w:szCs w:val="18"/>
              </w:rPr>
            </w:pPr>
            <w:r w:rsidRPr="00997CC0">
              <w:rPr>
                <w:rFonts w:ascii="Times New Roman" w:eastAsia="Times New Roman" w:hAnsi="Times New Roman" w:cs="Times New Roman"/>
                <w:sz w:val="18"/>
                <w:szCs w:val="18"/>
              </w:rPr>
              <w:t>1</w:t>
            </w:r>
          </w:p>
        </w:tc>
        <w:tc>
          <w:tcPr>
            <w:tcW w:w="4583" w:type="dxa"/>
            <w:tcBorders>
              <w:top w:val="nil"/>
              <w:left w:val="nil"/>
              <w:bottom w:val="single" w:sz="4" w:space="0" w:color="auto"/>
              <w:right w:val="single" w:sz="4" w:space="0" w:color="auto"/>
            </w:tcBorders>
            <w:shd w:val="clear" w:color="000000" w:fill="auto"/>
            <w:vAlign w:val="center"/>
            <w:hideMark/>
          </w:tcPr>
          <w:p w14:paraId="139A57BE"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The regulator needs to know name of 3rd party vendor and contact whether model or sub-model.</w:t>
            </w:r>
            <w:r w:rsidRPr="00997CC0">
              <w:rPr>
                <w:rFonts w:ascii="Times New Roman" w:eastAsia="Times New Roman" w:hAnsi="Times New Roman" w:cs="Times New Roman"/>
                <w:sz w:val="20"/>
                <w:szCs w:val="20"/>
              </w:rPr>
              <w:br/>
            </w:r>
            <w:r w:rsidRPr="00997CC0">
              <w:rPr>
                <w:rFonts w:ascii="Times New Roman" w:eastAsia="Times New Roman" w:hAnsi="Times New Roman" w:cs="Times New Roman"/>
                <w:sz w:val="20"/>
                <w:szCs w:val="20"/>
              </w:rPr>
              <w:br/>
              <w:t>Examples of such sub-models include credit/financial scoring algorithms and household composite score models. Sub-models can be evaluated separately and in the same manner as the primary model under evaluation. A sub-model contact for additional information should be provided. SMEs on sub-model may need to be brought into the conversation with regulators (whether in-house or 3rd-party sub-models are used).</w:t>
            </w:r>
          </w:p>
        </w:tc>
      </w:tr>
      <w:tr w:rsidR="00402FDF" w:rsidRPr="00937B31" w14:paraId="210E5C3C" w14:textId="77777777" w:rsidTr="00937B31">
        <w:trPr>
          <w:trHeight w:val="990"/>
        </w:trPr>
        <w:tc>
          <w:tcPr>
            <w:tcW w:w="727" w:type="dxa"/>
            <w:tcBorders>
              <w:top w:val="nil"/>
              <w:left w:val="single" w:sz="4" w:space="0" w:color="auto"/>
              <w:bottom w:val="single" w:sz="4" w:space="0" w:color="auto"/>
              <w:right w:val="single" w:sz="4" w:space="0" w:color="auto"/>
            </w:tcBorders>
            <w:shd w:val="clear" w:color="000000" w:fill="auto"/>
            <w:vAlign w:val="center"/>
            <w:hideMark/>
          </w:tcPr>
          <w:p w14:paraId="2D07AF9D" w14:textId="79A33B16" w:rsidR="00997CC0" w:rsidRPr="00997CC0" w:rsidRDefault="00997CC0" w:rsidP="00CD2E15">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A.2.</w:t>
            </w:r>
            <w:r w:rsidR="00CD2E15">
              <w:rPr>
                <w:rFonts w:ascii="Times New Roman" w:eastAsia="Times New Roman" w:hAnsi="Times New Roman" w:cs="Times New Roman"/>
                <w:sz w:val="20"/>
                <w:szCs w:val="20"/>
              </w:rPr>
              <w:t>c</w:t>
            </w:r>
          </w:p>
        </w:tc>
        <w:tc>
          <w:tcPr>
            <w:tcW w:w="4493" w:type="dxa"/>
            <w:tcBorders>
              <w:top w:val="nil"/>
              <w:left w:val="nil"/>
              <w:bottom w:val="single" w:sz="4" w:space="0" w:color="auto"/>
              <w:right w:val="single" w:sz="4" w:space="0" w:color="auto"/>
            </w:tcBorders>
            <w:shd w:val="clear" w:color="000000" w:fill="auto"/>
            <w:vAlign w:val="center"/>
            <w:hideMark/>
          </w:tcPr>
          <w:p w14:paraId="1AE8E112"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If using catastrophe model output, identify the vendor and the model settings/assumptions used when the model </w:t>
            </w:r>
            <w:proofErr w:type="gramStart"/>
            <w:r w:rsidRPr="00997CC0">
              <w:rPr>
                <w:rFonts w:ascii="Times New Roman" w:eastAsia="Times New Roman" w:hAnsi="Times New Roman" w:cs="Times New Roman"/>
                <w:sz w:val="20"/>
                <w:szCs w:val="20"/>
              </w:rPr>
              <w:t>was run</w:t>
            </w:r>
            <w:proofErr w:type="gramEnd"/>
            <w:r w:rsidRPr="00997CC0">
              <w:rPr>
                <w:rFonts w:ascii="Times New Roman" w:eastAsia="Times New Roman" w:hAnsi="Times New Roman" w:cs="Times New Roman"/>
                <w:sz w:val="20"/>
                <w:szCs w:val="20"/>
              </w:rPr>
              <w:t xml:space="preserve">. </w:t>
            </w:r>
          </w:p>
        </w:tc>
        <w:tc>
          <w:tcPr>
            <w:tcW w:w="997" w:type="dxa"/>
            <w:tcBorders>
              <w:top w:val="nil"/>
              <w:left w:val="nil"/>
              <w:bottom w:val="single" w:sz="4" w:space="0" w:color="auto"/>
              <w:right w:val="single" w:sz="4" w:space="0" w:color="auto"/>
            </w:tcBorders>
            <w:shd w:val="clear" w:color="000000" w:fill="auto"/>
            <w:vAlign w:val="center"/>
            <w:hideMark/>
          </w:tcPr>
          <w:p w14:paraId="730F2A81" w14:textId="77777777" w:rsidR="00997CC0" w:rsidRPr="00997CC0" w:rsidRDefault="00997CC0" w:rsidP="00997CC0">
            <w:pPr>
              <w:spacing w:after="0" w:line="240" w:lineRule="auto"/>
              <w:jc w:val="center"/>
              <w:rPr>
                <w:rFonts w:ascii="Times New Roman" w:eastAsia="Times New Roman" w:hAnsi="Times New Roman" w:cs="Times New Roman"/>
                <w:sz w:val="18"/>
                <w:szCs w:val="18"/>
              </w:rPr>
            </w:pPr>
            <w:r w:rsidRPr="00997CC0">
              <w:rPr>
                <w:rFonts w:ascii="Times New Roman" w:eastAsia="Times New Roman" w:hAnsi="Times New Roman" w:cs="Times New Roman"/>
                <w:sz w:val="18"/>
                <w:szCs w:val="18"/>
              </w:rPr>
              <w:t>1</w:t>
            </w:r>
          </w:p>
        </w:tc>
        <w:tc>
          <w:tcPr>
            <w:tcW w:w="4583" w:type="dxa"/>
            <w:tcBorders>
              <w:top w:val="nil"/>
              <w:left w:val="nil"/>
              <w:bottom w:val="single" w:sz="4" w:space="0" w:color="auto"/>
              <w:right w:val="single" w:sz="4" w:space="0" w:color="auto"/>
            </w:tcBorders>
            <w:shd w:val="clear" w:color="000000" w:fill="auto"/>
            <w:vAlign w:val="center"/>
            <w:hideMark/>
          </w:tcPr>
          <w:p w14:paraId="27DE9532"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For example, it is important to know hurricane model settings for storm surge, demand surge, long/short-term views. </w:t>
            </w:r>
          </w:p>
        </w:tc>
      </w:tr>
      <w:tr w:rsidR="00402FDF" w:rsidRPr="00937B31" w14:paraId="7EE85ADB" w14:textId="77777777" w:rsidTr="00937B31">
        <w:trPr>
          <w:trHeight w:val="4112"/>
        </w:trPr>
        <w:tc>
          <w:tcPr>
            <w:tcW w:w="727" w:type="dxa"/>
            <w:tcBorders>
              <w:top w:val="nil"/>
              <w:left w:val="single" w:sz="4" w:space="0" w:color="auto"/>
              <w:bottom w:val="single" w:sz="4" w:space="0" w:color="auto"/>
              <w:right w:val="single" w:sz="4" w:space="0" w:color="auto"/>
            </w:tcBorders>
            <w:shd w:val="clear" w:color="000000" w:fill="auto"/>
            <w:vAlign w:val="center"/>
            <w:hideMark/>
          </w:tcPr>
          <w:p w14:paraId="3EF51EB2" w14:textId="1853E1A8" w:rsidR="00997CC0" w:rsidRPr="00997CC0" w:rsidRDefault="00997CC0" w:rsidP="00CD2E15">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A.2.</w:t>
            </w:r>
            <w:r w:rsidR="00CD2E15">
              <w:rPr>
                <w:rFonts w:ascii="Times New Roman" w:eastAsia="Times New Roman" w:hAnsi="Times New Roman" w:cs="Times New Roman"/>
                <w:sz w:val="20"/>
                <w:szCs w:val="20"/>
              </w:rPr>
              <w:t>d</w:t>
            </w:r>
          </w:p>
        </w:tc>
        <w:tc>
          <w:tcPr>
            <w:tcW w:w="4493" w:type="dxa"/>
            <w:tcBorders>
              <w:top w:val="nil"/>
              <w:left w:val="nil"/>
              <w:bottom w:val="single" w:sz="4" w:space="0" w:color="auto"/>
              <w:right w:val="single" w:sz="4" w:space="0" w:color="auto"/>
            </w:tcBorders>
            <w:shd w:val="clear" w:color="000000" w:fill="auto"/>
            <w:vAlign w:val="center"/>
            <w:hideMark/>
          </w:tcPr>
          <w:p w14:paraId="5CA775A5"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If using catastrophe model output (a sub-model) as input to the GLM under review, verify whether loss associated with the modeled output </w:t>
            </w:r>
            <w:proofErr w:type="gramStart"/>
            <w:r w:rsidRPr="00997CC0">
              <w:rPr>
                <w:rFonts w:ascii="Times New Roman" w:eastAsia="Times New Roman" w:hAnsi="Times New Roman" w:cs="Times New Roman"/>
                <w:sz w:val="20"/>
                <w:szCs w:val="20"/>
              </w:rPr>
              <w:t>was removed</w:t>
            </w:r>
            <w:proofErr w:type="gramEnd"/>
            <w:r w:rsidRPr="00997CC0">
              <w:rPr>
                <w:rFonts w:ascii="Times New Roman" w:eastAsia="Times New Roman" w:hAnsi="Times New Roman" w:cs="Times New Roman"/>
                <w:sz w:val="20"/>
                <w:szCs w:val="20"/>
              </w:rPr>
              <w:t xml:space="preserve"> from the loss experience datasets. </w:t>
            </w:r>
          </w:p>
        </w:tc>
        <w:tc>
          <w:tcPr>
            <w:tcW w:w="997" w:type="dxa"/>
            <w:tcBorders>
              <w:top w:val="nil"/>
              <w:left w:val="nil"/>
              <w:bottom w:val="single" w:sz="4" w:space="0" w:color="auto"/>
              <w:right w:val="single" w:sz="4" w:space="0" w:color="auto"/>
            </w:tcBorders>
            <w:shd w:val="clear" w:color="000000" w:fill="auto"/>
            <w:vAlign w:val="center"/>
            <w:hideMark/>
          </w:tcPr>
          <w:p w14:paraId="1F5912C2" w14:textId="77777777" w:rsidR="00997CC0" w:rsidRPr="00997CC0" w:rsidRDefault="00997CC0" w:rsidP="00997CC0">
            <w:pPr>
              <w:spacing w:after="0" w:line="240" w:lineRule="auto"/>
              <w:jc w:val="center"/>
              <w:rPr>
                <w:rFonts w:ascii="Times New Roman" w:eastAsia="Times New Roman" w:hAnsi="Times New Roman" w:cs="Times New Roman"/>
                <w:sz w:val="18"/>
                <w:szCs w:val="18"/>
              </w:rPr>
            </w:pPr>
            <w:r w:rsidRPr="00997CC0">
              <w:rPr>
                <w:rFonts w:ascii="Times New Roman" w:eastAsia="Times New Roman" w:hAnsi="Times New Roman" w:cs="Times New Roman"/>
                <w:sz w:val="18"/>
                <w:szCs w:val="18"/>
              </w:rPr>
              <w:t>1</w:t>
            </w:r>
          </w:p>
        </w:tc>
        <w:tc>
          <w:tcPr>
            <w:tcW w:w="4583" w:type="dxa"/>
            <w:tcBorders>
              <w:top w:val="nil"/>
              <w:left w:val="nil"/>
              <w:bottom w:val="single" w:sz="4" w:space="0" w:color="auto"/>
              <w:right w:val="single" w:sz="4" w:space="0" w:color="auto"/>
            </w:tcBorders>
            <w:shd w:val="clear" w:color="000000" w:fill="auto"/>
            <w:vAlign w:val="center"/>
            <w:hideMark/>
          </w:tcPr>
          <w:p w14:paraId="373171D2"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If a weather-based sub-model is input to the GLM under review, loss data used to develop the model should not include loss experience associated with the weather-based sub-model. Doing so could cause distortions in the modeled results by double counting such losses when determining relativities or loss loads in the filed rating plan. For example, redundant losses in the data may occur when non-hurricane wind losses are included in the data while also using a severe convective storm model in the actuarial indication. Such redundancy may also occur with the inclusion of fluvial or pluvial flood losses when using a flood model, inclusion of freeze losses when using a winter storm model or including demand surge caused by any catastrophic event. </w:t>
            </w:r>
          </w:p>
        </w:tc>
      </w:tr>
      <w:tr w:rsidR="00402FDF" w:rsidRPr="00937B31" w14:paraId="6E4DAD17" w14:textId="77777777" w:rsidTr="00937B31">
        <w:trPr>
          <w:trHeight w:val="1305"/>
        </w:trPr>
        <w:tc>
          <w:tcPr>
            <w:tcW w:w="727" w:type="dxa"/>
            <w:tcBorders>
              <w:top w:val="nil"/>
              <w:left w:val="single" w:sz="4" w:space="0" w:color="auto"/>
              <w:bottom w:val="single" w:sz="4" w:space="0" w:color="auto"/>
              <w:right w:val="single" w:sz="4" w:space="0" w:color="auto"/>
            </w:tcBorders>
            <w:shd w:val="clear" w:color="000000" w:fill="auto"/>
            <w:vAlign w:val="center"/>
            <w:hideMark/>
          </w:tcPr>
          <w:p w14:paraId="32F26E08" w14:textId="79F502EA" w:rsidR="00997CC0" w:rsidRPr="00997CC0" w:rsidRDefault="00997CC0" w:rsidP="00CD2E15">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A.2.</w:t>
            </w:r>
            <w:r w:rsidR="00CD2E15">
              <w:rPr>
                <w:rFonts w:ascii="Times New Roman" w:eastAsia="Times New Roman" w:hAnsi="Times New Roman" w:cs="Times New Roman"/>
                <w:sz w:val="20"/>
                <w:szCs w:val="20"/>
              </w:rPr>
              <w:t>e</w:t>
            </w:r>
          </w:p>
        </w:tc>
        <w:tc>
          <w:tcPr>
            <w:tcW w:w="4493" w:type="dxa"/>
            <w:tcBorders>
              <w:top w:val="nil"/>
              <w:left w:val="nil"/>
              <w:bottom w:val="single" w:sz="4" w:space="0" w:color="auto"/>
              <w:right w:val="single" w:sz="4" w:space="0" w:color="auto"/>
            </w:tcBorders>
            <w:shd w:val="clear" w:color="000000" w:fill="auto"/>
            <w:vAlign w:val="center"/>
            <w:hideMark/>
          </w:tcPr>
          <w:p w14:paraId="19740718"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If using output of any scoring algorithms, obtain a list of the variables used to determine the score and provide the source of the data used to calculate the score.</w:t>
            </w:r>
          </w:p>
        </w:tc>
        <w:tc>
          <w:tcPr>
            <w:tcW w:w="997" w:type="dxa"/>
            <w:tcBorders>
              <w:top w:val="nil"/>
              <w:left w:val="nil"/>
              <w:bottom w:val="single" w:sz="4" w:space="0" w:color="auto"/>
              <w:right w:val="single" w:sz="4" w:space="0" w:color="auto"/>
            </w:tcBorders>
            <w:shd w:val="clear" w:color="000000" w:fill="auto"/>
            <w:vAlign w:val="center"/>
            <w:hideMark/>
          </w:tcPr>
          <w:p w14:paraId="1340E390" w14:textId="77777777" w:rsidR="00997CC0" w:rsidRPr="00997CC0" w:rsidRDefault="00997CC0" w:rsidP="00997CC0">
            <w:pPr>
              <w:spacing w:after="0" w:line="240" w:lineRule="auto"/>
              <w:jc w:val="center"/>
              <w:rPr>
                <w:rFonts w:ascii="Times New Roman" w:eastAsia="Times New Roman" w:hAnsi="Times New Roman" w:cs="Times New Roman"/>
                <w:sz w:val="18"/>
                <w:szCs w:val="18"/>
              </w:rPr>
            </w:pPr>
            <w:r w:rsidRPr="00997CC0">
              <w:rPr>
                <w:rFonts w:ascii="Times New Roman" w:eastAsia="Times New Roman" w:hAnsi="Times New Roman" w:cs="Times New Roman"/>
                <w:sz w:val="18"/>
                <w:szCs w:val="18"/>
              </w:rPr>
              <w:t>1</w:t>
            </w:r>
          </w:p>
        </w:tc>
        <w:tc>
          <w:tcPr>
            <w:tcW w:w="4583" w:type="dxa"/>
            <w:tcBorders>
              <w:top w:val="nil"/>
              <w:left w:val="nil"/>
              <w:bottom w:val="single" w:sz="4" w:space="0" w:color="auto"/>
              <w:right w:val="single" w:sz="4" w:space="0" w:color="auto"/>
            </w:tcBorders>
            <w:shd w:val="clear" w:color="000000" w:fill="auto"/>
            <w:vAlign w:val="center"/>
            <w:hideMark/>
          </w:tcPr>
          <w:p w14:paraId="3B66B57F"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Any sub-model should be reviewed in the same manner as the primary model that uses the sub-model’s output as input.</w:t>
            </w:r>
          </w:p>
        </w:tc>
      </w:tr>
      <w:tr w:rsidR="00402FDF" w:rsidRPr="00937B31" w14:paraId="70110718" w14:textId="77777777" w:rsidTr="00937B31">
        <w:trPr>
          <w:trHeight w:val="1140"/>
        </w:trPr>
        <w:tc>
          <w:tcPr>
            <w:tcW w:w="727" w:type="dxa"/>
            <w:tcBorders>
              <w:top w:val="nil"/>
              <w:left w:val="single" w:sz="4" w:space="0" w:color="auto"/>
              <w:bottom w:val="single" w:sz="4" w:space="0" w:color="auto"/>
              <w:right w:val="single" w:sz="4" w:space="0" w:color="auto"/>
            </w:tcBorders>
            <w:shd w:val="clear" w:color="000000" w:fill="auto"/>
            <w:vAlign w:val="center"/>
            <w:hideMark/>
          </w:tcPr>
          <w:p w14:paraId="34F63109" w14:textId="4198809C" w:rsidR="00997CC0" w:rsidRPr="00997CC0" w:rsidRDefault="00997CC0" w:rsidP="00CD2E15">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A.2.</w:t>
            </w:r>
            <w:r w:rsidR="00CD2E15">
              <w:rPr>
                <w:rFonts w:ascii="Times New Roman" w:eastAsia="Times New Roman" w:hAnsi="Times New Roman" w:cs="Times New Roman"/>
                <w:sz w:val="20"/>
                <w:szCs w:val="20"/>
              </w:rPr>
              <w:t>f</w:t>
            </w:r>
          </w:p>
        </w:tc>
        <w:tc>
          <w:tcPr>
            <w:tcW w:w="4493" w:type="dxa"/>
            <w:tcBorders>
              <w:top w:val="nil"/>
              <w:left w:val="nil"/>
              <w:bottom w:val="single" w:sz="4" w:space="0" w:color="auto"/>
              <w:right w:val="single" w:sz="4" w:space="0" w:color="auto"/>
            </w:tcBorders>
            <w:shd w:val="clear" w:color="000000" w:fill="auto"/>
            <w:vAlign w:val="center"/>
            <w:hideMark/>
          </w:tcPr>
          <w:p w14:paraId="63C3EC7A"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Determine if the sub-model </w:t>
            </w:r>
            <w:proofErr w:type="gramStart"/>
            <w:r w:rsidRPr="00997CC0">
              <w:rPr>
                <w:rFonts w:ascii="Times New Roman" w:eastAsia="Times New Roman" w:hAnsi="Times New Roman" w:cs="Times New Roman"/>
                <w:sz w:val="20"/>
                <w:szCs w:val="20"/>
              </w:rPr>
              <w:t>was previously approved (or accepted) by the regulatory agency</w:t>
            </w:r>
            <w:proofErr w:type="gramEnd"/>
            <w:r w:rsidRPr="00997CC0">
              <w:rPr>
                <w:rFonts w:ascii="Times New Roman" w:eastAsia="Times New Roman" w:hAnsi="Times New Roman" w:cs="Times New Roman"/>
                <w:sz w:val="20"/>
                <w:szCs w:val="20"/>
              </w:rPr>
              <w:t xml:space="preserve">. </w:t>
            </w:r>
          </w:p>
        </w:tc>
        <w:tc>
          <w:tcPr>
            <w:tcW w:w="997" w:type="dxa"/>
            <w:tcBorders>
              <w:top w:val="nil"/>
              <w:left w:val="nil"/>
              <w:bottom w:val="single" w:sz="4" w:space="0" w:color="auto"/>
              <w:right w:val="single" w:sz="4" w:space="0" w:color="auto"/>
            </w:tcBorders>
            <w:shd w:val="clear" w:color="000000" w:fill="auto"/>
            <w:vAlign w:val="center"/>
            <w:hideMark/>
          </w:tcPr>
          <w:p w14:paraId="6E53E5B9" w14:textId="77777777" w:rsidR="00997CC0" w:rsidRPr="00997CC0" w:rsidRDefault="00997CC0" w:rsidP="00997CC0">
            <w:pPr>
              <w:spacing w:after="0" w:line="240" w:lineRule="auto"/>
              <w:jc w:val="center"/>
              <w:rPr>
                <w:rFonts w:ascii="Times New Roman" w:eastAsia="Times New Roman" w:hAnsi="Times New Roman" w:cs="Times New Roman"/>
                <w:sz w:val="18"/>
                <w:szCs w:val="18"/>
              </w:rPr>
            </w:pPr>
            <w:r w:rsidRPr="00997CC0">
              <w:rPr>
                <w:rFonts w:ascii="Times New Roman" w:eastAsia="Times New Roman" w:hAnsi="Times New Roman" w:cs="Times New Roman"/>
                <w:sz w:val="18"/>
                <w:szCs w:val="18"/>
              </w:rPr>
              <w:t>2</w:t>
            </w:r>
          </w:p>
        </w:tc>
        <w:tc>
          <w:tcPr>
            <w:tcW w:w="4583" w:type="dxa"/>
            <w:tcBorders>
              <w:top w:val="nil"/>
              <w:left w:val="nil"/>
              <w:bottom w:val="single" w:sz="4" w:space="0" w:color="auto"/>
              <w:right w:val="single" w:sz="4" w:space="0" w:color="auto"/>
            </w:tcBorders>
            <w:shd w:val="clear" w:color="000000" w:fill="auto"/>
            <w:vAlign w:val="center"/>
            <w:hideMark/>
          </w:tcPr>
          <w:p w14:paraId="23A0EF82"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If the sub-model was previously approved, that may change the extent of the sub-model’s review. If approved, verify when and that it was the same model currently under review.</w:t>
            </w:r>
          </w:p>
        </w:tc>
      </w:tr>
      <w:tr w:rsidR="00402FDF" w:rsidRPr="00937B31" w14:paraId="2E8A8F7B" w14:textId="77777777" w:rsidTr="00937B31">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000000" w:fill="auto"/>
            <w:vAlign w:val="center"/>
            <w:hideMark/>
          </w:tcPr>
          <w:p w14:paraId="584A1EC0" w14:textId="70EEF666" w:rsidR="00997CC0" w:rsidRPr="00997CC0" w:rsidRDefault="00997CC0" w:rsidP="002C1F30">
            <w:pPr>
              <w:spacing w:after="0" w:line="240" w:lineRule="auto"/>
              <w:rPr>
                <w:rFonts w:ascii="Times New Roman" w:eastAsia="Times New Roman" w:hAnsi="Times New Roman" w:cs="Times New Roman"/>
                <w:bCs/>
              </w:rPr>
            </w:pPr>
            <w:r w:rsidRPr="00997CC0">
              <w:rPr>
                <w:rFonts w:ascii="Times New Roman" w:eastAsia="Times New Roman" w:hAnsi="Times New Roman" w:cs="Times New Roman"/>
                <w:bCs/>
              </w:rPr>
              <w:t>3.  Adjustments to Data</w:t>
            </w:r>
          </w:p>
        </w:tc>
      </w:tr>
      <w:tr w:rsidR="00402FDF" w:rsidRPr="00937B31" w14:paraId="26110573" w14:textId="77777777" w:rsidTr="00937B31">
        <w:trPr>
          <w:trHeight w:val="2177"/>
        </w:trPr>
        <w:tc>
          <w:tcPr>
            <w:tcW w:w="727" w:type="dxa"/>
            <w:tcBorders>
              <w:top w:val="nil"/>
              <w:left w:val="single" w:sz="4" w:space="0" w:color="auto"/>
              <w:bottom w:val="single" w:sz="4" w:space="0" w:color="auto"/>
              <w:right w:val="single" w:sz="4" w:space="0" w:color="auto"/>
            </w:tcBorders>
            <w:shd w:val="clear" w:color="000000" w:fill="auto"/>
            <w:vAlign w:val="center"/>
            <w:hideMark/>
          </w:tcPr>
          <w:p w14:paraId="14AF3276" w14:textId="2C8915B3" w:rsidR="00997CC0" w:rsidRPr="00997CC0" w:rsidRDefault="00997CC0" w:rsidP="00CD2E15">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A.3.</w:t>
            </w:r>
            <w:r w:rsidR="00CD2E15">
              <w:rPr>
                <w:rFonts w:ascii="Times New Roman" w:eastAsia="Times New Roman" w:hAnsi="Times New Roman" w:cs="Times New Roman"/>
                <w:sz w:val="20"/>
                <w:szCs w:val="20"/>
              </w:rPr>
              <w:t>a</w:t>
            </w:r>
          </w:p>
        </w:tc>
        <w:tc>
          <w:tcPr>
            <w:tcW w:w="4493" w:type="dxa"/>
            <w:tcBorders>
              <w:top w:val="nil"/>
              <w:left w:val="nil"/>
              <w:bottom w:val="single" w:sz="4" w:space="0" w:color="auto"/>
              <w:right w:val="single" w:sz="4" w:space="0" w:color="auto"/>
            </w:tcBorders>
            <w:shd w:val="clear" w:color="000000" w:fill="auto"/>
            <w:vAlign w:val="center"/>
            <w:hideMark/>
          </w:tcPr>
          <w:p w14:paraId="202F8501" w14:textId="79B2B8D7" w:rsidR="00997CC0" w:rsidRPr="00997CC0" w:rsidRDefault="00997CC0" w:rsidP="002C1F3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Determine if premium, exposure, loss or expense data were adjusted (e.g., developed, trended, adjusted for catastrophe experience or capped) and, if so, how? Do the adjustments vary for different segments of the data and, if so, identify the segments and how was the data adjusted? </w:t>
            </w:r>
          </w:p>
        </w:tc>
        <w:tc>
          <w:tcPr>
            <w:tcW w:w="997" w:type="dxa"/>
            <w:tcBorders>
              <w:top w:val="nil"/>
              <w:left w:val="nil"/>
              <w:bottom w:val="single" w:sz="4" w:space="0" w:color="auto"/>
              <w:right w:val="single" w:sz="4" w:space="0" w:color="auto"/>
            </w:tcBorders>
            <w:shd w:val="clear" w:color="000000" w:fill="auto"/>
            <w:vAlign w:val="center"/>
            <w:hideMark/>
          </w:tcPr>
          <w:p w14:paraId="5A0E2A50" w14:textId="77777777" w:rsidR="00997CC0" w:rsidRPr="00997CC0" w:rsidRDefault="00997CC0" w:rsidP="00997CC0">
            <w:pPr>
              <w:spacing w:after="0" w:line="240" w:lineRule="auto"/>
              <w:jc w:val="center"/>
              <w:rPr>
                <w:rFonts w:ascii="Times New Roman" w:eastAsia="Times New Roman" w:hAnsi="Times New Roman" w:cs="Times New Roman"/>
                <w:sz w:val="18"/>
                <w:szCs w:val="18"/>
              </w:rPr>
            </w:pPr>
            <w:r w:rsidRPr="00997CC0">
              <w:rPr>
                <w:rFonts w:ascii="Times New Roman" w:eastAsia="Times New Roman" w:hAnsi="Times New Roman" w:cs="Times New Roman"/>
                <w:sz w:val="18"/>
                <w:szCs w:val="18"/>
              </w:rPr>
              <w:t>2</w:t>
            </w:r>
          </w:p>
        </w:tc>
        <w:tc>
          <w:tcPr>
            <w:tcW w:w="4583" w:type="dxa"/>
            <w:tcBorders>
              <w:top w:val="nil"/>
              <w:left w:val="nil"/>
              <w:bottom w:val="single" w:sz="4" w:space="0" w:color="auto"/>
              <w:right w:val="single" w:sz="4" w:space="0" w:color="auto"/>
            </w:tcBorders>
            <w:shd w:val="clear" w:color="000000" w:fill="auto"/>
            <w:vAlign w:val="center"/>
            <w:hideMark/>
          </w:tcPr>
          <w:p w14:paraId="6C7A2CAE" w14:textId="6C8E7A46" w:rsidR="00997CC0" w:rsidRPr="00997CC0" w:rsidRDefault="00997CC0" w:rsidP="002C1F30">
            <w:pPr>
              <w:spacing w:after="0" w:line="240" w:lineRule="auto"/>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Look for anomalies in the data that should be addressed. For example, is there an extreme loss event in the data? If other processes were used to load rates for specific loss events, how is the impact of those losses considered? </w:t>
            </w:r>
            <w:r w:rsidR="002C1F30" w:rsidRPr="00937B31">
              <w:rPr>
                <w:rFonts w:ascii="Times New Roman" w:eastAsia="Times New Roman" w:hAnsi="Times New Roman" w:cs="Times New Roman"/>
                <w:sz w:val="20"/>
                <w:szCs w:val="20"/>
              </w:rPr>
              <w:t>Examples of losses that can contribute to anomalies in the data are</w:t>
            </w:r>
            <w:r w:rsidRPr="00997CC0">
              <w:rPr>
                <w:rFonts w:ascii="Times New Roman" w:eastAsia="Times New Roman" w:hAnsi="Times New Roman" w:cs="Times New Roman"/>
                <w:sz w:val="20"/>
                <w:szCs w:val="20"/>
              </w:rPr>
              <w:t xml:space="preserve"> large losses, flood, hurricane or severe convective storm models for PPA comprehensive or home losses.</w:t>
            </w:r>
          </w:p>
        </w:tc>
      </w:tr>
      <w:tr w:rsidR="00402FDF" w:rsidRPr="00937B31" w14:paraId="5332D219" w14:textId="77777777" w:rsidTr="00937B31">
        <w:trPr>
          <w:trHeight w:val="1628"/>
        </w:trPr>
        <w:tc>
          <w:tcPr>
            <w:tcW w:w="727" w:type="dxa"/>
            <w:tcBorders>
              <w:top w:val="nil"/>
              <w:left w:val="single" w:sz="4" w:space="0" w:color="auto"/>
              <w:bottom w:val="single" w:sz="4" w:space="0" w:color="auto"/>
              <w:right w:val="single" w:sz="4" w:space="0" w:color="auto"/>
            </w:tcBorders>
            <w:shd w:val="clear" w:color="000000" w:fill="auto"/>
            <w:vAlign w:val="center"/>
            <w:hideMark/>
          </w:tcPr>
          <w:p w14:paraId="760AD887" w14:textId="625B2450" w:rsidR="00997CC0" w:rsidRPr="00997CC0" w:rsidRDefault="00997CC0" w:rsidP="00CD2E15">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A.3.</w:t>
            </w:r>
            <w:r w:rsidR="00CD2E15">
              <w:rPr>
                <w:rFonts w:ascii="Times New Roman" w:eastAsia="Times New Roman" w:hAnsi="Times New Roman" w:cs="Times New Roman"/>
                <w:sz w:val="20"/>
                <w:szCs w:val="20"/>
              </w:rPr>
              <w:t>b</w:t>
            </w:r>
          </w:p>
        </w:tc>
        <w:tc>
          <w:tcPr>
            <w:tcW w:w="4493" w:type="dxa"/>
            <w:tcBorders>
              <w:top w:val="nil"/>
              <w:left w:val="nil"/>
              <w:bottom w:val="single" w:sz="4" w:space="0" w:color="auto"/>
              <w:right w:val="single" w:sz="4" w:space="0" w:color="auto"/>
            </w:tcBorders>
            <w:shd w:val="clear" w:color="000000" w:fill="auto"/>
            <w:vAlign w:val="center"/>
            <w:hideMark/>
          </w:tcPr>
          <w:p w14:paraId="1921A563" w14:textId="4B50E41B" w:rsidR="00997CC0" w:rsidRPr="00997CC0" w:rsidRDefault="00997CC0" w:rsidP="00981E2C">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Identify adjustments that </w:t>
            </w:r>
            <w:proofErr w:type="gramStart"/>
            <w:r w:rsidRPr="00997CC0">
              <w:rPr>
                <w:rFonts w:ascii="Times New Roman" w:eastAsia="Times New Roman" w:hAnsi="Times New Roman" w:cs="Times New Roman"/>
                <w:sz w:val="20"/>
                <w:szCs w:val="20"/>
              </w:rPr>
              <w:t>were made</w:t>
            </w:r>
            <w:proofErr w:type="gramEnd"/>
            <w:r w:rsidRPr="00997CC0">
              <w:rPr>
                <w:rFonts w:ascii="Times New Roman" w:eastAsia="Times New Roman" w:hAnsi="Times New Roman" w:cs="Times New Roman"/>
                <w:sz w:val="20"/>
                <w:szCs w:val="20"/>
              </w:rPr>
              <w:t xml:space="preserve"> to raw data, e.g., transformations, binning and/or categorizations</w:t>
            </w:r>
            <w:r w:rsidR="00981E2C">
              <w:rPr>
                <w:rFonts w:ascii="Times New Roman" w:eastAsia="Times New Roman" w:hAnsi="Times New Roman" w:cs="Times New Roman"/>
                <w:sz w:val="20"/>
                <w:szCs w:val="20"/>
              </w:rPr>
              <w:t>.</w:t>
            </w:r>
            <w:r w:rsidRPr="00997CC0">
              <w:rPr>
                <w:rFonts w:ascii="Times New Roman" w:eastAsia="Times New Roman" w:hAnsi="Times New Roman" w:cs="Times New Roman"/>
                <w:sz w:val="20"/>
                <w:szCs w:val="20"/>
              </w:rPr>
              <w:t xml:space="preserve"> If any, identify the name of the characteristic/variable and obtain a description of the adjustment.</w:t>
            </w:r>
          </w:p>
        </w:tc>
        <w:tc>
          <w:tcPr>
            <w:tcW w:w="997" w:type="dxa"/>
            <w:tcBorders>
              <w:top w:val="nil"/>
              <w:left w:val="nil"/>
              <w:bottom w:val="single" w:sz="4" w:space="0" w:color="auto"/>
              <w:right w:val="single" w:sz="4" w:space="0" w:color="auto"/>
            </w:tcBorders>
            <w:shd w:val="clear" w:color="000000" w:fill="auto"/>
            <w:vAlign w:val="center"/>
            <w:hideMark/>
          </w:tcPr>
          <w:p w14:paraId="3AD281A2" w14:textId="77777777" w:rsidR="00997CC0" w:rsidRPr="00997CC0" w:rsidRDefault="00997CC0" w:rsidP="00997CC0">
            <w:pPr>
              <w:spacing w:after="0" w:line="240" w:lineRule="auto"/>
              <w:jc w:val="center"/>
              <w:rPr>
                <w:rFonts w:ascii="Times New Roman" w:eastAsia="Times New Roman" w:hAnsi="Times New Roman" w:cs="Times New Roman"/>
                <w:sz w:val="18"/>
                <w:szCs w:val="18"/>
              </w:rPr>
            </w:pPr>
            <w:r w:rsidRPr="00997CC0">
              <w:rPr>
                <w:rFonts w:ascii="Times New Roman" w:eastAsia="Times New Roman" w:hAnsi="Times New Roman" w:cs="Times New Roman"/>
                <w:sz w:val="18"/>
                <w:szCs w:val="18"/>
              </w:rPr>
              <w:t>1</w:t>
            </w:r>
          </w:p>
        </w:tc>
        <w:tc>
          <w:tcPr>
            <w:tcW w:w="4583" w:type="dxa"/>
            <w:tcBorders>
              <w:top w:val="nil"/>
              <w:left w:val="nil"/>
              <w:bottom w:val="single" w:sz="4" w:space="0" w:color="auto"/>
              <w:right w:val="single" w:sz="4" w:space="0" w:color="auto"/>
            </w:tcBorders>
            <w:shd w:val="clear" w:color="000000" w:fill="auto"/>
            <w:vAlign w:val="center"/>
            <w:hideMark/>
          </w:tcPr>
          <w:p w14:paraId="38C4064F"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w:t>
            </w:r>
          </w:p>
        </w:tc>
      </w:tr>
      <w:tr w:rsidR="00402FDF" w:rsidRPr="00937B31" w14:paraId="1863B01D" w14:textId="77777777" w:rsidTr="00937B31">
        <w:trPr>
          <w:trHeight w:val="3482"/>
        </w:trPr>
        <w:tc>
          <w:tcPr>
            <w:tcW w:w="727" w:type="dxa"/>
            <w:tcBorders>
              <w:top w:val="nil"/>
              <w:left w:val="single" w:sz="4" w:space="0" w:color="auto"/>
              <w:bottom w:val="single" w:sz="4" w:space="0" w:color="auto"/>
              <w:right w:val="single" w:sz="4" w:space="0" w:color="auto"/>
            </w:tcBorders>
            <w:shd w:val="clear" w:color="000000" w:fill="auto"/>
            <w:vAlign w:val="center"/>
            <w:hideMark/>
          </w:tcPr>
          <w:p w14:paraId="5FB2FB45" w14:textId="49A3BBDE" w:rsidR="00997CC0" w:rsidRPr="00997CC0" w:rsidRDefault="00997CC0" w:rsidP="00CD2E15">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A.3.</w:t>
            </w:r>
            <w:r w:rsidR="00CD2E15">
              <w:rPr>
                <w:rFonts w:ascii="Times New Roman" w:eastAsia="Times New Roman" w:hAnsi="Times New Roman" w:cs="Times New Roman"/>
                <w:sz w:val="20"/>
                <w:szCs w:val="20"/>
              </w:rPr>
              <w:t>c</w:t>
            </w:r>
          </w:p>
        </w:tc>
        <w:tc>
          <w:tcPr>
            <w:tcW w:w="4493" w:type="dxa"/>
            <w:tcBorders>
              <w:top w:val="nil"/>
              <w:left w:val="nil"/>
              <w:bottom w:val="single" w:sz="4" w:space="0" w:color="auto"/>
              <w:right w:val="single" w:sz="4" w:space="0" w:color="auto"/>
            </w:tcBorders>
            <w:shd w:val="clear" w:color="000000" w:fill="auto"/>
            <w:vAlign w:val="center"/>
            <w:hideMark/>
          </w:tcPr>
          <w:p w14:paraId="705E7F5F" w14:textId="2ADAE9B3" w:rsidR="00997CC0" w:rsidRPr="00997CC0" w:rsidRDefault="00997CC0" w:rsidP="002C1F3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Ask for aggregated data (one data set of pre-adjusted/scrubbed data and one data set of post-adjusted/scrubbed data) that allows the regulator to focus on the univariate distributions and compare raw data to adjusted/binned/transformed/etc. data.</w:t>
            </w:r>
          </w:p>
        </w:tc>
        <w:tc>
          <w:tcPr>
            <w:tcW w:w="997" w:type="dxa"/>
            <w:tcBorders>
              <w:top w:val="nil"/>
              <w:left w:val="nil"/>
              <w:bottom w:val="single" w:sz="4" w:space="0" w:color="auto"/>
              <w:right w:val="single" w:sz="4" w:space="0" w:color="auto"/>
            </w:tcBorders>
            <w:shd w:val="clear" w:color="000000" w:fill="auto"/>
            <w:vAlign w:val="center"/>
            <w:hideMark/>
          </w:tcPr>
          <w:p w14:paraId="744962A2" w14:textId="77777777" w:rsidR="00997CC0" w:rsidRPr="00997CC0" w:rsidRDefault="00997CC0" w:rsidP="00997CC0">
            <w:pPr>
              <w:spacing w:after="0" w:line="240" w:lineRule="auto"/>
              <w:jc w:val="center"/>
              <w:rPr>
                <w:rFonts w:ascii="Times New Roman" w:eastAsia="Times New Roman" w:hAnsi="Times New Roman" w:cs="Times New Roman"/>
                <w:sz w:val="18"/>
                <w:szCs w:val="18"/>
              </w:rPr>
            </w:pPr>
            <w:r w:rsidRPr="00997CC0">
              <w:rPr>
                <w:rFonts w:ascii="Times New Roman" w:eastAsia="Times New Roman" w:hAnsi="Times New Roman" w:cs="Times New Roman"/>
                <w:sz w:val="18"/>
                <w:szCs w:val="18"/>
              </w:rPr>
              <w:t>3</w:t>
            </w:r>
          </w:p>
        </w:tc>
        <w:tc>
          <w:tcPr>
            <w:tcW w:w="4583" w:type="dxa"/>
            <w:tcBorders>
              <w:top w:val="nil"/>
              <w:left w:val="nil"/>
              <w:bottom w:val="single" w:sz="4" w:space="0" w:color="auto"/>
              <w:right w:val="single" w:sz="4" w:space="0" w:color="auto"/>
            </w:tcBorders>
            <w:shd w:val="clear" w:color="000000" w:fill="auto"/>
            <w:vAlign w:val="center"/>
            <w:hideMark/>
          </w:tcPr>
          <w:p w14:paraId="3E59DC42" w14:textId="0585AE6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This is most relevant for variables that have been "scrubbed" or adjusted.</w:t>
            </w:r>
            <w:r w:rsidRPr="00997CC0">
              <w:rPr>
                <w:rFonts w:ascii="Times New Roman" w:eastAsia="Times New Roman" w:hAnsi="Times New Roman" w:cs="Times New Roman"/>
                <w:sz w:val="20"/>
                <w:szCs w:val="20"/>
              </w:rPr>
              <w:br/>
            </w:r>
            <w:r w:rsidRPr="00997CC0">
              <w:rPr>
                <w:rFonts w:ascii="Times New Roman" w:eastAsia="Times New Roman" w:hAnsi="Times New Roman" w:cs="Times New Roman"/>
                <w:sz w:val="20"/>
                <w:szCs w:val="20"/>
              </w:rPr>
              <w:br/>
              <w:t xml:space="preserve">Though most regulators may never ask for aggregated data and do not plan to rebuild any models, a regulator may ask for this aggregated data or subsets of it. </w:t>
            </w:r>
            <w:r w:rsidRPr="00997CC0">
              <w:rPr>
                <w:rFonts w:ascii="Times New Roman" w:eastAsia="Times New Roman" w:hAnsi="Times New Roman" w:cs="Times New Roman"/>
                <w:sz w:val="20"/>
                <w:szCs w:val="20"/>
              </w:rPr>
              <w:br/>
            </w:r>
            <w:r w:rsidRPr="00997CC0">
              <w:rPr>
                <w:rFonts w:ascii="Times New Roman" w:eastAsia="Times New Roman" w:hAnsi="Times New Roman" w:cs="Times New Roman"/>
                <w:sz w:val="20"/>
                <w:szCs w:val="20"/>
              </w:rPr>
              <w:br/>
              <w:t xml:space="preserve">It would be useful to the regulator if the percentage of exposures and premium for missing information from the model data by category </w:t>
            </w:r>
            <w:r w:rsidR="00981E2C" w:rsidRPr="00997CC0">
              <w:rPr>
                <w:rFonts w:ascii="Times New Roman" w:eastAsia="Times New Roman" w:hAnsi="Times New Roman" w:cs="Times New Roman"/>
                <w:sz w:val="20"/>
                <w:szCs w:val="20"/>
              </w:rPr>
              <w:t>were</w:t>
            </w:r>
            <w:r w:rsidRPr="00997CC0">
              <w:rPr>
                <w:rFonts w:ascii="Times New Roman" w:eastAsia="Times New Roman" w:hAnsi="Times New Roman" w:cs="Times New Roman"/>
                <w:sz w:val="20"/>
                <w:szCs w:val="20"/>
              </w:rPr>
              <w:t xml:space="preserve"> provided. This data can be displayed in either graphical or tabular formats.</w:t>
            </w:r>
          </w:p>
        </w:tc>
      </w:tr>
      <w:tr w:rsidR="00402FDF" w:rsidRPr="00937B31" w14:paraId="60F19BA2" w14:textId="77777777" w:rsidTr="00937B31">
        <w:trPr>
          <w:trHeight w:val="728"/>
        </w:trPr>
        <w:tc>
          <w:tcPr>
            <w:tcW w:w="727" w:type="dxa"/>
            <w:tcBorders>
              <w:top w:val="nil"/>
              <w:left w:val="single" w:sz="4" w:space="0" w:color="auto"/>
              <w:bottom w:val="single" w:sz="4" w:space="0" w:color="auto"/>
              <w:right w:val="single" w:sz="4" w:space="0" w:color="auto"/>
            </w:tcBorders>
            <w:shd w:val="clear" w:color="000000" w:fill="auto"/>
            <w:vAlign w:val="center"/>
            <w:hideMark/>
          </w:tcPr>
          <w:p w14:paraId="4367FDBC" w14:textId="050EEA5B" w:rsidR="00997CC0" w:rsidRPr="00997CC0" w:rsidRDefault="00997CC0" w:rsidP="00CD2E15">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A.3.</w:t>
            </w:r>
            <w:r w:rsidR="00CD2E15">
              <w:rPr>
                <w:rFonts w:ascii="Times New Roman" w:eastAsia="Times New Roman" w:hAnsi="Times New Roman" w:cs="Times New Roman"/>
                <w:sz w:val="20"/>
                <w:szCs w:val="20"/>
              </w:rPr>
              <w:t>d</w:t>
            </w:r>
          </w:p>
        </w:tc>
        <w:tc>
          <w:tcPr>
            <w:tcW w:w="4493" w:type="dxa"/>
            <w:tcBorders>
              <w:top w:val="nil"/>
              <w:left w:val="nil"/>
              <w:bottom w:val="single" w:sz="4" w:space="0" w:color="auto"/>
              <w:right w:val="single" w:sz="4" w:space="0" w:color="auto"/>
            </w:tcBorders>
            <w:shd w:val="clear" w:color="000000" w:fill="auto"/>
            <w:vAlign w:val="center"/>
            <w:hideMark/>
          </w:tcPr>
          <w:p w14:paraId="077DEDCA" w14:textId="22AC9EF8" w:rsidR="00997CC0" w:rsidRPr="00997CC0" w:rsidRDefault="00997CC0" w:rsidP="00981E2C">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Determine how missing data </w:t>
            </w:r>
            <w:proofErr w:type="gramStart"/>
            <w:r w:rsidRPr="00997CC0">
              <w:rPr>
                <w:rFonts w:ascii="Times New Roman" w:eastAsia="Times New Roman" w:hAnsi="Times New Roman" w:cs="Times New Roman"/>
                <w:sz w:val="20"/>
                <w:szCs w:val="20"/>
              </w:rPr>
              <w:t>was handled</w:t>
            </w:r>
            <w:proofErr w:type="gramEnd"/>
            <w:r w:rsidR="00981E2C">
              <w:rPr>
                <w:rFonts w:ascii="Times New Roman" w:eastAsia="Times New Roman" w:hAnsi="Times New Roman" w:cs="Times New Roman"/>
                <w:sz w:val="20"/>
                <w:szCs w:val="20"/>
              </w:rPr>
              <w:t>.</w:t>
            </w:r>
          </w:p>
        </w:tc>
        <w:tc>
          <w:tcPr>
            <w:tcW w:w="997" w:type="dxa"/>
            <w:tcBorders>
              <w:top w:val="nil"/>
              <w:left w:val="nil"/>
              <w:bottom w:val="single" w:sz="4" w:space="0" w:color="auto"/>
              <w:right w:val="single" w:sz="4" w:space="0" w:color="auto"/>
            </w:tcBorders>
            <w:shd w:val="clear" w:color="000000" w:fill="auto"/>
            <w:vAlign w:val="center"/>
            <w:hideMark/>
          </w:tcPr>
          <w:p w14:paraId="051825B8" w14:textId="77777777" w:rsidR="00997CC0" w:rsidRPr="00997CC0" w:rsidRDefault="00997CC0" w:rsidP="00997CC0">
            <w:pPr>
              <w:spacing w:after="0" w:line="240" w:lineRule="auto"/>
              <w:jc w:val="center"/>
              <w:rPr>
                <w:rFonts w:ascii="Times New Roman" w:eastAsia="Times New Roman" w:hAnsi="Times New Roman" w:cs="Times New Roman"/>
                <w:sz w:val="18"/>
                <w:szCs w:val="18"/>
              </w:rPr>
            </w:pPr>
            <w:r w:rsidRPr="00997CC0">
              <w:rPr>
                <w:rFonts w:ascii="Times New Roman" w:eastAsia="Times New Roman" w:hAnsi="Times New Roman" w:cs="Times New Roman"/>
                <w:sz w:val="18"/>
                <w:szCs w:val="18"/>
              </w:rPr>
              <w:t>1</w:t>
            </w:r>
          </w:p>
        </w:tc>
        <w:tc>
          <w:tcPr>
            <w:tcW w:w="4583" w:type="dxa"/>
            <w:tcBorders>
              <w:top w:val="nil"/>
              <w:left w:val="nil"/>
              <w:bottom w:val="single" w:sz="4" w:space="0" w:color="auto"/>
              <w:right w:val="single" w:sz="4" w:space="0" w:color="auto"/>
            </w:tcBorders>
            <w:shd w:val="clear" w:color="000000" w:fill="auto"/>
            <w:vAlign w:val="center"/>
            <w:hideMark/>
          </w:tcPr>
          <w:p w14:paraId="0A6BB453"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w:t>
            </w:r>
          </w:p>
        </w:tc>
      </w:tr>
      <w:tr w:rsidR="00402FDF" w:rsidRPr="00937B31" w14:paraId="06D44D98" w14:textId="77777777" w:rsidTr="00937B31">
        <w:trPr>
          <w:trHeight w:val="962"/>
        </w:trPr>
        <w:tc>
          <w:tcPr>
            <w:tcW w:w="727" w:type="dxa"/>
            <w:tcBorders>
              <w:top w:val="nil"/>
              <w:left w:val="single" w:sz="4" w:space="0" w:color="auto"/>
              <w:bottom w:val="single" w:sz="4" w:space="0" w:color="auto"/>
              <w:right w:val="single" w:sz="4" w:space="0" w:color="auto"/>
            </w:tcBorders>
            <w:shd w:val="clear" w:color="000000" w:fill="auto"/>
            <w:vAlign w:val="center"/>
            <w:hideMark/>
          </w:tcPr>
          <w:p w14:paraId="6473DCC3" w14:textId="6D342138" w:rsidR="00997CC0" w:rsidRPr="00997CC0" w:rsidRDefault="00997CC0" w:rsidP="00CD2E15">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A.3.</w:t>
            </w:r>
            <w:r w:rsidR="00CD2E15">
              <w:rPr>
                <w:rFonts w:ascii="Times New Roman" w:eastAsia="Times New Roman" w:hAnsi="Times New Roman" w:cs="Times New Roman"/>
                <w:sz w:val="20"/>
                <w:szCs w:val="20"/>
              </w:rPr>
              <w:t>e</w:t>
            </w:r>
          </w:p>
        </w:tc>
        <w:tc>
          <w:tcPr>
            <w:tcW w:w="4493" w:type="dxa"/>
            <w:tcBorders>
              <w:top w:val="nil"/>
              <w:left w:val="nil"/>
              <w:bottom w:val="single" w:sz="4" w:space="0" w:color="auto"/>
              <w:right w:val="single" w:sz="4" w:space="0" w:color="auto"/>
            </w:tcBorders>
            <w:shd w:val="clear" w:color="000000" w:fill="auto"/>
            <w:vAlign w:val="center"/>
            <w:hideMark/>
          </w:tcPr>
          <w:p w14:paraId="4BE91981" w14:textId="70D4467C"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If duplicate records exist, </w:t>
            </w:r>
            <w:r w:rsidR="00981E2C">
              <w:rPr>
                <w:rFonts w:ascii="Times New Roman" w:eastAsia="Times New Roman" w:hAnsi="Times New Roman" w:cs="Times New Roman"/>
                <w:sz w:val="20"/>
                <w:szCs w:val="20"/>
              </w:rPr>
              <w:t xml:space="preserve">determine how they </w:t>
            </w:r>
            <w:proofErr w:type="gramStart"/>
            <w:r w:rsidR="00981E2C">
              <w:rPr>
                <w:rFonts w:ascii="Times New Roman" w:eastAsia="Times New Roman" w:hAnsi="Times New Roman" w:cs="Times New Roman"/>
                <w:sz w:val="20"/>
                <w:szCs w:val="20"/>
              </w:rPr>
              <w:t>were handled</w:t>
            </w:r>
            <w:proofErr w:type="gramEnd"/>
            <w:r w:rsidR="00981E2C">
              <w:rPr>
                <w:rFonts w:ascii="Times New Roman" w:eastAsia="Times New Roman" w:hAnsi="Times New Roman" w:cs="Times New Roman"/>
                <w:sz w:val="20"/>
                <w:szCs w:val="20"/>
              </w:rPr>
              <w:t>.</w:t>
            </w:r>
          </w:p>
        </w:tc>
        <w:tc>
          <w:tcPr>
            <w:tcW w:w="997" w:type="dxa"/>
            <w:tcBorders>
              <w:top w:val="nil"/>
              <w:left w:val="nil"/>
              <w:bottom w:val="single" w:sz="4" w:space="0" w:color="auto"/>
              <w:right w:val="single" w:sz="4" w:space="0" w:color="auto"/>
            </w:tcBorders>
            <w:shd w:val="clear" w:color="000000" w:fill="auto"/>
            <w:vAlign w:val="center"/>
            <w:hideMark/>
          </w:tcPr>
          <w:p w14:paraId="48843C95" w14:textId="77777777" w:rsidR="00997CC0" w:rsidRPr="00997CC0" w:rsidRDefault="00997CC0" w:rsidP="00997CC0">
            <w:pPr>
              <w:spacing w:after="0" w:line="240" w:lineRule="auto"/>
              <w:jc w:val="center"/>
              <w:rPr>
                <w:rFonts w:ascii="Times New Roman" w:eastAsia="Times New Roman" w:hAnsi="Times New Roman" w:cs="Times New Roman"/>
                <w:sz w:val="18"/>
                <w:szCs w:val="18"/>
              </w:rPr>
            </w:pPr>
            <w:r w:rsidRPr="00997CC0">
              <w:rPr>
                <w:rFonts w:ascii="Times New Roman" w:eastAsia="Times New Roman" w:hAnsi="Times New Roman" w:cs="Times New Roman"/>
                <w:sz w:val="18"/>
                <w:szCs w:val="18"/>
              </w:rPr>
              <w:t>1</w:t>
            </w:r>
          </w:p>
        </w:tc>
        <w:tc>
          <w:tcPr>
            <w:tcW w:w="4583" w:type="dxa"/>
            <w:tcBorders>
              <w:top w:val="nil"/>
              <w:left w:val="nil"/>
              <w:bottom w:val="single" w:sz="4" w:space="0" w:color="auto"/>
              <w:right w:val="single" w:sz="4" w:space="0" w:color="auto"/>
            </w:tcBorders>
            <w:shd w:val="clear" w:color="000000" w:fill="auto"/>
            <w:vAlign w:val="center"/>
            <w:hideMark/>
          </w:tcPr>
          <w:p w14:paraId="14150E5A"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w:t>
            </w:r>
          </w:p>
        </w:tc>
      </w:tr>
      <w:tr w:rsidR="00402FDF" w:rsidRPr="00937B31" w14:paraId="70DD1BA0" w14:textId="77777777" w:rsidTr="00937B31">
        <w:trPr>
          <w:trHeight w:val="1485"/>
        </w:trPr>
        <w:tc>
          <w:tcPr>
            <w:tcW w:w="727" w:type="dxa"/>
            <w:tcBorders>
              <w:top w:val="nil"/>
              <w:left w:val="single" w:sz="4" w:space="0" w:color="auto"/>
              <w:bottom w:val="single" w:sz="4" w:space="0" w:color="auto"/>
              <w:right w:val="single" w:sz="4" w:space="0" w:color="auto"/>
            </w:tcBorders>
            <w:shd w:val="clear" w:color="000000" w:fill="auto"/>
            <w:vAlign w:val="center"/>
            <w:hideMark/>
          </w:tcPr>
          <w:p w14:paraId="19B16ADB" w14:textId="522DACE8" w:rsidR="00997CC0" w:rsidRPr="00997CC0" w:rsidRDefault="00997CC0" w:rsidP="00CD2E15">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A.3.</w:t>
            </w:r>
            <w:r w:rsidR="00CD2E15">
              <w:rPr>
                <w:rFonts w:ascii="Times New Roman" w:eastAsia="Times New Roman" w:hAnsi="Times New Roman" w:cs="Times New Roman"/>
                <w:sz w:val="20"/>
                <w:szCs w:val="20"/>
              </w:rPr>
              <w:t>f</w:t>
            </w:r>
          </w:p>
        </w:tc>
        <w:tc>
          <w:tcPr>
            <w:tcW w:w="4493" w:type="dxa"/>
            <w:tcBorders>
              <w:top w:val="nil"/>
              <w:left w:val="nil"/>
              <w:bottom w:val="single" w:sz="4" w:space="0" w:color="auto"/>
              <w:right w:val="single" w:sz="4" w:space="0" w:color="auto"/>
            </w:tcBorders>
            <w:shd w:val="clear" w:color="000000" w:fill="auto"/>
            <w:vAlign w:val="center"/>
            <w:hideMark/>
          </w:tcPr>
          <w:p w14:paraId="465D1499" w14:textId="4CCA452A" w:rsidR="00997CC0" w:rsidRPr="00997CC0" w:rsidRDefault="00997CC0" w:rsidP="00981E2C">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Determine </w:t>
            </w:r>
            <w:proofErr w:type="gramStart"/>
            <w:r w:rsidRPr="00997CC0">
              <w:rPr>
                <w:rFonts w:ascii="Times New Roman" w:eastAsia="Times New Roman" w:hAnsi="Times New Roman" w:cs="Times New Roman"/>
                <w:sz w:val="20"/>
                <w:szCs w:val="20"/>
              </w:rPr>
              <w:t>if there were any data outliers identified and subsequently adjusted during the scrubbing process</w:t>
            </w:r>
            <w:proofErr w:type="gramEnd"/>
            <w:r w:rsidR="00981E2C">
              <w:rPr>
                <w:rFonts w:ascii="Times New Roman" w:eastAsia="Times New Roman" w:hAnsi="Times New Roman" w:cs="Times New Roman"/>
                <w:sz w:val="20"/>
                <w:szCs w:val="20"/>
              </w:rPr>
              <w:t>.</w:t>
            </w:r>
            <w:r w:rsidRPr="00997CC0">
              <w:rPr>
                <w:rFonts w:ascii="Times New Roman" w:eastAsia="Times New Roman" w:hAnsi="Times New Roman" w:cs="Times New Roman"/>
                <w:sz w:val="20"/>
                <w:szCs w:val="20"/>
              </w:rPr>
              <w:t xml:space="preserve"> Get a list (with description) of the outliers and determine what adjustments were made to these outliers.</w:t>
            </w:r>
          </w:p>
        </w:tc>
        <w:tc>
          <w:tcPr>
            <w:tcW w:w="997" w:type="dxa"/>
            <w:tcBorders>
              <w:top w:val="nil"/>
              <w:left w:val="nil"/>
              <w:bottom w:val="single" w:sz="4" w:space="0" w:color="auto"/>
              <w:right w:val="single" w:sz="4" w:space="0" w:color="auto"/>
            </w:tcBorders>
            <w:shd w:val="clear" w:color="000000" w:fill="auto"/>
            <w:vAlign w:val="center"/>
            <w:hideMark/>
          </w:tcPr>
          <w:p w14:paraId="7BEBFE88" w14:textId="77777777" w:rsidR="00997CC0" w:rsidRPr="00997CC0" w:rsidRDefault="00997CC0" w:rsidP="00997CC0">
            <w:pPr>
              <w:spacing w:after="0" w:line="240" w:lineRule="auto"/>
              <w:jc w:val="center"/>
              <w:rPr>
                <w:rFonts w:ascii="Times New Roman" w:eastAsia="Times New Roman" w:hAnsi="Times New Roman" w:cs="Times New Roman"/>
                <w:sz w:val="18"/>
                <w:szCs w:val="18"/>
              </w:rPr>
            </w:pPr>
            <w:r w:rsidRPr="00997CC0">
              <w:rPr>
                <w:rFonts w:ascii="Times New Roman" w:eastAsia="Times New Roman" w:hAnsi="Times New Roman" w:cs="Times New Roman"/>
                <w:sz w:val="18"/>
                <w:szCs w:val="18"/>
              </w:rPr>
              <w:t>2</w:t>
            </w:r>
          </w:p>
        </w:tc>
        <w:tc>
          <w:tcPr>
            <w:tcW w:w="4583" w:type="dxa"/>
            <w:tcBorders>
              <w:top w:val="nil"/>
              <w:left w:val="nil"/>
              <w:bottom w:val="single" w:sz="4" w:space="0" w:color="auto"/>
              <w:right w:val="single" w:sz="4" w:space="0" w:color="auto"/>
            </w:tcBorders>
            <w:shd w:val="clear" w:color="000000" w:fill="auto"/>
            <w:vAlign w:val="center"/>
            <w:hideMark/>
          </w:tcPr>
          <w:p w14:paraId="27909627"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w:t>
            </w:r>
          </w:p>
        </w:tc>
      </w:tr>
      <w:tr w:rsidR="00402FDF" w:rsidRPr="00937B31" w14:paraId="5B8699D7" w14:textId="77777777" w:rsidTr="00937B31">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000000" w:fill="auto"/>
            <w:vAlign w:val="center"/>
            <w:hideMark/>
          </w:tcPr>
          <w:p w14:paraId="54264735" w14:textId="63C81837" w:rsidR="00997CC0" w:rsidRPr="00997CC0" w:rsidRDefault="00997CC0" w:rsidP="00997CC0">
            <w:pPr>
              <w:spacing w:after="0" w:line="240" w:lineRule="auto"/>
              <w:jc w:val="both"/>
              <w:rPr>
                <w:rFonts w:ascii="Times New Roman" w:eastAsia="Times New Roman" w:hAnsi="Times New Roman" w:cs="Times New Roman"/>
                <w:bCs/>
              </w:rPr>
            </w:pPr>
            <w:r w:rsidRPr="00997CC0">
              <w:rPr>
                <w:rFonts w:ascii="Times New Roman" w:eastAsia="Times New Roman" w:hAnsi="Times New Roman" w:cs="Times New Roman"/>
                <w:bCs/>
              </w:rPr>
              <w:t>4.  Data Organization</w:t>
            </w:r>
          </w:p>
        </w:tc>
      </w:tr>
      <w:tr w:rsidR="00402FDF" w:rsidRPr="00937B31" w14:paraId="2F779A8C" w14:textId="77777777" w:rsidTr="00937B31">
        <w:trPr>
          <w:trHeight w:val="1727"/>
        </w:trPr>
        <w:tc>
          <w:tcPr>
            <w:tcW w:w="727" w:type="dxa"/>
            <w:tcBorders>
              <w:top w:val="nil"/>
              <w:left w:val="single" w:sz="4" w:space="0" w:color="auto"/>
              <w:bottom w:val="single" w:sz="4" w:space="0" w:color="auto"/>
              <w:right w:val="single" w:sz="4" w:space="0" w:color="auto"/>
            </w:tcBorders>
            <w:shd w:val="clear" w:color="000000" w:fill="auto"/>
            <w:vAlign w:val="center"/>
            <w:hideMark/>
          </w:tcPr>
          <w:p w14:paraId="55C8A1EC"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A.4.a</w:t>
            </w:r>
          </w:p>
        </w:tc>
        <w:tc>
          <w:tcPr>
            <w:tcW w:w="4493" w:type="dxa"/>
            <w:tcBorders>
              <w:top w:val="nil"/>
              <w:left w:val="nil"/>
              <w:bottom w:val="single" w:sz="4" w:space="0" w:color="auto"/>
              <w:right w:val="single" w:sz="4" w:space="0" w:color="auto"/>
            </w:tcBorders>
            <w:shd w:val="clear" w:color="000000" w:fill="auto"/>
            <w:vAlign w:val="center"/>
            <w:hideMark/>
          </w:tcPr>
          <w:p w14:paraId="0CF8CC41"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Obtain documentation on the methods used to compile and organize data, including procedures to merge data from different sources and a description of any preliminary analyses, data checks, and logical tests performed on the data and the results of those tests.</w:t>
            </w:r>
          </w:p>
        </w:tc>
        <w:tc>
          <w:tcPr>
            <w:tcW w:w="997" w:type="dxa"/>
            <w:tcBorders>
              <w:top w:val="nil"/>
              <w:left w:val="nil"/>
              <w:bottom w:val="single" w:sz="4" w:space="0" w:color="auto"/>
              <w:right w:val="single" w:sz="4" w:space="0" w:color="auto"/>
            </w:tcBorders>
            <w:shd w:val="clear" w:color="000000" w:fill="auto"/>
            <w:vAlign w:val="center"/>
            <w:hideMark/>
          </w:tcPr>
          <w:p w14:paraId="3FC09435" w14:textId="77777777" w:rsidR="00997CC0" w:rsidRPr="00997CC0" w:rsidRDefault="00997CC0" w:rsidP="00997CC0">
            <w:pPr>
              <w:spacing w:after="0" w:line="240" w:lineRule="auto"/>
              <w:jc w:val="center"/>
              <w:rPr>
                <w:rFonts w:ascii="Times New Roman" w:eastAsia="Times New Roman" w:hAnsi="Times New Roman" w:cs="Times New Roman"/>
                <w:sz w:val="18"/>
                <w:szCs w:val="18"/>
              </w:rPr>
            </w:pPr>
            <w:r w:rsidRPr="00997CC0">
              <w:rPr>
                <w:rFonts w:ascii="Times New Roman" w:eastAsia="Times New Roman" w:hAnsi="Times New Roman" w:cs="Times New Roman"/>
                <w:sz w:val="18"/>
                <w:szCs w:val="18"/>
              </w:rPr>
              <w:t>2</w:t>
            </w:r>
          </w:p>
        </w:tc>
        <w:tc>
          <w:tcPr>
            <w:tcW w:w="4583" w:type="dxa"/>
            <w:tcBorders>
              <w:top w:val="nil"/>
              <w:left w:val="nil"/>
              <w:bottom w:val="single" w:sz="4" w:space="0" w:color="auto"/>
              <w:right w:val="single" w:sz="4" w:space="0" w:color="auto"/>
            </w:tcBorders>
            <w:shd w:val="clear" w:color="000000" w:fill="auto"/>
            <w:vAlign w:val="center"/>
            <w:hideMark/>
          </w:tcPr>
          <w:p w14:paraId="5A0290BD"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This should explain how data from separate sources was merged.</w:t>
            </w:r>
          </w:p>
        </w:tc>
      </w:tr>
      <w:tr w:rsidR="00402FDF" w:rsidRPr="00937B31" w14:paraId="1599E4DC" w14:textId="77777777" w:rsidTr="00937B31">
        <w:trPr>
          <w:trHeight w:val="1808"/>
        </w:trPr>
        <w:tc>
          <w:tcPr>
            <w:tcW w:w="727" w:type="dxa"/>
            <w:tcBorders>
              <w:top w:val="nil"/>
              <w:left w:val="single" w:sz="4" w:space="0" w:color="auto"/>
              <w:bottom w:val="single" w:sz="4" w:space="0" w:color="auto"/>
              <w:right w:val="single" w:sz="4" w:space="0" w:color="auto"/>
            </w:tcBorders>
            <w:shd w:val="clear" w:color="000000" w:fill="auto"/>
            <w:vAlign w:val="center"/>
            <w:hideMark/>
          </w:tcPr>
          <w:p w14:paraId="1A70B851"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A.4.b</w:t>
            </w:r>
          </w:p>
        </w:tc>
        <w:tc>
          <w:tcPr>
            <w:tcW w:w="4493" w:type="dxa"/>
            <w:tcBorders>
              <w:top w:val="nil"/>
              <w:left w:val="nil"/>
              <w:bottom w:val="single" w:sz="4" w:space="0" w:color="auto"/>
              <w:right w:val="single" w:sz="4" w:space="0" w:color="auto"/>
            </w:tcBorders>
            <w:shd w:val="clear" w:color="000000" w:fill="auto"/>
            <w:vAlign w:val="center"/>
            <w:hideMark/>
          </w:tcPr>
          <w:p w14:paraId="715BAB87" w14:textId="5192B346" w:rsidR="00997CC0" w:rsidRPr="00997CC0" w:rsidRDefault="00997CC0" w:rsidP="002C1F3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Obtain documentation on the process for reviewing the appropriateness, reasonableness, consistency and comprehensiveness of the data, including a discussion of the intuitive relationship the data has to the predicted variable.</w:t>
            </w:r>
          </w:p>
        </w:tc>
        <w:tc>
          <w:tcPr>
            <w:tcW w:w="997" w:type="dxa"/>
            <w:tcBorders>
              <w:top w:val="nil"/>
              <w:left w:val="nil"/>
              <w:bottom w:val="single" w:sz="4" w:space="0" w:color="auto"/>
              <w:right w:val="single" w:sz="4" w:space="0" w:color="auto"/>
            </w:tcBorders>
            <w:shd w:val="clear" w:color="000000" w:fill="auto"/>
            <w:vAlign w:val="center"/>
            <w:hideMark/>
          </w:tcPr>
          <w:p w14:paraId="64D04B68" w14:textId="77777777" w:rsidR="00997CC0" w:rsidRPr="00997CC0" w:rsidRDefault="00997CC0" w:rsidP="00997CC0">
            <w:pPr>
              <w:spacing w:after="0" w:line="240" w:lineRule="auto"/>
              <w:jc w:val="center"/>
              <w:rPr>
                <w:rFonts w:ascii="Times New Roman" w:eastAsia="Times New Roman" w:hAnsi="Times New Roman" w:cs="Times New Roman"/>
                <w:sz w:val="18"/>
                <w:szCs w:val="18"/>
              </w:rPr>
            </w:pPr>
            <w:r w:rsidRPr="00997CC0">
              <w:rPr>
                <w:rFonts w:ascii="Times New Roman" w:eastAsia="Times New Roman" w:hAnsi="Times New Roman" w:cs="Times New Roman"/>
                <w:sz w:val="18"/>
                <w:szCs w:val="18"/>
              </w:rPr>
              <w:t>2</w:t>
            </w:r>
          </w:p>
        </w:tc>
        <w:tc>
          <w:tcPr>
            <w:tcW w:w="4583" w:type="dxa"/>
            <w:tcBorders>
              <w:top w:val="nil"/>
              <w:left w:val="nil"/>
              <w:bottom w:val="single" w:sz="4" w:space="0" w:color="auto"/>
              <w:right w:val="single" w:sz="4" w:space="0" w:color="auto"/>
            </w:tcBorders>
            <w:shd w:val="clear" w:color="000000" w:fill="auto"/>
            <w:vAlign w:val="center"/>
            <w:hideMark/>
          </w:tcPr>
          <w:p w14:paraId="25E9CE3E" w14:textId="77B5E73D" w:rsidR="00997CC0" w:rsidRPr="00997CC0" w:rsidRDefault="00997CC0" w:rsidP="002C1F30">
            <w:pPr>
              <w:spacing w:after="0" w:line="240" w:lineRule="auto"/>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An example is when by-peril or by-coverage modeling is </w:t>
            </w:r>
            <w:r w:rsidR="00981E2C" w:rsidRPr="00997CC0">
              <w:rPr>
                <w:rFonts w:ascii="Times New Roman" w:eastAsia="Times New Roman" w:hAnsi="Times New Roman" w:cs="Times New Roman"/>
                <w:sz w:val="20"/>
                <w:szCs w:val="20"/>
              </w:rPr>
              <w:t>performed;</w:t>
            </w:r>
            <w:r w:rsidRPr="00997CC0">
              <w:rPr>
                <w:rFonts w:ascii="Times New Roman" w:eastAsia="Times New Roman" w:hAnsi="Times New Roman" w:cs="Times New Roman"/>
                <w:sz w:val="20"/>
                <w:szCs w:val="20"/>
              </w:rPr>
              <w:t xml:space="preserve"> the documentation should be for each peril/coverage and make intuitive sense. For example, if “murder” or “theft” data are used to predict the wind peril, provide support and an intuitive explanation of their use.</w:t>
            </w:r>
          </w:p>
        </w:tc>
      </w:tr>
      <w:tr w:rsidR="00402FDF" w:rsidRPr="00937B31" w14:paraId="4B2F96A7" w14:textId="77777777" w:rsidTr="00937B31">
        <w:trPr>
          <w:trHeight w:val="2492"/>
        </w:trPr>
        <w:tc>
          <w:tcPr>
            <w:tcW w:w="727" w:type="dxa"/>
            <w:tcBorders>
              <w:top w:val="nil"/>
              <w:left w:val="single" w:sz="4" w:space="0" w:color="auto"/>
              <w:bottom w:val="single" w:sz="4" w:space="0" w:color="auto"/>
              <w:right w:val="single" w:sz="4" w:space="0" w:color="auto"/>
            </w:tcBorders>
            <w:shd w:val="clear" w:color="000000" w:fill="auto"/>
            <w:vAlign w:val="center"/>
            <w:hideMark/>
          </w:tcPr>
          <w:p w14:paraId="3DFEDCBC"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A.4.c</w:t>
            </w:r>
          </w:p>
        </w:tc>
        <w:tc>
          <w:tcPr>
            <w:tcW w:w="4493" w:type="dxa"/>
            <w:tcBorders>
              <w:top w:val="nil"/>
              <w:left w:val="nil"/>
              <w:bottom w:val="single" w:sz="4" w:space="0" w:color="auto"/>
              <w:right w:val="single" w:sz="4" w:space="0" w:color="auto"/>
            </w:tcBorders>
            <w:shd w:val="clear" w:color="000000" w:fill="auto"/>
            <w:vAlign w:val="center"/>
            <w:hideMark/>
          </w:tcPr>
          <w:p w14:paraId="7566EF5C" w14:textId="260D2DBB"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Identify material findings the company had during their data review and obtain an explanation of any potential material limitations, defects, bias or unresolved concerns found or believed to exist in the data. If </w:t>
            </w:r>
            <w:r w:rsidR="00981E2C" w:rsidRPr="00997CC0">
              <w:rPr>
                <w:rFonts w:ascii="Times New Roman" w:eastAsia="Times New Roman" w:hAnsi="Times New Roman" w:cs="Times New Roman"/>
                <w:sz w:val="20"/>
                <w:szCs w:val="20"/>
              </w:rPr>
              <w:t>issues or limitations in the data influenced modeling analysis and/or results</w:t>
            </w:r>
            <w:r w:rsidRPr="00997CC0">
              <w:rPr>
                <w:rFonts w:ascii="Times New Roman" w:eastAsia="Times New Roman" w:hAnsi="Times New Roman" w:cs="Times New Roman"/>
                <w:sz w:val="20"/>
                <w:szCs w:val="20"/>
              </w:rPr>
              <w:t>, obtain a description of those concerns and an explanation how modeling analysis was adjusted and/or results were impacted.</w:t>
            </w:r>
          </w:p>
        </w:tc>
        <w:tc>
          <w:tcPr>
            <w:tcW w:w="997" w:type="dxa"/>
            <w:tcBorders>
              <w:top w:val="nil"/>
              <w:left w:val="nil"/>
              <w:bottom w:val="single" w:sz="4" w:space="0" w:color="auto"/>
              <w:right w:val="single" w:sz="4" w:space="0" w:color="auto"/>
            </w:tcBorders>
            <w:shd w:val="clear" w:color="000000" w:fill="auto"/>
            <w:vAlign w:val="center"/>
            <w:hideMark/>
          </w:tcPr>
          <w:p w14:paraId="08F99F2D" w14:textId="77777777" w:rsidR="00997CC0" w:rsidRPr="00997CC0" w:rsidRDefault="00997CC0" w:rsidP="00997CC0">
            <w:pPr>
              <w:spacing w:after="0" w:line="240" w:lineRule="auto"/>
              <w:jc w:val="center"/>
              <w:rPr>
                <w:rFonts w:ascii="Times New Roman" w:eastAsia="Times New Roman" w:hAnsi="Times New Roman" w:cs="Times New Roman"/>
                <w:sz w:val="18"/>
                <w:szCs w:val="18"/>
              </w:rPr>
            </w:pPr>
            <w:r w:rsidRPr="00997CC0">
              <w:rPr>
                <w:rFonts w:ascii="Times New Roman" w:eastAsia="Times New Roman" w:hAnsi="Times New Roman" w:cs="Times New Roman"/>
                <w:sz w:val="18"/>
                <w:szCs w:val="18"/>
              </w:rPr>
              <w:t>1</w:t>
            </w:r>
          </w:p>
        </w:tc>
        <w:tc>
          <w:tcPr>
            <w:tcW w:w="4583" w:type="dxa"/>
            <w:tcBorders>
              <w:top w:val="nil"/>
              <w:left w:val="nil"/>
              <w:bottom w:val="single" w:sz="4" w:space="0" w:color="auto"/>
              <w:right w:val="single" w:sz="4" w:space="0" w:color="auto"/>
            </w:tcBorders>
            <w:shd w:val="clear" w:color="000000" w:fill="auto"/>
            <w:vAlign w:val="center"/>
            <w:hideMark/>
          </w:tcPr>
          <w:p w14:paraId="6B5C3379"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w:t>
            </w:r>
          </w:p>
        </w:tc>
      </w:tr>
    </w:tbl>
    <w:p w14:paraId="461E7E7E" w14:textId="77777777" w:rsidR="00846D46" w:rsidRPr="00937B31" w:rsidRDefault="00846D46" w:rsidP="00ED744F">
      <w:pPr>
        <w:jc w:val="both"/>
        <w:rPr>
          <w:rFonts w:ascii="Times New Roman" w:hAnsi="Times New Roman" w:cs="Times New Roman"/>
          <w:sz w:val="20"/>
          <w:szCs w:val="20"/>
        </w:rPr>
      </w:pPr>
    </w:p>
    <w:p w14:paraId="1A0EAA72" w14:textId="77777777" w:rsidR="00873B49" w:rsidRPr="00937B31" w:rsidRDefault="00873B49">
      <w:pPr>
        <w:rPr>
          <w:rFonts w:ascii="Times New Roman" w:eastAsiaTheme="majorEastAsia" w:hAnsi="Times New Roman" w:cs="Times New Roman"/>
          <w:sz w:val="20"/>
          <w:szCs w:val="26"/>
          <w:u w:val="single"/>
        </w:rPr>
      </w:pPr>
      <w:r w:rsidRPr="00937B31">
        <w:rPr>
          <w:rFonts w:ascii="Times New Roman" w:hAnsi="Times New Roman" w:cs="Times New Roman"/>
        </w:rPr>
        <w:br w:type="page"/>
      </w:r>
    </w:p>
    <w:p w14:paraId="1AE7928D" w14:textId="0C69E250" w:rsidR="00F362CA" w:rsidRDefault="001E14F9" w:rsidP="001F35DD">
      <w:pPr>
        <w:pStyle w:val="Heading2"/>
        <w:tabs>
          <w:tab w:val="clear" w:pos="360"/>
          <w:tab w:val="left" w:pos="0"/>
        </w:tabs>
        <w:ind w:left="-360"/>
        <w:jc w:val="both"/>
        <w:rPr>
          <w:rFonts w:cs="Times New Roman"/>
          <w:b/>
          <w:sz w:val="22"/>
          <w:szCs w:val="22"/>
        </w:rPr>
      </w:pPr>
      <w:r w:rsidRPr="00937B31">
        <w:rPr>
          <w:rFonts w:cs="Times New Roman"/>
          <w:b/>
          <w:sz w:val="22"/>
          <w:szCs w:val="22"/>
        </w:rPr>
        <w:t xml:space="preserve">Building </w:t>
      </w:r>
      <w:r w:rsidR="00F362CA" w:rsidRPr="00937B31">
        <w:rPr>
          <w:rFonts w:cs="Times New Roman"/>
          <w:b/>
          <w:sz w:val="22"/>
          <w:szCs w:val="22"/>
        </w:rPr>
        <w:t>the Model</w:t>
      </w:r>
    </w:p>
    <w:p w14:paraId="551BC6F1" w14:textId="77777777" w:rsidR="00937B31" w:rsidRPr="00937B31" w:rsidRDefault="00937B31" w:rsidP="00937B31">
      <w:pPr>
        <w:spacing w:after="0"/>
      </w:pPr>
    </w:p>
    <w:tbl>
      <w:tblPr>
        <w:tblW w:w="10800" w:type="dxa"/>
        <w:tblInd w:w="-365" w:type="dxa"/>
        <w:shd w:val="clear" w:color="000000" w:fill="auto"/>
        <w:tblLook w:val="04A0" w:firstRow="1" w:lastRow="0" w:firstColumn="1" w:lastColumn="0" w:noHBand="0" w:noVBand="1"/>
      </w:tblPr>
      <w:tblGrid>
        <w:gridCol w:w="774"/>
        <w:gridCol w:w="4446"/>
        <w:gridCol w:w="990"/>
        <w:gridCol w:w="4590"/>
      </w:tblGrid>
      <w:tr w:rsidR="00402FDF" w:rsidRPr="00937B31" w14:paraId="279FA3AA" w14:textId="77777777" w:rsidTr="00937B31">
        <w:trPr>
          <w:trHeight w:val="1565"/>
        </w:trPr>
        <w:tc>
          <w:tcPr>
            <w:tcW w:w="774" w:type="dxa"/>
            <w:tcBorders>
              <w:top w:val="single" w:sz="4" w:space="0" w:color="auto"/>
              <w:left w:val="single" w:sz="4" w:space="0" w:color="auto"/>
              <w:bottom w:val="single" w:sz="4" w:space="0" w:color="auto"/>
              <w:right w:val="single" w:sz="4" w:space="0" w:color="auto"/>
            </w:tcBorders>
            <w:shd w:val="clear" w:color="000000" w:fill="auto"/>
            <w:textDirection w:val="btLr"/>
            <w:vAlign w:val="center"/>
            <w:hideMark/>
          </w:tcPr>
          <w:p w14:paraId="52CBAF3E" w14:textId="77777777" w:rsidR="001F35DD" w:rsidRPr="001F35DD" w:rsidRDefault="001F35DD" w:rsidP="001F35DD">
            <w:pPr>
              <w:spacing w:after="0" w:line="240" w:lineRule="auto"/>
              <w:jc w:val="center"/>
              <w:rPr>
                <w:rFonts w:ascii="Times New Roman" w:eastAsia="Times New Roman" w:hAnsi="Times New Roman" w:cs="Times New Roman"/>
                <w:b/>
                <w:bCs/>
                <w:sz w:val="20"/>
                <w:szCs w:val="20"/>
              </w:rPr>
            </w:pPr>
            <w:r w:rsidRPr="001F35DD">
              <w:rPr>
                <w:rFonts w:ascii="Times New Roman" w:eastAsia="Times New Roman" w:hAnsi="Times New Roman" w:cs="Times New Roman"/>
                <w:b/>
                <w:bCs/>
                <w:sz w:val="20"/>
                <w:szCs w:val="20"/>
              </w:rPr>
              <w:t>Section</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14:paraId="6B0EC17A" w14:textId="77777777" w:rsidR="001F35DD" w:rsidRPr="001F35DD" w:rsidRDefault="001F35DD" w:rsidP="001F35DD">
            <w:pPr>
              <w:spacing w:after="0" w:line="240" w:lineRule="auto"/>
              <w:jc w:val="center"/>
              <w:rPr>
                <w:rFonts w:ascii="Times New Roman" w:eastAsia="Times New Roman" w:hAnsi="Times New Roman" w:cs="Times New Roman"/>
                <w:b/>
                <w:bCs/>
                <w:sz w:val="20"/>
                <w:szCs w:val="20"/>
              </w:rPr>
            </w:pPr>
            <w:r w:rsidRPr="001F35DD">
              <w:rPr>
                <w:rFonts w:ascii="Times New Roman" w:eastAsia="Times New Roman" w:hAnsi="Times New Roman" w:cs="Times New Roman"/>
                <w:b/>
                <w:bCs/>
                <w:sz w:val="20"/>
                <w:szCs w:val="20"/>
              </w:rPr>
              <w:t>Information Element</w:t>
            </w:r>
          </w:p>
        </w:tc>
        <w:tc>
          <w:tcPr>
            <w:tcW w:w="990" w:type="dxa"/>
            <w:tcBorders>
              <w:top w:val="single" w:sz="4" w:space="0" w:color="auto"/>
              <w:left w:val="nil"/>
              <w:bottom w:val="single" w:sz="4" w:space="0" w:color="auto"/>
              <w:right w:val="single" w:sz="4" w:space="0" w:color="auto"/>
            </w:tcBorders>
            <w:shd w:val="clear" w:color="000000" w:fill="auto"/>
            <w:textDirection w:val="btLr"/>
            <w:vAlign w:val="center"/>
            <w:hideMark/>
          </w:tcPr>
          <w:p w14:paraId="30214B00" w14:textId="6B9CDE1B" w:rsidR="001F35DD" w:rsidRPr="001F35DD" w:rsidRDefault="001F35DD" w:rsidP="001F35DD">
            <w:pPr>
              <w:spacing w:after="0" w:line="240" w:lineRule="auto"/>
              <w:jc w:val="center"/>
              <w:rPr>
                <w:rFonts w:ascii="Times New Roman" w:eastAsia="Times New Roman" w:hAnsi="Times New Roman" w:cs="Times New Roman"/>
                <w:b/>
                <w:bCs/>
                <w:sz w:val="18"/>
                <w:szCs w:val="18"/>
              </w:rPr>
            </w:pPr>
            <w:r w:rsidRPr="00937B31">
              <w:rPr>
                <w:rFonts w:ascii="Times New Roman" w:eastAsia="Times New Roman" w:hAnsi="Times New Roman" w:cs="Times New Roman"/>
                <w:b/>
                <w:bCs/>
                <w:sz w:val="18"/>
                <w:szCs w:val="18"/>
              </w:rPr>
              <w:t xml:space="preserve">Level of </w:t>
            </w:r>
            <w:r w:rsidRPr="001F35DD">
              <w:rPr>
                <w:rFonts w:ascii="Times New Roman" w:eastAsia="Times New Roman" w:hAnsi="Times New Roman" w:cs="Times New Roman"/>
                <w:b/>
                <w:bCs/>
                <w:sz w:val="18"/>
                <w:szCs w:val="18"/>
              </w:rPr>
              <w:t>Importance to Regulator’s Review</w:t>
            </w:r>
          </w:p>
        </w:tc>
        <w:tc>
          <w:tcPr>
            <w:tcW w:w="4590" w:type="dxa"/>
            <w:tcBorders>
              <w:top w:val="single" w:sz="4" w:space="0" w:color="auto"/>
              <w:left w:val="nil"/>
              <w:bottom w:val="single" w:sz="4" w:space="0" w:color="auto"/>
              <w:right w:val="single" w:sz="4" w:space="0" w:color="auto"/>
            </w:tcBorders>
            <w:shd w:val="clear" w:color="000000" w:fill="auto"/>
            <w:vAlign w:val="center"/>
            <w:hideMark/>
          </w:tcPr>
          <w:p w14:paraId="08470536" w14:textId="77777777" w:rsidR="001F35DD" w:rsidRPr="001F35DD" w:rsidRDefault="001F35DD" w:rsidP="001F35DD">
            <w:pPr>
              <w:spacing w:after="0" w:line="240" w:lineRule="auto"/>
              <w:jc w:val="center"/>
              <w:rPr>
                <w:rFonts w:ascii="Times New Roman" w:eastAsia="Times New Roman" w:hAnsi="Times New Roman" w:cs="Times New Roman"/>
                <w:b/>
                <w:bCs/>
                <w:sz w:val="20"/>
                <w:szCs w:val="20"/>
              </w:rPr>
            </w:pPr>
            <w:r w:rsidRPr="001F35DD">
              <w:rPr>
                <w:rFonts w:ascii="Times New Roman" w:eastAsia="Times New Roman" w:hAnsi="Times New Roman" w:cs="Times New Roman"/>
                <w:b/>
                <w:bCs/>
                <w:sz w:val="20"/>
                <w:szCs w:val="20"/>
              </w:rPr>
              <w:t>Comments</w:t>
            </w:r>
          </w:p>
        </w:tc>
      </w:tr>
      <w:tr w:rsidR="00402FDF" w:rsidRPr="00937B31" w14:paraId="38139AAD" w14:textId="77777777" w:rsidTr="00937B31">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000000" w:fill="auto"/>
            <w:vAlign w:val="center"/>
            <w:hideMark/>
          </w:tcPr>
          <w:p w14:paraId="32566954" w14:textId="77777777" w:rsidR="001F35DD" w:rsidRPr="001F35DD" w:rsidRDefault="001F35DD" w:rsidP="001F35DD">
            <w:pPr>
              <w:spacing w:after="0" w:line="240" w:lineRule="auto"/>
              <w:rPr>
                <w:rFonts w:ascii="Times New Roman" w:eastAsia="Times New Roman" w:hAnsi="Times New Roman" w:cs="Times New Roman"/>
                <w:bCs/>
              </w:rPr>
            </w:pPr>
            <w:r w:rsidRPr="001F35DD">
              <w:rPr>
                <w:rFonts w:ascii="Times New Roman" w:eastAsia="Times New Roman" w:hAnsi="Times New Roman" w:cs="Times New Roman"/>
                <w:bCs/>
              </w:rPr>
              <w:t>1.  High-Level Narrative for Building the Model</w:t>
            </w:r>
          </w:p>
        </w:tc>
      </w:tr>
      <w:tr w:rsidR="00402FDF" w:rsidRPr="00937B31" w14:paraId="5C629C9B" w14:textId="77777777" w:rsidTr="00937B31">
        <w:trPr>
          <w:trHeight w:val="1880"/>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6321AC8C"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B.1.a</w:t>
            </w:r>
          </w:p>
        </w:tc>
        <w:tc>
          <w:tcPr>
            <w:tcW w:w="4446" w:type="dxa"/>
            <w:tcBorders>
              <w:top w:val="nil"/>
              <w:left w:val="nil"/>
              <w:bottom w:val="single" w:sz="4" w:space="0" w:color="auto"/>
              <w:right w:val="single" w:sz="4" w:space="0" w:color="auto"/>
            </w:tcBorders>
            <w:shd w:val="clear" w:color="000000" w:fill="auto"/>
            <w:vAlign w:val="center"/>
            <w:hideMark/>
          </w:tcPr>
          <w:p w14:paraId="1DE55E90"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Identify the type of model (e.g. Generalized Linear Model – GLM, decision tree, Bayesian Generalized Linear Model, Gradient-Boosting Machine, neural network, etc.). Understand the model's role in the rating system and provide the reasons why that type of model is an appropriate choice for that role.</w:t>
            </w:r>
          </w:p>
        </w:tc>
        <w:tc>
          <w:tcPr>
            <w:tcW w:w="990" w:type="dxa"/>
            <w:tcBorders>
              <w:top w:val="nil"/>
              <w:left w:val="nil"/>
              <w:bottom w:val="single" w:sz="4" w:space="0" w:color="auto"/>
              <w:right w:val="single" w:sz="4" w:space="0" w:color="auto"/>
            </w:tcBorders>
            <w:shd w:val="clear" w:color="000000" w:fill="auto"/>
            <w:vAlign w:val="center"/>
            <w:hideMark/>
          </w:tcPr>
          <w:p w14:paraId="03697CC7"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000000" w:fill="auto"/>
            <w:vAlign w:val="center"/>
            <w:hideMark/>
          </w:tcPr>
          <w:p w14:paraId="00E49632" w14:textId="51140D86"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There should be an explanation of why the model (using the variables included in it) is appropriate for the line of business. If by-peril or by-coverage modeling is used, the explanation should be by-peril/coverage.</w:t>
            </w:r>
          </w:p>
        </w:tc>
      </w:tr>
      <w:tr w:rsidR="00402FDF" w:rsidRPr="00937B31" w14:paraId="15FA00F5" w14:textId="77777777" w:rsidTr="00937B31">
        <w:trPr>
          <w:trHeight w:val="1070"/>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3A85A884" w14:textId="6308FCFE"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w:t>
            </w:r>
            <w:r w:rsidR="00CD2E15">
              <w:rPr>
                <w:rFonts w:ascii="Times New Roman" w:eastAsia="Times New Roman" w:hAnsi="Times New Roman" w:cs="Times New Roman"/>
                <w:sz w:val="20"/>
                <w:szCs w:val="20"/>
              </w:rPr>
              <w:t>1</w:t>
            </w:r>
            <w:r w:rsidRPr="001F35DD">
              <w:rPr>
                <w:rFonts w:ascii="Times New Roman" w:eastAsia="Times New Roman" w:hAnsi="Times New Roman" w:cs="Times New Roman"/>
                <w:sz w:val="20"/>
                <w:szCs w:val="20"/>
              </w:rPr>
              <w:t>.</w:t>
            </w:r>
            <w:r w:rsidR="00CD2E15">
              <w:rPr>
                <w:rFonts w:ascii="Times New Roman" w:eastAsia="Times New Roman" w:hAnsi="Times New Roman" w:cs="Times New Roman"/>
                <w:sz w:val="20"/>
                <w:szCs w:val="20"/>
              </w:rPr>
              <w:t>b</w:t>
            </w:r>
          </w:p>
        </w:tc>
        <w:tc>
          <w:tcPr>
            <w:tcW w:w="4446" w:type="dxa"/>
            <w:tcBorders>
              <w:top w:val="nil"/>
              <w:left w:val="nil"/>
              <w:bottom w:val="single" w:sz="4" w:space="0" w:color="auto"/>
              <w:right w:val="single" w:sz="4" w:space="0" w:color="auto"/>
            </w:tcBorders>
            <w:shd w:val="clear" w:color="000000" w:fill="auto"/>
            <w:vAlign w:val="center"/>
            <w:hideMark/>
          </w:tcPr>
          <w:p w14:paraId="349EB448"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Identify the software used for model development. Obtain the name of the software vender/developer, software product and a software version reference.</w:t>
            </w:r>
          </w:p>
        </w:tc>
        <w:tc>
          <w:tcPr>
            <w:tcW w:w="990" w:type="dxa"/>
            <w:tcBorders>
              <w:top w:val="nil"/>
              <w:left w:val="nil"/>
              <w:bottom w:val="single" w:sz="4" w:space="0" w:color="auto"/>
              <w:right w:val="single" w:sz="4" w:space="0" w:color="auto"/>
            </w:tcBorders>
            <w:shd w:val="clear" w:color="000000" w:fill="auto"/>
            <w:vAlign w:val="center"/>
            <w:hideMark/>
          </w:tcPr>
          <w:p w14:paraId="47771050"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000000" w:fill="auto"/>
            <w:vAlign w:val="center"/>
            <w:hideMark/>
          </w:tcPr>
          <w:p w14:paraId="3DB9A4F4"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w:t>
            </w:r>
          </w:p>
        </w:tc>
      </w:tr>
      <w:tr w:rsidR="00402FDF" w:rsidRPr="00937B31" w14:paraId="547780CA" w14:textId="77777777" w:rsidTr="00937B31">
        <w:trPr>
          <w:trHeight w:val="3410"/>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33036217" w14:textId="60C85FAA"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w:t>
            </w:r>
            <w:r w:rsidR="00CD2E15">
              <w:rPr>
                <w:rFonts w:ascii="Times New Roman" w:eastAsia="Times New Roman" w:hAnsi="Times New Roman" w:cs="Times New Roman"/>
                <w:sz w:val="20"/>
                <w:szCs w:val="20"/>
              </w:rPr>
              <w:t>1.c</w:t>
            </w:r>
          </w:p>
        </w:tc>
        <w:tc>
          <w:tcPr>
            <w:tcW w:w="4446" w:type="dxa"/>
            <w:tcBorders>
              <w:top w:val="nil"/>
              <w:left w:val="nil"/>
              <w:bottom w:val="single" w:sz="4" w:space="0" w:color="auto"/>
              <w:right w:val="single" w:sz="4" w:space="0" w:color="auto"/>
            </w:tcBorders>
            <w:shd w:val="clear" w:color="000000" w:fill="auto"/>
            <w:vAlign w:val="center"/>
            <w:hideMark/>
          </w:tcPr>
          <w:p w14:paraId="23D6D0D8" w14:textId="65CD05D6" w:rsidR="001F35DD" w:rsidRPr="001F35DD" w:rsidRDefault="001F35DD" w:rsidP="001F35DD">
            <w:pPr>
              <w:spacing w:after="0" w:line="240" w:lineRule="auto"/>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xml:space="preserve">Obtain a description how the available data </w:t>
            </w:r>
            <w:proofErr w:type="gramStart"/>
            <w:r w:rsidRPr="001F35DD">
              <w:rPr>
                <w:rFonts w:ascii="Times New Roman" w:eastAsia="Times New Roman" w:hAnsi="Times New Roman" w:cs="Times New Roman"/>
                <w:sz w:val="20"/>
                <w:szCs w:val="20"/>
              </w:rPr>
              <w:t>was divided</w:t>
            </w:r>
            <w:proofErr w:type="gramEnd"/>
            <w:r w:rsidRPr="001F35DD">
              <w:rPr>
                <w:rFonts w:ascii="Times New Roman" w:eastAsia="Times New Roman" w:hAnsi="Times New Roman" w:cs="Times New Roman"/>
                <w:sz w:val="20"/>
                <w:szCs w:val="20"/>
              </w:rPr>
              <w:t xml:space="preserve"> between model training, test and validation datasets. The description should include an explanation why the selected approach was deemed most appropriate, and whether the company made any further subdivisions of available data and reasons for the subdivisions (e.g., a portion separated from training data to support testing of components during model building).  Determine if the validation data was accessed before model training was completed and, if so, obtain an explanation how and why that came to occur.</w:t>
            </w:r>
          </w:p>
        </w:tc>
        <w:tc>
          <w:tcPr>
            <w:tcW w:w="990" w:type="dxa"/>
            <w:tcBorders>
              <w:top w:val="nil"/>
              <w:left w:val="nil"/>
              <w:bottom w:val="single" w:sz="4" w:space="0" w:color="auto"/>
              <w:right w:val="single" w:sz="4" w:space="0" w:color="auto"/>
            </w:tcBorders>
            <w:shd w:val="clear" w:color="000000" w:fill="auto"/>
            <w:vAlign w:val="center"/>
            <w:hideMark/>
          </w:tcPr>
          <w:p w14:paraId="0316A2B3"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000000" w:fill="auto"/>
            <w:vAlign w:val="center"/>
            <w:hideMark/>
          </w:tcPr>
          <w:p w14:paraId="166C514C"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w:t>
            </w:r>
          </w:p>
        </w:tc>
      </w:tr>
      <w:tr w:rsidR="00402FDF" w:rsidRPr="00937B31" w14:paraId="2257469B" w14:textId="77777777" w:rsidTr="00937B31">
        <w:trPr>
          <w:trHeight w:val="1070"/>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47994DA3" w14:textId="68910C6F"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B.1.</w:t>
            </w:r>
            <w:r w:rsidR="00CD2E15">
              <w:rPr>
                <w:rFonts w:ascii="Times New Roman" w:eastAsia="Times New Roman" w:hAnsi="Times New Roman" w:cs="Times New Roman"/>
                <w:sz w:val="20"/>
                <w:szCs w:val="20"/>
              </w:rPr>
              <w:t>d</w:t>
            </w:r>
          </w:p>
        </w:tc>
        <w:tc>
          <w:tcPr>
            <w:tcW w:w="4446" w:type="dxa"/>
            <w:tcBorders>
              <w:top w:val="nil"/>
              <w:left w:val="nil"/>
              <w:bottom w:val="single" w:sz="4" w:space="0" w:color="auto"/>
              <w:right w:val="single" w:sz="4" w:space="0" w:color="auto"/>
            </w:tcBorders>
            <w:shd w:val="clear" w:color="000000" w:fill="auto"/>
            <w:vAlign w:val="center"/>
            <w:hideMark/>
          </w:tcPr>
          <w:p w14:paraId="5F443E1B" w14:textId="40049296"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xml:space="preserve">Obtain a brief description of </w:t>
            </w:r>
            <w:r w:rsidR="00442438" w:rsidRPr="001F35DD">
              <w:rPr>
                <w:rFonts w:ascii="Times New Roman" w:eastAsia="Times New Roman" w:hAnsi="Times New Roman" w:cs="Times New Roman"/>
                <w:sz w:val="20"/>
                <w:szCs w:val="20"/>
              </w:rPr>
              <w:t>the development</w:t>
            </w:r>
            <w:r w:rsidRPr="001F35DD">
              <w:rPr>
                <w:rFonts w:ascii="Times New Roman" w:eastAsia="Times New Roman" w:hAnsi="Times New Roman" w:cs="Times New Roman"/>
                <w:sz w:val="20"/>
                <w:szCs w:val="20"/>
              </w:rPr>
              <w:t xml:space="preserve"> process, from initial concept to final model and filed rating plan (in less t</w:t>
            </w:r>
            <w:r w:rsidRPr="00937B31">
              <w:rPr>
                <w:rFonts w:ascii="Times New Roman" w:eastAsia="Times New Roman" w:hAnsi="Times New Roman" w:cs="Times New Roman"/>
                <w:sz w:val="20"/>
                <w:szCs w:val="20"/>
              </w:rPr>
              <w:t>han three pages of narrative).</w:t>
            </w:r>
          </w:p>
        </w:tc>
        <w:tc>
          <w:tcPr>
            <w:tcW w:w="990" w:type="dxa"/>
            <w:tcBorders>
              <w:top w:val="nil"/>
              <w:left w:val="nil"/>
              <w:bottom w:val="single" w:sz="4" w:space="0" w:color="auto"/>
              <w:right w:val="single" w:sz="4" w:space="0" w:color="auto"/>
            </w:tcBorders>
            <w:shd w:val="clear" w:color="000000" w:fill="auto"/>
            <w:vAlign w:val="center"/>
            <w:hideMark/>
          </w:tcPr>
          <w:p w14:paraId="580F6E1E"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000000" w:fill="auto"/>
            <w:vAlign w:val="center"/>
            <w:hideMark/>
          </w:tcPr>
          <w:p w14:paraId="63006CB5"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The narrative should have the same scope as the filing.</w:t>
            </w:r>
          </w:p>
        </w:tc>
      </w:tr>
      <w:tr w:rsidR="00402FDF" w:rsidRPr="00937B31" w14:paraId="6B74665B" w14:textId="77777777" w:rsidTr="00937B31">
        <w:trPr>
          <w:trHeight w:val="1340"/>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093C5C8A" w14:textId="01A8A1AA"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B.1.</w:t>
            </w:r>
            <w:r w:rsidR="00CD2E15">
              <w:rPr>
                <w:rFonts w:ascii="Times New Roman" w:eastAsia="Times New Roman" w:hAnsi="Times New Roman" w:cs="Times New Roman"/>
                <w:sz w:val="20"/>
                <w:szCs w:val="20"/>
              </w:rPr>
              <w:t>e</w:t>
            </w:r>
          </w:p>
        </w:tc>
        <w:tc>
          <w:tcPr>
            <w:tcW w:w="4446" w:type="dxa"/>
            <w:tcBorders>
              <w:top w:val="nil"/>
              <w:left w:val="nil"/>
              <w:bottom w:val="single" w:sz="4" w:space="0" w:color="auto"/>
              <w:right w:val="single" w:sz="4" w:space="0" w:color="auto"/>
            </w:tcBorders>
            <w:shd w:val="clear" w:color="000000" w:fill="auto"/>
            <w:vAlign w:val="center"/>
            <w:hideMark/>
          </w:tcPr>
          <w:p w14:paraId="6BB6BE65" w14:textId="2BC14F14"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Obtain a narrative on whether loss ratio, pure premium or frequency/severity analyses were performed and, if separate frequency/severity modeling was performed, how pure premiums were determined.</w:t>
            </w:r>
          </w:p>
        </w:tc>
        <w:tc>
          <w:tcPr>
            <w:tcW w:w="990" w:type="dxa"/>
            <w:tcBorders>
              <w:top w:val="nil"/>
              <w:left w:val="nil"/>
              <w:bottom w:val="single" w:sz="4" w:space="0" w:color="auto"/>
              <w:right w:val="single" w:sz="4" w:space="0" w:color="auto"/>
            </w:tcBorders>
            <w:shd w:val="clear" w:color="000000" w:fill="auto"/>
            <w:vAlign w:val="center"/>
            <w:hideMark/>
          </w:tcPr>
          <w:p w14:paraId="5CB32598"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000000" w:fill="auto"/>
            <w:vAlign w:val="center"/>
            <w:hideMark/>
          </w:tcPr>
          <w:p w14:paraId="5FB630A0"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w:t>
            </w:r>
          </w:p>
        </w:tc>
      </w:tr>
      <w:tr w:rsidR="00402FDF" w:rsidRPr="00937B31" w14:paraId="63B6F4D2" w14:textId="77777777" w:rsidTr="00937B31">
        <w:trPr>
          <w:trHeight w:val="864"/>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6B87910A" w14:textId="06C6213B"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B.1.</w:t>
            </w:r>
            <w:r w:rsidR="00CD2E15">
              <w:rPr>
                <w:rFonts w:ascii="Times New Roman" w:eastAsia="Times New Roman" w:hAnsi="Times New Roman" w:cs="Times New Roman"/>
                <w:sz w:val="20"/>
                <w:szCs w:val="20"/>
              </w:rPr>
              <w:t>f</w:t>
            </w:r>
          </w:p>
        </w:tc>
        <w:tc>
          <w:tcPr>
            <w:tcW w:w="4446" w:type="dxa"/>
            <w:tcBorders>
              <w:top w:val="nil"/>
              <w:left w:val="nil"/>
              <w:bottom w:val="single" w:sz="4" w:space="0" w:color="auto"/>
              <w:right w:val="single" w:sz="4" w:space="0" w:color="auto"/>
            </w:tcBorders>
            <w:shd w:val="clear" w:color="000000" w:fill="auto"/>
            <w:vAlign w:val="center"/>
            <w:hideMark/>
          </w:tcPr>
          <w:p w14:paraId="4AD420B2"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Identify the model’s target variable.</w:t>
            </w:r>
          </w:p>
        </w:tc>
        <w:tc>
          <w:tcPr>
            <w:tcW w:w="990" w:type="dxa"/>
            <w:tcBorders>
              <w:top w:val="nil"/>
              <w:left w:val="nil"/>
              <w:bottom w:val="single" w:sz="4" w:space="0" w:color="auto"/>
              <w:right w:val="single" w:sz="4" w:space="0" w:color="auto"/>
            </w:tcBorders>
            <w:shd w:val="clear" w:color="000000" w:fill="auto"/>
            <w:vAlign w:val="center"/>
            <w:hideMark/>
          </w:tcPr>
          <w:p w14:paraId="46F73471"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000000" w:fill="auto"/>
            <w:vAlign w:val="center"/>
            <w:hideMark/>
          </w:tcPr>
          <w:p w14:paraId="14A39C7C"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A clear description of the target variable is key to understanding the purpose of the model.</w:t>
            </w:r>
          </w:p>
        </w:tc>
      </w:tr>
      <w:tr w:rsidR="00402FDF" w:rsidRPr="00937B31" w14:paraId="52451272" w14:textId="77777777" w:rsidTr="00937B31">
        <w:trPr>
          <w:trHeight w:val="2447"/>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7CDB09D5" w14:textId="7F50E7EF"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B.1.</w:t>
            </w:r>
            <w:r w:rsidR="00CD2E15">
              <w:rPr>
                <w:rFonts w:ascii="Times New Roman" w:eastAsia="Times New Roman" w:hAnsi="Times New Roman" w:cs="Times New Roman"/>
                <w:sz w:val="20"/>
                <w:szCs w:val="20"/>
              </w:rPr>
              <w:t>g</w:t>
            </w:r>
          </w:p>
        </w:tc>
        <w:tc>
          <w:tcPr>
            <w:tcW w:w="4446" w:type="dxa"/>
            <w:tcBorders>
              <w:top w:val="nil"/>
              <w:left w:val="nil"/>
              <w:bottom w:val="single" w:sz="4" w:space="0" w:color="auto"/>
              <w:right w:val="single" w:sz="4" w:space="0" w:color="auto"/>
            </w:tcBorders>
            <w:shd w:val="clear" w:color="000000" w:fill="auto"/>
            <w:vAlign w:val="center"/>
            <w:hideMark/>
          </w:tcPr>
          <w:p w14:paraId="7A151FA5"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Obtain a detailed description of the variable selection process.</w:t>
            </w:r>
          </w:p>
        </w:tc>
        <w:tc>
          <w:tcPr>
            <w:tcW w:w="990" w:type="dxa"/>
            <w:tcBorders>
              <w:top w:val="nil"/>
              <w:left w:val="nil"/>
              <w:bottom w:val="single" w:sz="4" w:space="0" w:color="auto"/>
              <w:right w:val="single" w:sz="4" w:space="0" w:color="auto"/>
            </w:tcBorders>
            <w:shd w:val="clear" w:color="000000" w:fill="auto"/>
            <w:vAlign w:val="center"/>
            <w:hideMark/>
          </w:tcPr>
          <w:p w14:paraId="176BF31B"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000000" w:fill="auto"/>
            <w:vAlign w:val="center"/>
            <w:hideMark/>
          </w:tcPr>
          <w:p w14:paraId="235A1785" w14:textId="16BE1FB3" w:rsidR="001F35DD" w:rsidRPr="001F35DD" w:rsidRDefault="001F35DD" w:rsidP="00442438">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xml:space="preserve">The narrative regarding the variable selection process may address matters such as </w:t>
            </w:r>
            <w:r w:rsidR="00442438">
              <w:rPr>
                <w:rFonts w:ascii="Times New Roman" w:eastAsia="Times New Roman" w:hAnsi="Times New Roman" w:cs="Times New Roman"/>
                <w:sz w:val="20"/>
                <w:szCs w:val="20"/>
              </w:rPr>
              <w:t xml:space="preserve">the </w:t>
            </w:r>
            <w:r w:rsidRPr="001F35DD">
              <w:rPr>
                <w:rFonts w:ascii="Times New Roman" w:eastAsia="Times New Roman" w:hAnsi="Times New Roman" w:cs="Times New Roman"/>
                <w:sz w:val="20"/>
                <w:szCs w:val="20"/>
              </w:rPr>
              <w:t xml:space="preserve">criteria </w:t>
            </w:r>
            <w:r w:rsidR="00442438">
              <w:rPr>
                <w:rFonts w:ascii="Times New Roman" w:eastAsia="Times New Roman" w:hAnsi="Times New Roman" w:cs="Times New Roman"/>
                <w:sz w:val="20"/>
                <w:szCs w:val="20"/>
              </w:rPr>
              <w:t>upon</w:t>
            </w:r>
            <w:r w:rsidRPr="001F35DD">
              <w:rPr>
                <w:rFonts w:ascii="Times New Roman" w:eastAsia="Times New Roman" w:hAnsi="Times New Roman" w:cs="Times New Roman"/>
                <w:sz w:val="20"/>
                <w:szCs w:val="20"/>
              </w:rPr>
              <w:t xml:space="preserve"> which variables were selected or omitted, identification of the number of preliminary variables considered in developing the model versus the number of variables that remained, and any statutory or regulatory limitations that were taken into account when making the decisions regarding variable selection.</w:t>
            </w:r>
          </w:p>
        </w:tc>
      </w:tr>
      <w:tr w:rsidR="00402FDF" w:rsidRPr="00937B31" w14:paraId="494D78D8" w14:textId="77777777" w:rsidTr="00937B31">
        <w:trPr>
          <w:trHeight w:val="1358"/>
        </w:trPr>
        <w:tc>
          <w:tcPr>
            <w:tcW w:w="774" w:type="dxa"/>
            <w:tcBorders>
              <w:top w:val="nil"/>
              <w:left w:val="single" w:sz="4" w:space="0" w:color="auto"/>
              <w:bottom w:val="single" w:sz="4" w:space="0" w:color="auto"/>
              <w:right w:val="single" w:sz="4" w:space="0" w:color="auto"/>
            </w:tcBorders>
            <w:shd w:val="clear" w:color="000000" w:fill="auto"/>
            <w:noWrap/>
            <w:vAlign w:val="center"/>
            <w:hideMark/>
          </w:tcPr>
          <w:p w14:paraId="3EE1840B" w14:textId="1A01A726"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B.1.</w:t>
            </w:r>
            <w:r w:rsidR="00CD2E15">
              <w:rPr>
                <w:rFonts w:ascii="Times New Roman" w:eastAsia="Times New Roman" w:hAnsi="Times New Roman" w:cs="Times New Roman"/>
                <w:sz w:val="20"/>
                <w:szCs w:val="20"/>
              </w:rPr>
              <w:t>h</w:t>
            </w:r>
          </w:p>
        </w:tc>
        <w:tc>
          <w:tcPr>
            <w:tcW w:w="4446" w:type="dxa"/>
            <w:tcBorders>
              <w:top w:val="nil"/>
              <w:left w:val="nil"/>
              <w:bottom w:val="single" w:sz="4" w:space="0" w:color="auto"/>
              <w:right w:val="single" w:sz="4" w:space="0" w:color="auto"/>
            </w:tcBorders>
            <w:shd w:val="clear" w:color="000000" w:fill="auto"/>
            <w:vAlign w:val="center"/>
            <w:hideMark/>
          </w:tcPr>
          <w:p w14:paraId="6C9371A9" w14:textId="440297DA" w:rsidR="001F35DD" w:rsidRPr="001F35DD" w:rsidRDefault="001F35DD" w:rsidP="001F35DD">
            <w:pPr>
              <w:spacing w:after="0" w:line="240" w:lineRule="auto"/>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In conjunction with variable selection, obtain a narrative on how the Company determine the granularity of the rating var</w:t>
            </w:r>
            <w:r w:rsidRPr="00937B31">
              <w:rPr>
                <w:rFonts w:ascii="Times New Roman" w:eastAsia="Times New Roman" w:hAnsi="Times New Roman" w:cs="Times New Roman"/>
                <w:sz w:val="20"/>
                <w:szCs w:val="20"/>
              </w:rPr>
              <w:t>iables during model development.</w:t>
            </w:r>
          </w:p>
        </w:tc>
        <w:tc>
          <w:tcPr>
            <w:tcW w:w="990" w:type="dxa"/>
            <w:tcBorders>
              <w:top w:val="nil"/>
              <w:left w:val="nil"/>
              <w:bottom w:val="single" w:sz="4" w:space="0" w:color="auto"/>
              <w:right w:val="single" w:sz="4" w:space="0" w:color="auto"/>
            </w:tcBorders>
            <w:shd w:val="clear" w:color="000000" w:fill="auto"/>
            <w:vAlign w:val="center"/>
            <w:hideMark/>
          </w:tcPr>
          <w:p w14:paraId="6F7C4E29"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000000" w:fill="auto"/>
            <w:noWrap/>
            <w:vAlign w:val="center"/>
            <w:hideMark/>
          </w:tcPr>
          <w:p w14:paraId="0ECF7F25" w14:textId="77777777" w:rsidR="001F35DD" w:rsidRPr="001F35DD" w:rsidRDefault="001F35DD" w:rsidP="001F35DD">
            <w:pPr>
              <w:spacing w:after="0" w:line="240" w:lineRule="auto"/>
              <w:jc w:val="both"/>
              <w:rPr>
                <w:rFonts w:ascii="Times New Roman" w:eastAsia="Times New Roman" w:hAnsi="Times New Roman" w:cs="Times New Roman"/>
              </w:rPr>
            </w:pPr>
            <w:r w:rsidRPr="001F35DD">
              <w:rPr>
                <w:rFonts w:ascii="Times New Roman" w:eastAsia="Times New Roman" w:hAnsi="Times New Roman" w:cs="Times New Roman"/>
              </w:rPr>
              <w:t> </w:t>
            </w:r>
          </w:p>
        </w:tc>
      </w:tr>
      <w:tr w:rsidR="00402FDF" w:rsidRPr="00937B31" w14:paraId="50E3E8AD" w14:textId="77777777" w:rsidTr="00937B31">
        <w:trPr>
          <w:trHeight w:val="1340"/>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3C21DE78" w14:textId="513E1A19"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B.1.</w:t>
            </w:r>
            <w:r w:rsidR="00CD2E15">
              <w:rPr>
                <w:rFonts w:ascii="Times New Roman" w:eastAsia="Times New Roman" w:hAnsi="Times New Roman" w:cs="Times New Roman"/>
                <w:sz w:val="20"/>
                <w:szCs w:val="20"/>
              </w:rPr>
              <w:t>i</w:t>
            </w:r>
          </w:p>
        </w:tc>
        <w:tc>
          <w:tcPr>
            <w:tcW w:w="4446" w:type="dxa"/>
            <w:tcBorders>
              <w:top w:val="nil"/>
              <w:left w:val="nil"/>
              <w:bottom w:val="single" w:sz="4" w:space="0" w:color="auto"/>
              <w:right w:val="single" w:sz="4" w:space="0" w:color="auto"/>
            </w:tcBorders>
            <w:shd w:val="clear" w:color="000000" w:fill="auto"/>
            <w:vAlign w:val="center"/>
            <w:hideMark/>
          </w:tcPr>
          <w:p w14:paraId="7A607FED" w14:textId="6C91EF3C"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xml:space="preserve">Determine if model input data </w:t>
            </w:r>
            <w:proofErr w:type="gramStart"/>
            <w:r w:rsidRPr="00937B31">
              <w:rPr>
                <w:rFonts w:ascii="Times New Roman" w:eastAsia="Times New Roman" w:hAnsi="Times New Roman" w:cs="Times New Roman"/>
                <w:sz w:val="20"/>
                <w:szCs w:val="20"/>
              </w:rPr>
              <w:t>was segmented</w:t>
            </w:r>
            <w:proofErr w:type="gramEnd"/>
            <w:r w:rsidRPr="001F35DD">
              <w:rPr>
                <w:rFonts w:ascii="Times New Roman" w:eastAsia="Times New Roman" w:hAnsi="Times New Roman" w:cs="Times New Roman"/>
                <w:sz w:val="20"/>
                <w:szCs w:val="20"/>
              </w:rPr>
              <w:t xml:space="preserve"> in any way, e.g., was modeling performed on a by-coverage, by-peril, or by-form basis. If so, obtain a description of data segmentation and the reasons for data segmentation.</w:t>
            </w:r>
          </w:p>
        </w:tc>
        <w:tc>
          <w:tcPr>
            <w:tcW w:w="990" w:type="dxa"/>
            <w:tcBorders>
              <w:top w:val="nil"/>
              <w:left w:val="nil"/>
              <w:bottom w:val="single" w:sz="4" w:space="0" w:color="auto"/>
              <w:right w:val="single" w:sz="4" w:space="0" w:color="auto"/>
            </w:tcBorders>
            <w:shd w:val="clear" w:color="000000" w:fill="auto"/>
            <w:vAlign w:val="center"/>
            <w:hideMark/>
          </w:tcPr>
          <w:p w14:paraId="63189B3C"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000000" w:fill="auto"/>
            <w:vAlign w:val="center"/>
            <w:hideMark/>
          </w:tcPr>
          <w:p w14:paraId="42083B9E"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The regulator would use this to follow the logic of the modeling process.</w:t>
            </w:r>
          </w:p>
        </w:tc>
      </w:tr>
      <w:tr w:rsidR="00402FDF" w:rsidRPr="00937B31" w14:paraId="1595C8A3" w14:textId="77777777" w:rsidTr="00937B31">
        <w:trPr>
          <w:trHeight w:val="1520"/>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4E3287FD" w14:textId="5DB3D850"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B.1.</w:t>
            </w:r>
            <w:r w:rsidR="00CD2E15">
              <w:rPr>
                <w:rFonts w:ascii="Times New Roman" w:eastAsia="Times New Roman" w:hAnsi="Times New Roman" w:cs="Times New Roman"/>
                <w:sz w:val="20"/>
                <w:szCs w:val="20"/>
              </w:rPr>
              <w:t>j</w:t>
            </w:r>
          </w:p>
        </w:tc>
        <w:tc>
          <w:tcPr>
            <w:tcW w:w="4446" w:type="dxa"/>
            <w:tcBorders>
              <w:top w:val="nil"/>
              <w:left w:val="nil"/>
              <w:bottom w:val="single" w:sz="4" w:space="0" w:color="auto"/>
              <w:right w:val="single" w:sz="4" w:space="0" w:color="auto"/>
            </w:tcBorders>
            <w:shd w:val="clear" w:color="000000" w:fill="auto"/>
            <w:vAlign w:val="center"/>
            <w:hideMark/>
          </w:tcPr>
          <w:p w14:paraId="0397C41D" w14:textId="6A3519F6"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xml:space="preserve">If adjustments to the model </w:t>
            </w:r>
            <w:proofErr w:type="gramStart"/>
            <w:r w:rsidRPr="001F35DD">
              <w:rPr>
                <w:rFonts w:ascii="Times New Roman" w:eastAsia="Times New Roman" w:hAnsi="Times New Roman" w:cs="Times New Roman"/>
                <w:sz w:val="20"/>
                <w:szCs w:val="20"/>
              </w:rPr>
              <w:t>were made</w:t>
            </w:r>
            <w:proofErr w:type="gramEnd"/>
            <w:r w:rsidRPr="001F35DD">
              <w:rPr>
                <w:rFonts w:ascii="Times New Roman" w:eastAsia="Times New Roman" w:hAnsi="Times New Roman" w:cs="Times New Roman"/>
                <w:sz w:val="20"/>
                <w:szCs w:val="20"/>
              </w:rPr>
              <w:t xml:space="preserve"> based on credibility considerations, obtain an explanation of the credibility considerations and how the adjustments were applied.</w:t>
            </w:r>
          </w:p>
        </w:tc>
        <w:tc>
          <w:tcPr>
            <w:tcW w:w="990" w:type="dxa"/>
            <w:tcBorders>
              <w:top w:val="nil"/>
              <w:left w:val="nil"/>
              <w:bottom w:val="single" w:sz="4" w:space="0" w:color="auto"/>
              <w:right w:val="single" w:sz="4" w:space="0" w:color="auto"/>
            </w:tcBorders>
            <w:shd w:val="clear" w:color="000000" w:fill="auto"/>
            <w:vAlign w:val="center"/>
            <w:hideMark/>
          </w:tcPr>
          <w:p w14:paraId="704B3FC9"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000000" w:fill="auto"/>
            <w:vAlign w:val="center"/>
            <w:hideMark/>
          </w:tcPr>
          <w:p w14:paraId="11DAE527"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Adjustments may be needed given models do not explicitly consider the credibility of the input data or the model’s resulting output; models take input data at face value and assume 100% credibility when producing modeled output.</w:t>
            </w:r>
          </w:p>
        </w:tc>
      </w:tr>
      <w:tr w:rsidR="00402FDF" w:rsidRPr="00937B31" w14:paraId="73CD7D4E" w14:textId="77777777" w:rsidTr="00937B31">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000000" w:fill="auto"/>
            <w:vAlign w:val="center"/>
            <w:hideMark/>
          </w:tcPr>
          <w:p w14:paraId="7C58C012" w14:textId="77777777" w:rsidR="001F35DD" w:rsidRPr="001F35DD" w:rsidRDefault="001F35DD" w:rsidP="001F35DD">
            <w:pPr>
              <w:spacing w:after="0" w:line="240" w:lineRule="auto"/>
              <w:rPr>
                <w:rFonts w:ascii="Times New Roman" w:eastAsia="Times New Roman" w:hAnsi="Times New Roman" w:cs="Times New Roman"/>
                <w:bCs/>
              </w:rPr>
            </w:pPr>
            <w:r w:rsidRPr="001F35DD">
              <w:rPr>
                <w:rFonts w:ascii="Times New Roman" w:eastAsia="Times New Roman" w:hAnsi="Times New Roman" w:cs="Times New Roman"/>
                <w:bCs/>
              </w:rPr>
              <w:t>2.  Medium-Level Narrative for Building the Model</w:t>
            </w:r>
          </w:p>
        </w:tc>
      </w:tr>
      <w:tr w:rsidR="00402FDF" w:rsidRPr="00937B31" w14:paraId="119BA0A9" w14:textId="77777777" w:rsidTr="00937B31">
        <w:trPr>
          <w:trHeight w:val="1250"/>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2D4D0276"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B.2.a</w:t>
            </w:r>
          </w:p>
        </w:tc>
        <w:tc>
          <w:tcPr>
            <w:tcW w:w="4446" w:type="dxa"/>
            <w:tcBorders>
              <w:top w:val="nil"/>
              <w:left w:val="nil"/>
              <w:bottom w:val="single" w:sz="4" w:space="0" w:color="auto"/>
              <w:right w:val="single" w:sz="4" w:space="0" w:color="auto"/>
            </w:tcBorders>
            <w:shd w:val="clear" w:color="000000" w:fill="auto"/>
            <w:vAlign w:val="center"/>
            <w:hideMark/>
          </w:tcPr>
          <w:p w14:paraId="7E643CB5" w14:textId="11305CED"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At crucial points in model development, if selections were made among alternatives regarding model assumptions or techniques, obtain a narrative on the judgment used to make those selections.</w:t>
            </w:r>
          </w:p>
        </w:tc>
        <w:tc>
          <w:tcPr>
            <w:tcW w:w="990" w:type="dxa"/>
            <w:tcBorders>
              <w:top w:val="nil"/>
              <w:left w:val="nil"/>
              <w:bottom w:val="single" w:sz="4" w:space="0" w:color="auto"/>
              <w:right w:val="single" w:sz="4" w:space="0" w:color="auto"/>
            </w:tcBorders>
            <w:shd w:val="clear" w:color="000000" w:fill="auto"/>
            <w:vAlign w:val="center"/>
            <w:hideMark/>
          </w:tcPr>
          <w:p w14:paraId="6679F5C5"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000000" w:fill="auto"/>
            <w:vAlign w:val="center"/>
            <w:hideMark/>
          </w:tcPr>
          <w:p w14:paraId="6FD676E2"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w:t>
            </w:r>
          </w:p>
        </w:tc>
      </w:tr>
      <w:tr w:rsidR="00402FDF" w:rsidRPr="00937B31" w14:paraId="05B1CF7B" w14:textId="77777777" w:rsidTr="00937B31">
        <w:trPr>
          <w:trHeight w:val="2016"/>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1A6F1DE2"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B.2.b</w:t>
            </w:r>
          </w:p>
        </w:tc>
        <w:tc>
          <w:tcPr>
            <w:tcW w:w="4446" w:type="dxa"/>
            <w:tcBorders>
              <w:top w:val="nil"/>
              <w:left w:val="nil"/>
              <w:bottom w:val="single" w:sz="4" w:space="0" w:color="auto"/>
              <w:right w:val="single" w:sz="4" w:space="0" w:color="auto"/>
            </w:tcBorders>
            <w:shd w:val="clear" w:color="000000" w:fill="auto"/>
            <w:vAlign w:val="center"/>
            <w:hideMark/>
          </w:tcPr>
          <w:p w14:paraId="33DA1A34" w14:textId="62109BAD"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If post-model adjustments were made to the data and the model was rerun, obtain an explanation on the details and the rationale for those adjustments.</w:t>
            </w:r>
          </w:p>
        </w:tc>
        <w:tc>
          <w:tcPr>
            <w:tcW w:w="990" w:type="dxa"/>
            <w:tcBorders>
              <w:top w:val="nil"/>
              <w:left w:val="nil"/>
              <w:bottom w:val="single" w:sz="4" w:space="0" w:color="auto"/>
              <w:right w:val="single" w:sz="4" w:space="0" w:color="auto"/>
            </w:tcBorders>
            <w:shd w:val="clear" w:color="000000" w:fill="auto"/>
            <w:vAlign w:val="center"/>
            <w:hideMark/>
          </w:tcPr>
          <w:p w14:paraId="512C1215"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000000" w:fill="auto"/>
            <w:vAlign w:val="center"/>
            <w:hideMark/>
          </w:tcPr>
          <w:p w14:paraId="22BE9DA0"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Evaluate the addition or removal of variables and the model fitting.  It is not necessary for the company to discuss each iteration of adding and subtracting variables, but the regulator should gain a general understanding how these adjustments were done, including any statistical improvement measures relied upon.</w:t>
            </w:r>
          </w:p>
        </w:tc>
      </w:tr>
      <w:tr w:rsidR="00402FDF" w:rsidRPr="00937B31" w14:paraId="4045DE83" w14:textId="77777777" w:rsidTr="00937B31">
        <w:trPr>
          <w:trHeight w:val="1440"/>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117158AF"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B.2.c</w:t>
            </w:r>
          </w:p>
        </w:tc>
        <w:tc>
          <w:tcPr>
            <w:tcW w:w="4446" w:type="dxa"/>
            <w:tcBorders>
              <w:top w:val="nil"/>
              <w:left w:val="nil"/>
              <w:bottom w:val="single" w:sz="4" w:space="0" w:color="auto"/>
              <w:right w:val="single" w:sz="4" w:space="0" w:color="auto"/>
            </w:tcBorders>
            <w:shd w:val="clear" w:color="000000" w:fill="auto"/>
            <w:vAlign w:val="center"/>
            <w:hideMark/>
          </w:tcPr>
          <w:p w14:paraId="4463F17D" w14:textId="1AFE90EC"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Obtain a description of univariate balancing and testing performed during the model-building process, including an explanation of the thought processes involved.</w:t>
            </w:r>
          </w:p>
        </w:tc>
        <w:tc>
          <w:tcPr>
            <w:tcW w:w="990" w:type="dxa"/>
            <w:tcBorders>
              <w:top w:val="nil"/>
              <w:left w:val="nil"/>
              <w:bottom w:val="single" w:sz="4" w:space="0" w:color="auto"/>
              <w:right w:val="single" w:sz="4" w:space="0" w:color="auto"/>
            </w:tcBorders>
            <w:shd w:val="clear" w:color="000000" w:fill="auto"/>
            <w:vAlign w:val="center"/>
            <w:hideMark/>
          </w:tcPr>
          <w:p w14:paraId="49341FED"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000000" w:fill="auto"/>
            <w:vAlign w:val="center"/>
            <w:hideMark/>
          </w:tcPr>
          <w:p w14:paraId="6FB9A6EE"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Further elaboration from B.2.b.</w:t>
            </w:r>
          </w:p>
        </w:tc>
      </w:tr>
      <w:tr w:rsidR="00402FDF" w:rsidRPr="00937B31" w14:paraId="48275AA6" w14:textId="77777777" w:rsidTr="00937B31">
        <w:trPr>
          <w:trHeight w:val="1457"/>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537630B7"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B.2.d</w:t>
            </w:r>
          </w:p>
        </w:tc>
        <w:tc>
          <w:tcPr>
            <w:tcW w:w="4446" w:type="dxa"/>
            <w:tcBorders>
              <w:top w:val="nil"/>
              <w:left w:val="nil"/>
              <w:bottom w:val="single" w:sz="4" w:space="0" w:color="auto"/>
              <w:right w:val="single" w:sz="4" w:space="0" w:color="auto"/>
            </w:tcBorders>
            <w:shd w:val="clear" w:color="000000" w:fill="auto"/>
            <w:vAlign w:val="center"/>
            <w:hideMark/>
          </w:tcPr>
          <w:p w14:paraId="7837B03F" w14:textId="46595273"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Obtain a description of the 2-way balancing and testing that was performed during the model-building process, including an explanation of the thought processes of including (or not including) interaction terms.</w:t>
            </w:r>
          </w:p>
        </w:tc>
        <w:tc>
          <w:tcPr>
            <w:tcW w:w="990" w:type="dxa"/>
            <w:tcBorders>
              <w:top w:val="nil"/>
              <w:left w:val="nil"/>
              <w:bottom w:val="single" w:sz="4" w:space="0" w:color="auto"/>
              <w:right w:val="single" w:sz="4" w:space="0" w:color="auto"/>
            </w:tcBorders>
            <w:shd w:val="clear" w:color="000000" w:fill="auto"/>
            <w:vAlign w:val="center"/>
            <w:hideMark/>
          </w:tcPr>
          <w:p w14:paraId="0B7163F1"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000000" w:fill="auto"/>
            <w:vAlign w:val="center"/>
            <w:hideMark/>
          </w:tcPr>
          <w:p w14:paraId="1813BC31"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Further elaboration from B.2.a and B.2.b.</w:t>
            </w:r>
          </w:p>
        </w:tc>
      </w:tr>
      <w:tr w:rsidR="00402FDF" w:rsidRPr="00937B31" w14:paraId="211E8866" w14:textId="77777777" w:rsidTr="00937B31">
        <w:trPr>
          <w:trHeight w:val="1898"/>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28CD6AA6"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B.2.e</w:t>
            </w:r>
          </w:p>
        </w:tc>
        <w:tc>
          <w:tcPr>
            <w:tcW w:w="4446" w:type="dxa"/>
            <w:tcBorders>
              <w:top w:val="nil"/>
              <w:left w:val="nil"/>
              <w:bottom w:val="single" w:sz="4" w:space="0" w:color="auto"/>
              <w:right w:val="single" w:sz="4" w:space="0" w:color="auto"/>
            </w:tcBorders>
            <w:shd w:val="clear" w:color="000000" w:fill="auto"/>
            <w:vAlign w:val="center"/>
            <w:hideMark/>
          </w:tcPr>
          <w:p w14:paraId="6B811BB3" w14:textId="5A8662AF" w:rsidR="001F35DD" w:rsidRPr="001F35DD" w:rsidRDefault="001F35DD" w:rsidP="00442438">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For the GLM, identify the link function used. Identify which distribution was used for the model (e.g., Poisson, Gaussian, log-normal, Tweedie)</w:t>
            </w:r>
            <w:r w:rsidR="00442438">
              <w:rPr>
                <w:rFonts w:ascii="Times New Roman" w:eastAsia="Times New Roman" w:hAnsi="Times New Roman" w:cs="Times New Roman"/>
                <w:sz w:val="20"/>
                <w:szCs w:val="20"/>
              </w:rPr>
              <w:t xml:space="preserve">. </w:t>
            </w:r>
            <w:r w:rsidRPr="001F35DD">
              <w:rPr>
                <w:rFonts w:ascii="Times New Roman" w:eastAsia="Times New Roman" w:hAnsi="Times New Roman" w:cs="Times New Roman"/>
                <w:sz w:val="20"/>
                <w:szCs w:val="20"/>
              </w:rPr>
              <w:t>Obtain an explanation why the link function and distribution were chosen. Obtain the formulas for the distribution and link functions, including specific numerical parameters of the distribution.</w:t>
            </w:r>
          </w:p>
        </w:tc>
        <w:tc>
          <w:tcPr>
            <w:tcW w:w="990" w:type="dxa"/>
            <w:tcBorders>
              <w:top w:val="nil"/>
              <w:left w:val="nil"/>
              <w:bottom w:val="single" w:sz="4" w:space="0" w:color="auto"/>
              <w:right w:val="single" w:sz="4" w:space="0" w:color="auto"/>
            </w:tcBorders>
            <w:shd w:val="clear" w:color="000000" w:fill="auto"/>
            <w:vAlign w:val="center"/>
            <w:hideMark/>
          </w:tcPr>
          <w:p w14:paraId="5310811C"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000000" w:fill="auto"/>
            <w:vAlign w:val="center"/>
            <w:hideMark/>
          </w:tcPr>
          <w:p w14:paraId="3B35FC58"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w:t>
            </w:r>
          </w:p>
        </w:tc>
      </w:tr>
      <w:tr w:rsidR="00402FDF" w:rsidRPr="00937B31" w14:paraId="0A266283" w14:textId="77777777" w:rsidTr="00937B31">
        <w:trPr>
          <w:trHeight w:val="1970"/>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5CF59BAE" w14:textId="7902B047"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w:t>
            </w:r>
            <w:r w:rsidR="00CD2E15">
              <w:rPr>
                <w:rFonts w:ascii="Times New Roman" w:eastAsia="Times New Roman" w:hAnsi="Times New Roman" w:cs="Times New Roman"/>
                <w:sz w:val="20"/>
                <w:szCs w:val="20"/>
              </w:rPr>
              <w:t>2</w:t>
            </w:r>
            <w:r w:rsidRPr="001F35DD">
              <w:rPr>
                <w:rFonts w:ascii="Times New Roman" w:eastAsia="Times New Roman" w:hAnsi="Times New Roman" w:cs="Times New Roman"/>
                <w:sz w:val="20"/>
                <w:szCs w:val="20"/>
              </w:rPr>
              <w:t>.</w:t>
            </w:r>
            <w:r w:rsidR="00CD2E15">
              <w:rPr>
                <w:rFonts w:ascii="Times New Roman" w:eastAsia="Times New Roman" w:hAnsi="Times New Roman" w:cs="Times New Roman"/>
                <w:sz w:val="20"/>
                <w:szCs w:val="20"/>
              </w:rPr>
              <w:t>f</w:t>
            </w:r>
          </w:p>
        </w:tc>
        <w:tc>
          <w:tcPr>
            <w:tcW w:w="4446" w:type="dxa"/>
            <w:tcBorders>
              <w:top w:val="nil"/>
              <w:left w:val="nil"/>
              <w:bottom w:val="single" w:sz="4" w:space="0" w:color="auto"/>
              <w:right w:val="single" w:sz="4" w:space="0" w:color="auto"/>
            </w:tcBorders>
            <w:shd w:val="clear" w:color="000000" w:fill="auto"/>
            <w:vAlign w:val="center"/>
            <w:hideMark/>
          </w:tcPr>
          <w:p w14:paraId="556242F1"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Obtain a narrative on the formula relationship between the data and the model outputs, with a definition of each model input and output.  The narrative should include all coefficients necessary to evaluate the predicted pure premium, relativity or other value, for any real or hypothetical set of inputs.</w:t>
            </w:r>
          </w:p>
        </w:tc>
        <w:tc>
          <w:tcPr>
            <w:tcW w:w="990" w:type="dxa"/>
            <w:tcBorders>
              <w:top w:val="nil"/>
              <w:left w:val="nil"/>
              <w:bottom w:val="single" w:sz="4" w:space="0" w:color="auto"/>
              <w:right w:val="single" w:sz="4" w:space="0" w:color="auto"/>
            </w:tcBorders>
            <w:shd w:val="clear" w:color="000000" w:fill="auto"/>
            <w:vAlign w:val="center"/>
            <w:hideMark/>
          </w:tcPr>
          <w:p w14:paraId="35AF047F"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000000" w:fill="auto"/>
            <w:vAlign w:val="center"/>
            <w:hideMark/>
          </w:tcPr>
          <w:p w14:paraId="164C5A06"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B.4.l and B.4.m will show the mathematical functions involved and could be used to reproduce some model predictions.</w:t>
            </w:r>
          </w:p>
        </w:tc>
      </w:tr>
      <w:tr w:rsidR="00402FDF" w:rsidRPr="00937B31" w14:paraId="14F1E9C9" w14:textId="77777777" w:rsidTr="00937B31">
        <w:trPr>
          <w:trHeight w:val="980"/>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7D9DF641" w14:textId="4C061F27"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B.2.</w:t>
            </w:r>
            <w:r w:rsidR="00CD2E15">
              <w:rPr>
                <w:rFonts w:ascii="Times New Roman" w:eastAsia="Times New Roman" w:hAnsi="Times New Roman" w:cs="Times New Roman"/>
                <w:sz w:val="20"/>
                <w:szCs w:val="20"/>
              </w:rPr>
              <w:t>g</w:t>
            </w:r>
          </w:p>
        </w:tc>
        <w:tc>
          <w:tcPr>
            <w:tcW w:w="4446" w:type="dxa"/>
            <w:tcBorders>
              <w:top w:val="nil"/>
              <w:left w:val="nil"/>
              <w:bottom w:val="single" w:sz="4" w:space="0" w:color="auto"/>
              <w:right w:val="single" w:sz="4" w:space="0" w:color="auto"/>
            </w:tcBorders>
            <w:shd w:val="clear" w:color="000000" w:fill="auto"/>
            <w:vAlign w:val="center"/>
            <w:hideMark/>
          </w:tcPr>
          <w:p w14:paraId="2FFD246F" w14:textId="0C23076C"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xml:space="preserve">If there were data situations in which GLM weights </w:t>
            </w:r>
            <w:proofErr w:type="gramStart"/>
            <w:r w:rsidRPr="001F35DD">
              <w:rPr>
                <w:rFonts w:ascii="Times New Roman" w:eastAsia="Times New Roman" w:hAnsi="Times New Roman" w:cs="Times New Roman"/>
                <w:sz w:val="20"/>
                <w:szCs w:val="20"/>
              </w:rPr>
              <w:t>were used</w:t>
            </w:r>
            <w:proofErr w:type="gramEnd"/>
            <w:r w:rsidRPr="001F35DD">
              <w:rPr>
                <w:rFonts w:ascii="Times New Roman" w:eastAsia="Times New Roman" w:hAnsi="Times New Roman" w:cs="Times New Roman"/>
                <w:sz w:val="20"/>
                <w:szCs w:val="20"/>
              </w:rPr>
              <w:t>, obtain an explanation of how and why they were used.</w:t>
            </w:r>
          </w:p>
        </w:tc>
        <w:tc>
          <w:tcPr>
            <w:tcW w:w="990" w:type="dxa"/>
            <w:tcBorders>
              <w:top w:val="nil"/>
              <w:left w:val="nil"/>
              <w:bottom w:val="single" w:sz="4" w:space="0" w:color="auto"/>
              <w:right w:val="single" w:sz="4" w:space="0" w:color="auto"/>
            </w:tcBorders>
            <w:shd w:val="clear" w:color="000000" w:fill="auto"/>
            <w:vAlign w:val="center"/>
            <w:hideMark/>
          </w:tcPr>
          <w:p w14:paraId="1D6B83E1"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3</w:t>
            </w:r>
          </w:p>
        </w:tc>
        <w:tc>
          <w:tcPr>
            <w:tcW w:w="4590" w:type="dxa"/>
            <w:tcBorders>
              <w:top w:val="nil"/>
              <w:left w:val="nil"/>
              <w:bottom w:val="single" w:sz="4" w:space="0" w:color="auto"/>
              <w:right w:val="single" w:sz="4" w:space="0" w:color="auto"/>
            </w:tcBorders>
            <w:shd w:val="clear" w:color="000000" w:fill="auto"/>
            <w:vAlign w:val="center"/>
            <w:hideMark/>
          </w:tcPr>
          <w:p w14:paraId="40AF0224"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Investigate whether identical records were combined to build the model.</w:t>
            </w:r>
          </w:p>
        </w:tc>
      </w:tr>
      <w:tr w:rsidR="00402FDF" w:rsidRPr="00937B31" w14:paraId="1BBBAB38" w14:textId="77777777" w:rsidTr="00937B31">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000000" w:fill="auto"/>
            <w:vAlign w:val="center"/>
            <w:hideMark/>
          </w:tcPr>
          <w:p w14:paraId="496AA7FF" w14:textId="77777777" w:rsidR="001F35DD" w:rsidRPr="001F35DD" w:rsidRDefault="001F35DD" w:rsidP="001F35DD">
            <w:pPr>
              <w:spacing w:after="0" w:line="240" w:lineRule="auto"/>
              <w:rPr>
                <w:rFonts w:ascii="Times New Roman" w:eastAsia="Times New Roman" w:hAnsi="Times New Roman" w:cs="Times New Roman"/>
                <w:bCs/>
              </w:rPr>
            </w:pPr>
            <w:r w:rsidRPr="001F35DD">
              <w:rPr>
                <w:rFonts w:ascii="Times New Roman" w:eastAsia="Times New Roman" w:hAnsi="Times New Roman" w:cs="Times New Roman"/>
                <w:bCs/>
              </w:rPr>
              <w:t>3.  Predictor Variables</w:t>
            </w:r>
          </w:p>
        </w:tc>
      </w:tr>
      <w:tr w:rsidR="00402FDF" w:rsidRPr="00937B31" w14:paraId="70164632" w14:textId="77777777" w:rsidTr="00937B31">
        <w:trPr>
          <w:trHeight w:val="1700"/>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09A4450F"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B.3.a</w:t>
            </w:r>
          </w:p>
        </w:tc>
        <w:tc>
          <w:tcPr>
            <w:tcW w:w="4446" w:type="dxa"/>
            <w:tcBorders>
              <w:top w:val="nil"/>
              <w:left w:val="nil"/>
              <w:bottom w:val="single" w:sz="4" w:space="0" w:color="auto"/>
              <w:right w:val="single" w:sz="4" w:space="0" w:color="auto"/>
            </w:tcBorders>
            <w:shd w:val="clear" w:color="000000" w:fill="auto"/>
            <w:vAlign w:val="center"/>
            <w:hideMark/>
          </w:tcPr>
          <w:p w14:paraId="7DFA0F63" w14:textId="0A46E0F3"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xml:space="preserve">Obtain a complete data dictionary, including the names, types, definitions and uses of each predictor variable, offset variable, control variable, proxy variable, geographic variable, geodemographic variable and all other variables in the model (including sub-models and external models).  </w:t>
            </w:r>
          </w:p>
        </w:tc>
        <w:tc>
          <w:tcPr>
            <w:tcW w:w="990" w:type="dxa"/>
            <w:tcBorders>
              <w:top w:val="nil"/>
              <w:left w:val="nil"/>
              <w:bottom w:val="single" w:sz="4" w:space="0" w:color="auto"/>
              <w:right w:val="single" w:sz="4" w:space="0" w:color="auto"/>
            </w:tcBorders>
            <w:shd w:val="clear" w:color="000000" w:fill="auto"/>
            <w:vAlign w:val="center"/>
            <w:hideMark/>
          </w:tcPr>
          <w:p w14:paraId="7D2D38FB"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000000" w:fill="auto"/>
            <w:vAlign w:val="center"/>
            <w:hideMark/>
          </w:tcPr>
          <w:p w14:paraId="4AEFE44D"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Types of variables might be continuous, discrete, Boolean, etc.  Definitions should not use programming language or code.  For any variable(s) intended to function as a control or offset, obtain an explanation of their rationale and impact.</w:t>
            </w:r>
          </w:p>
        </w:tc>
      </w:tr>
      <w:tr w:rsidR="00402FDF" w:rsidRPr="00937B31" w14:paraId="577A0BDE" w14:textId="77777777" w:rsidTr="00937B31">
        <w:trPr>
          <w:trHeight w:val="1160"/>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473947F4" w14:textId="0207826A"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B.3.</w:t>
            </w:r>
            <w:r w:rsidR="00CD2E15">
              <w:rPr>
                <w:rFonts w:ascii="Times New Roman" w:eastAsia="Times New Roman" w:hAnsi="Times New Roman" w:cs="Times New Roman"/>
                <w:sz w:val="20"/>
                <w:szCs w:val="20"/>
              </w:rPr>
              <w:t>b</w:t>
            </w:r>
          </w:p>
        </w:tc>
        <w:tc>
          <w:tcPr>
            <w:tcW w:w="4446" w:type="dxa"/>
            <w:tcBorders>
              <w:top w:val="nil"/>
              <w:left w:val="nil"/>
              <w:bottom w:val="single" w:sz="4" w:space="0" w:color="auto"/>
              <w:right w:val="single" w:sz="4" w:space="0" w:color="auto"/>
            </w:tcBorders>
            <w:shd w:val="clear" w:color="000000" w:fill="auto"/>
            <w:vAlign w:val="center"/>
            <w:hideMark/>
          </w:tcPr>
          <w:p w14:paraId="7B8A2884"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Obtain a list of predictor variables considered but not used in the final model, and the rationale for their removal.</w:t>
            </w:r>
          </w:p>
        </w:tc>
        <w:tc>
          <w:tcPr>
            <w:tcW w:w="990" w:type="dxa"/>
            <w:tcBorders>
              <w:top w:val="nil"/>
              <w:left w:val="nil"/>
              <w:bottom w:val="single" w:sz="4" w:space="0" w:color="auto"/>
              <w:right w:val="single" w:sz="4" w:space="0" w:color="auto"/>
            </w:tcBorders>
            <w:shd w:val="clear" w:color="000000" w:fill="auto"/>
            <w:vAlign w:val="center"/>
            <w:hideMark/>
          </w:tcPr>
          <w:p w14:paraId="7E4137BA"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4</w:t>
            </w:r>
          </w:p>
        </w:tc>
        <w:tc>
          <w:tcPr>
            <w:tcW w:w="4590" w:type="dxa"/>
            <w:tcBorders>
              <w:top w:val="nil"/>
              <w:left w:val="nil"/>
              <w:bottom w:val="single" w:sz="4" w:space="0" w:color="auto"/>
              <w:right w:val="single" w:sz="4" w:space="0" w:color="auto"/>
            </w:tcBorders>
            <w:shd w:val="clear" w:color="000000" w:fill="auto"/>
            <w:vAlign w:val="center"/>
            <w:hideMark/>
          </w:tcPr>
          <w:p w14:paraId="2703CA71"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The rationale for this requirement is to identify variables that the company finds to be predictive but ultimately may reject for reasons other than loss-cost considerations (e.g., price optimization)</w:t>
            </w:r>
          </w:p>
        </w:tc>
      </w:tr>
      <w:tr w:rsidR="00402FDF" w:rsidRPr="00937B31" w14:paraId="6BA49EB0" w14:textId="77777777" w:rsidTr="00937B31">
        <w:trPr>
          <w:trHeight w:val="1152"/>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5A9C6230" w14:textId="03B1DD7F"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B.3.</w:t>
            </w:r>
            <w:r w:rsidR="00CD2E15">
              <w:rPr>
                <w:rFonts w:ascii="Times New Roman" w:eastAsia="Times New Roman" w:hAnsi="Times New Roman" w:cs="Times New Roman"/>
                <w:sz w:val="20"/>
                <w:szCs w:val="20"/>
              </w:rPr>
              <w:t>c</w:t>
            </w:r>
          </w:p>
        </w:tc>
        <w:tc>
          <w:tcPr>
            <w:tcW w:w="4446" w:type="dxa"/>
            <w:tcBorders>
              <w:top w:val="nil"/>
              <w:left w:val="nil"/>
              <w:bottom w:val="single" w:sz="4" w:space="0" w:color="auto"/>
              <w:right w:val="single" w:sz="4" w:space="0" w:color="auto"/>
            </w:tcBorders>
            <w:shd w:val="clear" w:color="000000" w:fill="auto"/>
            <w:vAlign w:val="center"/>
            <w:hideMark/>
          </w:tcPr>
          <w:p w14:paraId="3C6FC319"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Obtain a correlation matrix for all predictor variables included in the model and sub-model(s).</w:t>
            </w:r>
          </w:p>
        </w:tc>
        <w:tc>
          <w:tcPr>
            <w:tcW w:w="990" w:type="dxa"/>
            <w:tcBorders>
              <w:top w:val="nil"/>
              <w:left w:val="nil"/>
              <w:bottom w:val="single" w:sz="4" w:space="0" w:color="auto"/>
              <w:right w:val="single" w:sz="4" w:space="0" w:color="auto"/>
            </w:tcBorders>
            <w:shd w:val="clear" w:color="000000" w:fill="auto"/>
            <w:vAlign w:val="center"/>
            <w:hideMark/>
          </w:tcPr>
          <w:p w14:paraId="269C72FF"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000000" w:fill="auto"/>
            <w:vAlign w:val="center"/>
            <w:hideMark/>
          </w:tcPr>
          <w:p w14:paraId="5AF45D1A"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While GLMs accommodate collinearity, the correlation matrix provides more information about the magnitude of correlation between variables.</w:t>
            </w:r>
          </w:p>
        </w:tc>
      </w:tr>
      <w:tr w:rsidR="00402FDF" w:rsidRPr="00937B31" w14:paraId="161E31D1" w14:textId="77777777" w:rsidTr="00937B31">
        <w:trPr>
          <w:trHeight w:val="1457"/>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2568A386" w14:textId="23F43E0B"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B.3.</w:t>
            </w:r>
            <w:r w:rsidR="00CD2E15">
              <w:rPr>
                <w:rFonts w:ascii="Times New Roman" w:eastAsia="Times New Roman" w:hAnsi="Times New Roman" w:cs="Times New Roman"/>
                <w:sz w:val="20"/>
                <w:szCs w:val="20"/>
              </w:rPr>
              <w:t>d</w:t>
            </w:r>
          </w:p>
        </w:tc>
        <w:tc>
          <w:tcPr>
            <w:tcW w:w="4446" w:type="dxa"/>
            <w:tcBorders>
              <w:top w:val="nil"/>
              <w:left w:val="nil"/>
              <w:bottom w:val="single" w:sz="4" w:space="0" w:color="auto"/>
              <w:right w:val="single" w:sz="4" w:space="0" w:color="auto"/>
            </w:tcBorders>
            <w:shd w:val="clear" w:color="000000" w:fill="auto"/>
            <w:vAlign w:val="center"/>
            <w:hideMark/>
          </w:tcPr>
          <w:p w14:paraId="3A562093" w14:textId="0B78934E"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xml:space="preserve">Obtain an intuitive explanation for why an increase in each predictor variable should increase or decrease frequency, severity, loss costs, expenses, or any element or characteristic </w:t>
            </w:r>
            <w:proofErr w:type="gramStart"/>
            <w:r w:rsidRPr="001F35DD">
              <w:rPr>
                <w:rFonts w:ascii="Times New Roman" w:eastAsia="Times New Roman" w:hAnsi="Times New Roman" w:cs="Times New Roman"/>
                <w:sz w:val="20"/>
                <w:szCs w:val="20"/>
              </w:rPr>
              <w:t>being predicted</w:t>
            </w:r>
            <w:proofErr w:type="gramEnd"/>
            <w:r w:rsidRPr="001F35DD">
              <w:rPr>
                <w:rFonts w:ascii="Times New Roman" w:eastAsia="Times New Roman" w:hAnsi="Times New Roman" w:cs="Times New Roman"/>
                <w:sz w:val="20"/>
                <w:szCs w:val="20"/>
              </w:rPr>
              <w:t xml:space="preserve">.  </w:t>
            </w:r>
          </w:p>
        </w:tc>
        <w:tc>
          <w:tcPr>
            <w:tcW w:w="990" w:type="dxa"/>
            <w:tcBorders>
              <w:top w:val="nil"/>
              <w:left w:val="nil"/>
              <w:bottom w:val="single" w:sz="4" w:space="0" w:color="auto"/>
              <w:right w:val="single" w:sz="4" w:space="0" w:color="auto"/>
            </w:tcBorders>
            <w:shd w:val="clear" w:color="000000" w:fill="auto"/>
            <w:vAlign w:val="center"/>
            <w:hideMark/>
          </w:tcPr>
          <w:p w14:paraId="152C7987"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000000" w:fill="auto"/>
            <w:vAlign w:val="center"/>
            <w:hideMark/>
          </w:tcPr>
          <w:p w14:paraId="663EE684"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The explanation should go beyond demonstrating correlation.  Considering possible causation is relevant, but proving causation is neither practical nor expected.  If no intuitive explanation can be provided, greater scrutiny may be appropriate.</w:t>
            </w:r>
          </w:p>
        </w:tc>
      </w:tr>
      <w:tr w:rsidR="00402FDF" w:rsidRPr="00937B31" w14:paraId="3C654B71" w14:textId="77777777" w:rsidTr="00937B31">
        <w:trPr>
          <w:trHeight w:val="3077"/>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7F9078F2" w14:textId="5D79985E"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B.3.</w:t>
            </w:r>
            <w:r w:rsidR="00CD2E15">
              <w:rPr>
                <w:rFonts w:ascii="Times New Roman" w:eastAsia="Times New Roman" w:hAnsi="Times New Roman" w:cs="Times New Roman"/>
                <w:sz w:val="20"/>
                <w:szCs w:val="20"/>
              </w:rPr>
              <w:t>e</w:t>
            </w:r>
          </w:p>
        </w:tc>
        <w:tc>
          <w:tcPr>
            <w:tcW w:w="4446" w:type="dxa"/>
            <w:tcBorders>
              <w:top w:val="nil"/>
              <w:left w:val="nil"/>
              <w:bottom w:val="single" w:sz="4" w:space="0" w:color="auto"/>
              <w:right w:val="single" w:sz="4" w:space="0" w:color="auto"/>
            </w:tcBorders>
            <w:shd w:val="clear" w:color="000000" w:fill="auto"/>
            <w:vAlign w:val="center"/>
            <w:hideMark/>
          </w:tcPr>
          <w:p w14:paraId="647CEB66" w14:textId="29423CBC"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If the modeler made use of one or more dimensionality reduction techniques, such as a Principal Component Analysis (PCA), obtain a narrative about that process, an explanation why that technique was chosen, and a description of the step-by-step process used to transform observations (usually correlated) into a set of linearly uncorrelated variables.  In each instance, obtain a list of the pre-transformation and post-transformation variable names, and an explanation how the results of the dimensionality reduction technique was used within the model.</w:t>
            </w:r>
          </w:p>
        </w:tc>
        <w:tc>
          <w:tcPr>
            <w:tcW w:w="990" w:type="dxa"/>
            <w:tcBorders>
              <w:top w:val="nil"/>
              <w:left w:val="nil"/>
              <w:bottom w:val="single" w:sz="4" w:space="0" w:color="auto"/>
              <w:right w:val="single" w:sz="4" w:space="0" w:color="auto"/>
            </w:tcBorders>
            <w:shd w:val="clear" w:color="000000" w:fill="auto"/>
            <w:vAlign w:val="center"/>
            <w:hideMark/>
          </w:tcPr>
          <w:p w14:paraId="275FA244"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000000" w:fill="auto"/>
            <w:vAlign w:val="center"/>
            <w:hideMark/>
          </w:tcPr>
          <w:p w14:paraId="1AE0C7FF"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w:t>
            </w:r>
          </w:p>
        </w:tc>
      </w:tr>
      <w:tr w:rsidR="00402FDF" w:rsidRPr="00937B31" w14:paraId="69A03AA9" w14:textId="77777777" w:rsidTr="00937B31">
        <w:trPr>
          <w:trHeight w:val="728"/>
        </w:trPr>
        <w:tc>
          <w:tcPr>
            <w:tcW w:w="10800" w:type="dxa"/>
            <w:gridSpan w:val="4"/>
            <w:tcBorders>
              <w:top w:val="single" w:sz="4" w:space="0" w:color="auto"/>
              <w:left w:val="single" w:sz="4" w:space="0" w:color="auto"/>
              <w:bottom w:val="single" w:sz="4" w:space="0" w:color="auto"/>
              <w:right w:val="single" w:sz="4" w:space="0" w:color="auto"/>
            </w:tcBorders>
            <w:shd w:val="clear" w:color="000000" w:fill="auto"/>
            <w:vAlign w:val="center"/>
            <w:hideMark/>
          </w:tcPr>
          <w:p w14:paraId="7FD00016" w14:textId="1F5F5D4F" w:rsidR="001F35DD" w:rsidRPr="001F35DD" w:rsidRDefault="001F35DD" w:rsidP="001F35DD">
            <w:pPr>
              <w:spacing w:after="0" w:line="240" w:lineRule="auto"/>
              <w:rPr>
                <w:rFonts w:ascii="Times New Roman" w:eastAsia="Times New Roman" w:hAnsi="Times New Roman" w:cs="Times New Roman"/>
                <w:bCs/>
              </w:rPr>
            </w:pPr>
            <w:r w:rsidRPr="001F35DD">
              <w:rPr>
                <w:rFonts w:ascii="Times New Roman" w:eastAsia="Times New Roman" w:hAnsi="Times New Roman" w:cs="Times New Roman"/>
                <w:bCs/>
              </w:rPr>
              <w:t>4.  Adjusting Data, Model Validation and Goodness-of-Fit Measures</w:t>
            </w:r>
          </w:p>
        </w:tc>
      </w:tr>
      <w:tr w:rsidR="00402FDF" w:rsidRPr="00937B31" w14:paraId="63DFDB83" w14:textId="77777777" w:rsidTr="00937B31">
        <w:trPr>
          <w:trHeight w:val="2870"/>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4E47A81E" w14:textId="5517904C"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B.4.</w:t>
            </w:r>
            <w:r w:rsidR="00CD2E15">
              <w:rPr>
                <w:rFonts w:ascii="Times New Roman" w:eastAsia="Times New Roman" w:hAnsi="Times New Roman" w:cs="Times New Roman"/>
                <w:sz w:val="20"/>
                <w:szCs w:val="20"/>
              </w:rPr>
              <w:t>a</w:t>
            </w:r>
          </w:p>
        </w:tc>
        <w:tc>
          <w:tcPr>
            <w:tcW w:w="4446" w:type="dxa"/>
            <w:tcBorders>
              <w:top w:val="nil"/>
              <w:left w:val="nil"/>
              <w:bottom w:val="single" w:sz="4" w:space="0" w:color="auto"/>
              <w:right w:val="single" w:sz="4" w:space="0" w:color="auto"/>
            </w:tcBorders>
            <w:shd w:val="clear" w:color="000000" w:fill="auto"/>
            <w:vAlign w:val="center"/>
            <w:hideMark/>
          </w:tcPr>
          <w:p w14:paraId="2E095679" w14:textId="1903EE76"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Obtain a description of the methods used to assess the statistical significance/goodness of the fit of the model to validation data, such as lift charts and statistical tests. Compare the model's projected results to historical actual results and verify that modeled results are reasonably similar to actual results from validation data.</w:t>
            </w:r>
          </w:p>
        </w:tc>
        <w:tc>
          <w:tcPr>
            <w:tcW w:w="990" w:type="dxa"/>
            <w:tcBorders>
              <w:top w:val="nil"/>
              <w:left w:val="nil"/>
              <w:bottom w:val="single" w:sz="4" w:space="0" w:color="auto"/>
              <w:right w:val="single" w:sz="4" w:space="0" w:color="auto"/>
            </w:tcBorders>
            <w:shd w:val="clear" w:color="000000" w:fill="auto"/>
            <w:vAlign w:val="center"/>
            <w:hideMark/>
          </w:tcPr>
          <w:p w14:paraId="3747360D"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000000" w:fill="auto"/>
            <w:vAlign w:val="center"/>
            <w:hideMark/>
          </w:tcPr>
          <w:p w14:paraId="41F15F3F" w14:textId="54351C3E"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xml:space="preserve">For models that are built using multi-state data, validation data for some segments of risk is likely to have low credibility in individual states.  Nevertheless, some regulators require model validation on State-only data, especially when analysis using state-only data contradicts the countrywide results. State-only data might be more applicable but could also be impacted by low credibility for some segments of risk. </w:t>
            </w:r>
            <w:r w:rsidRPr="001F35DD">
              <w:rPr>
                <w:rFonts w:ascii="Times New Roman" w:eastAsia="Times New Roman" w:hAnsi="Times New Roman" w:cs="Times New Roman"/>
                <w:sz w:val="20"/>
                <w:szCs w:val="20"/>
              </w:rPr>
              <w:br/>
            </w:r>
            <w:r w:rsidRPr="001F35DD">
              <w:rPr>
                <w:rFonts w:ascii="Times New Roman" w:eastAsia="Times New Roman" w:hAnsi="Times New Roman" w:cs="Times New Roman"/>
                <w:sz w:val="20"/>
                <w:szCs w:val="20"/>
              </w:rPr>
              <w:br/>
              <w:t>Look for geographic stability measures, e.g., across states or territories within state.</w:t>
            </w:r>
          </w:p>
        </w:tc>
      </w:tr>
      <w:tr w:rsidR="00402FDF" w:rsidRPr="00937B31" w14:paraId="406717DA" w14:textId="77777777" w:rsidTr="00937B31">
        <w:trPr>
          <w:trHeight w:val="1440"/>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059DB56D" w14:textId="5AACE075"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B.4.</w:t>
            </w:r>
            <w:r w:rsidR="00CD2E15">
              <w:rPr>
                <w:rFonts w:ascii="Times New Roman" w:eastAsia="Times New Roman" w:hAnsi="Times New Roman" w:cs="Times New Roman"/>
                <w:sz w:val="20"/>
                <w:szCs w:val="20"/>
              </w:rPr>
              <w:t>b</w:t>
            </w:r>
          </w:p>
        </w:tc>
        <w:tc>
          <w:tcPr>
            <w:tcW w:w="4446" w:type="dxa"/>
            <w:tcBorders>
              <w:top w:val="nil"/>
              <w:left w:val="nil"/>
              <w:bottom w:val="single" w:sz="4" w:space="0" w:color="auto"/>
              <w:right w:val="single" w:sz="4" w:space="0" w:color="auto"/>
            </w:tcBorders>
            <w:shd w:val="clear" w:color="000000" w:fill="auto"/>
            <w:vAlign w:val="center"/>
            <w:hideMark/>
          </w:tcPr>
          <w:p w14:paraId="0E45DC82"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xml:space="preserve">Obtain a description of any adjustments that </w:t>
            </w:r>
            <w:proofErr w:type="gramStart"/>
            <w:r w:rsidRPr="001F35DD">
              <w:rPr>
                <w:rFonts w:ascii="Times New Roman" w:eastAsia="Times New Roman" w:hAnsi="Times New Roman" w:cs="Times New Roman"/>
                <w:sz w:val="20"/>
                <w:szCs w:val="20"/>
              </w:rPr>
              <w:t>were made</w:t>
            </w:r>
            <w:proofErr w:type="gramEnd"/>
            <w:r w:rsidRPr="001F35DD">
              <w:rPr>
                <w:rFonts w:ascii="Times New Roman" w:eastAsia="Times New Roman" w:hAnsi="Times New Roman" w:cs="Times New Roman"/>
                <w:sz w:val="20"/>
                <w:szCs w:val="20"/>
              </w:rPr>
              <w:t xml:space="preserve"> in the data with respect to scaling for discrete variables or binning the data.</w:t>
            </w:r>
          </w:p>
        </w:tc>
        <w:tc>
          <w:tcPr>
            <w:tcW w:w="990" w:type="dxa"/>
            <w:tcBorders>
              <w:top w:val="nil"/>
              <w:left w:val="nil"/>
              <w:bottom w:val="single" w:sz="4" w:space="0" w:color="auto"/>
              <w:right w:val="single" w:sz="4" w:space="0" w:color="auto"/>
            </w:tcBorders>
            <w:shd w:val="clear" w:color="000000" w:fill="auto"/>
            <w:vAlign w:val="center"/>
            <w:hideMark/>
          </w:tcPr>
          <w:p w14:paraId="29292CC3"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000000" w:fill="auto"/>
            <w:vAlign w:val="center"/>
            <w:hideMark/>
          </w:tcPr>
          <w:p w14:paraId="2BA6FDE6"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A.3.f addresses pre-modeling adjustments to data.  In the mid-level narrative context, B.2.a addresses judgments of any kind made during modeling. Only choices made at "crucial points in model development" need be discussed.</w:t>
            </w:r>
          </w:p>
        </w:tc>
      </w:tr>
      <w:tr w:rsidR="00402FDF" w:rsidRPr="00937B31" w14:paraId="0AE8D56F" w14:textId="77777777" w:rsidTr="00937B31">
        <w:trPr>
          <w:trHeight w:val="5057"/>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0374C4E8" w14:textId="1DFB8DF7"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B.4.</w:t>
            </w:r>
            <w:r w:rsidR="00CD2E15">
              <w:rPr>
                <w:rFonts w:ascii="Times New Roman" w:eastAsia="Times New Roman" w:hAnsi="Times New Roman" w:cs="Times New Roman"/>
                <w:sz w:val="20"/>
                <w:szCs w:val="20"/>
              </w:rPr>
              <w:t>c</w:t>
            </w:r>
          </w:p>
        </w:tc>
        <w:tc>
          <w:tcPr>
            <w:tcW w:w="4446" w:type="dxa"/>
            <w:tcBorders>
              <w:top w:val="nil"/>
              <w:left w:val="nil"/>
              <w:bottom w:val="single" w:sz="4" w:space="0" w:color="auto"/>
              <w:right w:val="single" w:sz="4" w:space="0" w:color="auto"/>
            </w:tcBorders>
            <w:shd w:val="clear" w:color="000000" w:fill="auto"/>
            <w:vAlign w:val="center"/>
            <w:hideMark/>
          </w:tcPr>
          <w:p w14:paraId="31B2BD24"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Obtain a description of any transformations made for continuous variables.</w:t>
            </w:r>
          </w:p>
        </w:tc>
        <w:tc>
          <w:tcPr>
            <w:tcW w:w="990" w:type="dxa"/>
            <w:tcBorders>
              <w:top w:val="nil"/>
              <w:left w:val="nil"/>
              <w:bottom w:val="single" w:sz="4" w:space="0" w:color="auto"/>
              <w:right w:val="single" w:sz="4" w:space="0" w:color="auto"/>
            </w:tcBorders>
            <w:shd w:val="clear" w:color="000000" w:fill="auto"/>
            <w:vAlign w:val="center"/>
            <w:hideMark/>
          </w:tcPr>
          <w:p w14:paraId="310EE525"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000000" w:fill="auto"/>
            <w:vAlign w:val="center"/>
            <w:hideMark/>
          </w:tcPr>
          <w:p w14:paraId="237998D4"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A.3.f addresses pre-modeling transformations to data.  In the mid-level narrative context, B.2.a addresses transformations of any kind made during modeling. Only choices made at "crucial points in model development" need be discussed.</w:t>
            </w:r>
            <w:r w:rsidRPr="001F35DD">
              <w:rPr>
                <w:rFonts w:ascii="Times New Roman" w:eastAsia="Times New Roman" w:hAnsi="Times New Roman" w:cs="Times New Roman"/>
                <w:sz w:val="20"/>
                <w:szCs w:val="20"/>
              </w:rPr>
              <w:br/>
            </w:r>
            <w:r w:rsidRPr="001F35DD">
              <w:rPr>
                <w:rFonts w:ascii="Times New Roman" w:eastAsia="Times New Roman" w:hAnsi="Times New Roman" w:cs="Times New Roman"/>
                <w:sz w:val="20"/>
                <w:szCs w:val="20"/>
              </w:rPr>
              <w:br/>
              <w:t>To build a unique model with acceptable goodness-of-fit to the training data, important steps have been taken.  Such steps may have been numerous, and at least some of the judgments involved may be difficult to describe and explain.  Nevertheless, neither the model filer nor the reviewer can assume these steps are immaterial, generally understood, or implied by the model's generic form.  The model filer should anticipate regulatory concerns in its initial submission by identifying and explaining the model fitting steps it considers most important.  If a reviewer has regulatory concerns not resolved by the initial submission, appropriate follow up inquiries are likely to depend on the particular circumstances.</w:t>
            </w:r>
          </w:p>
        </w:tc>
      </w:tr>
      <w:tr w:rsidR="00402FDF" w:rsidRPr="00937B31" w14:paraId="38F6BA87" w14:textId="77777777" w:rsidTr="00937B31">
        <w:trPr>
          <w:trHeight w:val="5057"/>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2150C3B1" w14:textId="327FCC8E"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B.4.</w:t>
            </w:r>
            <w:r w:rsidR="00CD2E15">
              <w:rPr>
                <w:rFonts w:ascii="Times New Roman" w:eastAsia="Times New Roman" w:hAnsi="Times New Roman" w:cs="Times New Roman"/>
                <w:sz w:val="20"/>
                <w:szCs w:val="20"/>
              </w:rPr>
              <w:t>d</w:t>
            </w:r>
          </w:p>
        </w:tc>
        <w:tc>
          <w:tcPr>
            <w:tcW w:w="4446" w:type="dxa"/>
            <w:tcBorders>
              <w:top w:val="nil"/>
              <w:left w:val="nil"/>
              <w:bottom w:val="single" w:sz="4" w:space="0" w:color="auto"/>
              <w:right w:val="single" w:sz="4" w:space="0" w:color="auto"/>
            </w:tcBorders>
            <w:shd w:val="clear" w:color="000000" w:fill="auto"/>
            <w:vAlign w:val="center"/>
            <w:hideMark/>
          </w:tcPr>
          <w:p w14:paraId="327011E7" w14:textId="7DEFB4DF"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For each discrete variable level, review the parameter value, confidence intervals, chi-square tests, p-values and any other relevant and material tests. Determine if model development data, validation data, test data or othe</w:t>
            </w:r>
            <w:r w:rsidR="00442438">
              <w:rPr>
                <w:rFonts w:ascii="Times New Roman" w:eastAsia="Times New Roman" w:hAnsi="Times New Roman" w:cs="Times New Roman"/>
                <w:sz w:val="20"/>
                <w:szCs w:val="20"/>
              </w:rPr>
              <w:t>r data was used for these tests.</w:t>
            </w:r>
          </w:p>
        </w:tc>
        <w:tc>
          <w:tcPr>
            <w:tcW w:w="990" w:type="dxa"/>
            <w:tcBorders>
              <w:top w:val="nil"/>
              <w:left w:val="nil"/>
              <w:bottom w:val="single" w:sz="4" w:space="0" w:color="auto"/>
              <w:right w:val="single" w:sz="4" w:space="0" w:color="auto"/>
            </w:tcBorders>
            <w:shd w:val="clear" w:color="000000" w:fill="auto"/>
            <w:vAlign w:val="center"/>
            <w:hideMark/>
          </w:tcPr>
          <w:p w14:paraId="106B9207"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000000" w:fill="auto"/>
            <w:vAlign w:val="center"/>
            <w:hideMark/>
          </w:tcPr>
          <w:p w14:paraId="09CDD87C" w14:textId="3BCC3B29" w:rsidR="001F35DD" w:rsidRPr="001F35DD" w:rsidRDefault="001F35DD" w:rsidP="00442438">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Typical p-values greater than 5% are large and should be questioned. Reasonable business judgment can sometimes provide legitimate support for high p-values. Reasonableness of the p-value threshold could also vary depending on the context of the model, e.g., the threshold might be lower when many candidate variables were evaluated for inclusion in the model.</w:t>
            </w:r>
            <w:r w:rsidRPr="001F35DD">
              <w:rPr>
                <w:rFonts w:ascii="Times New Roman" w:eastAsia="Times New Roman" w:hAnsi="Times New Roman" w:cs="Times New Roman"/>
                <w:sz w:val="20"/>
                <w:szCs w:val="20"/>
              </w:rPr>
              <w:br/>
            </w:r>
            <w:r w:rsidRPr="001F35DD">
              <w:rPr>
                <w:rFonts w:ascii="Times New Roman" w:eastAsia="Times New Roman" w:hAnsi="Times New Roman" w:cs="Times New Roman"/>
                <w:sz w:val="20"/>
                <w:szCs w:val="20"/>
              </w:rPr>
              <w:br/>
              <w:t xml:space="preserve">Overall lift charts and/or statistical tests using validation data may not provide enough of the picture.  If there is concern about one or more individual variables, the reviewer may obtain, for each discrete variable level, the parameter value, confidence intervals, chi-square tests, p-values and any other relevant and material tests.  For variables that are modeled continuously, it may be sufficient to obtain statistics around the modeled </w:t>
            </w:r>
            <w:r w:rsidR="00442438" w:rsidRPr="001F35DD">
              <w:rPr>
                <w:rFonts w:ascii="Times New Roman" w:eastAsia="Times New Roman" w:hAnsi="Times New Roman" w:cs="Times New Roman"/>
                <w:sz w:val="20"/>
                <w:szCs w:val="20"/>
              </w:rPr>
              <w:t>parameters;</w:t>
            </w:r>
            <w:r w:rsidRPr="001F35DD">
              <w:rPr>
                <w:rFonts w:ascii="Times New Roman" w:eastAsia="Times New Roman" w:hAnsi="Times New Roman" w:cs="Times New Roman"/>
                <w:sz w:val="20"/>
                <w:szCs w:val="20"/>
              </w:rPr>
              <w:t xml:space="preserve"> for example, confidence intervals around each level of an AOI curve might be more than </w:t>
            </w:r>
            <w:r w:rsidR="00442438" w:rsidRPr="001F35DD">
              <w:rPr>
                <w:rFonts w:ascii="Times New Roman" w:eastAsia="Times New Roman" w:hAnsi="Times New Roman" w:cs="Times New Roman"/>
                <w:sz w:val="20"/>
                <w:szCs w:val="20"/>
              </w:rPr>
              <w:t>what is</w:t>
            </w:r>
            <w:r w:rsidRPr="001F35DD">
              <w:rPr>
                <w:rFonts w:ascii="Times New Roman" w:eastAsia="Times New Roman" w:hAnsi="Times New Roman" w:cs="Times New Roman"/>
                <w:sz w:val="20"/>
                <w:szCs w:val="20"/>
              </w:rPr>
              <w:t xml:space="preserve"> needed.</w:t>
            </w:r>
          </w:p>
        </w:tc>
      </w:tr>
      <w:tr w:rsidR="00402FDF" w:rsidRPr="00937B31" w14:paraId="1DC9B061" w14:textId="77777777" w:rsidTr="00937B31">
        <w:trPr>
          <w:trHeight w:val="5040"/>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12C6F92E" w14:textId="3D863E69"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B.4.</w:t>
            </w:r>
            <w:r w:rsidR="00CD2E15">
              <w:rPr>
                <w:rFonts w:ascii="Times New Roman" w:eastAsia="Times New Roman" w:hAnsi="Times New Roman" w:cs="Times New Roman"/>
                <w:sz w:val="20"/>
                <w:szCs w:val="20"/>
              </w:rPr>
              <w:t>e</w:t>
            </w:r>
          </w:p>
        </w:tc>
        <w:tc>
          <w:tcPr>
            <w:tcW w:w="4446" w:type="dxa"/>
            <w:tcBorders>
              <w:top w:val="nil"/>
              <w:left w:val="nil"/>
              <w:bottom w:val="single" w:sz="4" w:space="0" w:color="auto"/>
              <w:right w:val="single" w:sz="4" w:space="0" w:color="auto"/>
            </w:tcBorders>
            <w:shd w:val="clear" w:color="000000" w:fill="auto"/>
            <w:vAlign w:val="center"/>
            <w:hideMark/>
          </w:tcPr>
          <w:p w14:paraId="76522011" w14:textId="044866C3"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xml:space="preserve">Identify the threshold for statistical significance and explain why it </w:t>
            </w:r>
            <w:proofErr w:type="gramStart"/>
            <w:r w:rsidRPr="001F35DD">
              <w:rPr>
                <w:rFonts w:ascii="Times New Roman" w:eastAsia="Times New Roman" w:hAnsi="Times New Roman" w:cs="Times New Roman"/>
                <w:sz w:val="20"/>
                <w:szCs w:val="20"/>
              </w:rPr>
              <w:t>was selected</w:t>
            </w:r>
            <w:proofErr w:type="gramEnd"/>
            <w:r w:rsidRPr="001F35DD">
              <w:rPr>
                <w:rFonts w:ascii="Times New Roman" w:eastAsia="Times New Roman" w:hAnsi="Times New Roman" w:cs="Times New Roman"/>
                <w:sz w:val="20"/>
                <w:szCs w:val="20"/>
              </w:rPr>
              <w:t>. Obtain a reasonable and appropriately supported explanation for keeping the variable for each discrete variable level where the p-values were not less than the chosen threshold.</w:t>
            </w:r>
          </w:p>
        </w:tc>
        <w:tc>
          <w:tcPr>
            <w:tcW w:w="990" w:type="dxa"/>
            <w:tcBorders>
              <w:top w:val="nil"/>
              <w:left w:val="nil"/>
              <w:bottom w:val="single" w:sz="4" w:space="0" w:color="auto"/>
              <w:right w:val="single" w:sz="4" w:space="0" w:color="auto"/>
            </w:tcBorders>
            <w:shd w:val="clear" w:color="000000" w:fill="auto"/>
            <w:vAlign w:val="center"/>
            <w:hideMark/>
          </w:tcPr>
          <w:p w14:paraId="47A51B85"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000000" w:fill="auto"/>
            <w:vAlign w:val="center"/>
            <w:hideMark/>
          </w:tcPr>
          <w:p w14:paraId="241D9429" w14:textId="2B1B4C51" w:rsidR="001F35DD" w:rsidRPr="001F35DD" w:rsidRDefault="001F35DD" w:rsidP="00442438">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Typical p-values greater than 5% are large and should be questioned. Reasonable business judgment can sometimes provide legitimate support for high p-values. Reasonableness of the p-value threshold could also vary depending on the context of the model, e.g., the threshold might be lower when many candidate variables were evaluated for inclusion in the model.</w:t>
            </w:r>
            <w:r w:rsidRPr="001F35DD">
              <w:rPr>
                <w:rFonts w:ascii="Times New Roman" w:eastAsia="Times New Roman" w:hAnsi="Times New Roman" w:cs="Times New Roman"/>
                <w:sz w:val="20"/>
                <w:szCs w:val="20"/>
              </w:rPr>
              <w:br/>
            </w:r>
            <w:r w:rsidRPr="001F35DD">
              <w:rPr>
                <w:rFonts w:ascii="Times New Roman" w:eastAsia="Times New Roman" w:hAnsi="Times New Roman" w:cs="Times New Roman"/>
                <w:sz w:val="20"/>
                <w:szCs w:val="20"/>
              </w:rPr>
              <w:br/>
              <w:t xml:space="preserve">Overall lift charts and/or statistical tests using validation data may not provide enough of the picture.  If there is concern about one or more individual variables, the reviewer may obtain, for each discrete variable level, the parameter value, confidence intervals, chi-square tests, p-values and any other relevant and material tests.  For variables that are modeled continuously, it may be sufficient to obtain statistics around the modeled </w:t>
            </w:r>
            <w:r w:rsidR="00442438" w:rsidRPr="001F35DD">
              <w:rPr>
                <w:rFonts w:ascii="Times New Roman" w:eastAsia="Times New Roman" w:hAnsi="Times New Roman" w:cs="Times New Roman"/>
                <w:sz w:val="20"/>
                <w:szCs w:val="20"/>
              </w:rPr>
              <w:t>parameters;</w:t>
            </w:r>
            <w:r w:rsidRPr="001F35DD">
              <w:rPr>
                <w:rFonts w:ascii="Times New Roman" w:eastAsia="Times New Roman" w:hAnsi="Times New Roman" w:cs="Times New Roman"/>
                <w:sz w:val="20"/>
                <w:szCs w:val="20"/>
              </w:rPr>
              <w:t xml:space="preserve"> for example, confidence intervals around each level of an AOI curve might be more than </w:t>
            </w:r>
            <w:r w:rsidR="00442438" w:rsidRPr="001F35DD">
              <w:rPr>
                <w:rFonts w:ascii="Times New Roman" w:eastAsia="Times New Roman" w:hAnsi="Times New Roman" w:cs="Times New Roman"/>
                <w:sz w:val="20"/>
                <w:szCs w:val="20"/>
              </w:rPr>
              <w:t>what is</w:t>
            </w:r>
            <w:r w:rsidRPr="001F35DD">
              <w:rPr>
                <w:rFonts w:ascii="Times New Roman" w:eastAsia="Times New Roman" w:hAnsi="Times New Roman" w:cs="Times New Roman"/>
                <w:sz w:val="20"/>
                <w:szCs w:val="20"/>
              </w:rPr>
              <w:t xml:space="preserve"> needed.</w:t>
            </w:r>
          </w:p>
        </w:tc>
      </w:tr>
      <w:tr w:rsidR="00402FDF" w:rsidRPr="00937B31" w14:paraId="17B86F72" w14:textId="77777777" w:rsidTr="00937B31">
        <w:trPr>
          <w:trHeight w:val="4967"/>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338FE6C4" w14:textId="43FF2921"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B.4.</w:t>
            </w:r>
            <w:r w:rsidR="00CD2E15">
              <w:rPr>
                <w:rFonts w:ascii="Times New Roman" w:eastAsia="Times New Roman" w:hAnsi="Times New Roman" w:cs="Times New Roman"/>
                <w:sz w:val="20"/>
                <w:szCs w:val="20"/>
              </w:rPr>
              <w:t>f</w:t>
            </w:r>
          </w:p>
        </w:tc>
        <w:tc>
          <w:tcPr>
            <w:tcW w:w="4446" w:type="dxa"/>
            <w:tcBorders>
              <w:top w:val="nil"/>
              <w:left w:val="nil"/>
              <w:bottom w:val="single" w:sz="4" w:space="0" w:color="auto"/>
              <w:right w:val="single" w:sz="4" w:space="0" w:color="auto"/>
            </w:tcBorders>
            <w:shd w:val="clear" w:color="000000" w:fill="auto"/>
            <w:vAlign w:val="center"/>
            <w:hideMark/>
          </w:tcPr>
          <w:p w14:paraId="3294ACAB"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For overall discrete variables, review type 3 chi-square tests, p-values, F tests and any other relevant and material test. Determine if model development data, validation data, test data or other data was used for these tests.</w:t>
            </w:r>
          </w:p>
        </w:tc>
        <w:tc>
          <w:tcPr>
            <w:tcW w:w="990" w:type="dxa"/>
            <w:tcBorders>
              <w:top w:val="nil"/>
              <w:left w:val="nil"/>
              <w:bottom w:val="single" w:sz="4" w:space="0" w:color="auto"/>
              <w:right w:val="single" w:sz="4" w:space="0" w:color="auto"/>
            </w:tcBorders>
            <w:shd w:val="clear" w:color="000000" w:fill="auto"/>
            <w:vAlign w:val="center"/>
            <w:hideMark/>
          </w:tcPr>
          <w:p w14:paraId="0CB0F032"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000000" w:fill="auto"/>
            <w:vAlign w:val="center"/>
            <w:hideMark/>
          </w:tcPr>
          <w:p w14:paraId="7AFB59FE" w14:textId="4F6BAF0F" w:rsidR="001F35DD" w:rsidRPr="001F35DD" w:rsidRDefault="001F35DD" w:rsidP="00442438">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Typical p-values greater than 5% are large and should be questioned. Reasonable business judgment can sometimes provide legitimate support for high p-values. Reasonableness of the p-value threshold could also vary depending on the context of the model, e.g., the threshold might be lower when many candidate variables were evaluated for inclusion in the model.</w:t>
            </w:r>
            <w:r w:rsidRPr="001F35DD">
              <w:rPr>
                <w:rFonts w:ascii="Times New Roman" w:eastAsia="Times New Roman" w:hAnsi="Times New Roman" w:cs="Times New Roman"/>
                <w:sz w:val="20"/>
                <w:szCs w:val="20"/>
              </w:rPr>
              <w:br/>
            </w:r>
            <w:r w:rsidRPr="001F35DD">
              <w:rPr>
                <w:rFonts w:ascii="Times New Roman" w:eastAsia="Times New Roman" w:hAnsi="Times New Roman" w:cs="Times New Roman"/>
                <w:sz w:val="20"/>
                <w:szCs w:val="20"/>
              </w:rPr>
              <w:br/>
              <w:t xml:space="preserve">Overall lift charts and/or statistical tests using validation data may not provide enough of the picture.  If there is concern about one or more individual variables, the reviewer may obtain, for each discrete variable level, the parameter value, confidence intervals, chi-square tests, p-values and any other relevant and material tests.  For variables that are modeled continuously, it may be sufficient to obtain statistics around the modeled </w:t>
            </w:r>
            <w:r w:rsidR="00442438" w:rsidRPr="001F35DD">
              <w:rPr>
                <w:rFonts w:ascii="Times New Roman" w:eastAsia="Times New Roman" w:hAnsi="Times New Roman" w:cs="Times New Roman"/>
                <w:sz w:val="20"/>
                <w:szCs w:val="20"/>
              </w:rPr>
              <w:t>parameters;</w:t>
            </w:r>
            <w:r w:rsidRPr="001F35DD">
              <w:rPr>
                <w:rFonts w:ascii="Times New Roman" w:eastAsia="Times New Roman" w:hAnsi="Times New Roman" w:cs="Times New Roman"/>
                <w:sz w:val="20"/>
                <w:szCs w:val="20"/>
              </w:rPr>
              <w:t xml:space="preserve"> for example, confidence intervals around each level of an AOI curve might be more than </w:t>
            </w:r>
            <w:r w:rsidR="00442438" w:rsidRPr="001F35DD">
              <w:rPr>
                <w:rFonts w:ascii="Times New Roman" w:eastAsia="Times New Roman" w:hAnsi="Times New Roman" w:cs="Times New Roman"/>
                <w:sz w:val="20"/>
                <w:szCs w:val="20"/>
              </w:rPr>
              <w:t>what is</w:t>
            </w:r>
            <w:r w:rsidRPr="001F35DD">
              <w:rPr>
                <w:rFonts w:ascii="Times New Roman" w:eastAsia="Times New Roman" w:hAnsi="Times New Roman" w:cs="Times New Roman"/>
                <w:sz w:val="20"/>
                <w:szCs w:val="20"/>
              </w:rPr>
              <w:t xml:space="preserve"> needed.</w:t>
            </w:r>
          </w:p>
        </w:tc>
      </w:tr>
      <w:tr w:rsidR="00402FDF" w:rsidRPr="00937B31" w14:paraId="4DA72174" w14:textId="77777777" w:rsidTr="00937B31">
        <w:trPr>
          <w:trHeight w:val="2880"/>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199819CB" w14:textId="12C60550"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B.4.</w:t>
            </w:r>
            <w:r w:rsidR="00CD2E15">
              <w:rPr>
                <w:rFonts w:ascii="Times New Roman" w:eastAsia="Times New Roman" w:hAnsi="Times New Roman" w:cs="Times New Roman"/>
                <w:sz w:val="20"/>
                <w:szCs w:val="20"/>
              </w:rPr>
              <w:t>g</w:t>
            </w:r>
          </w:p>
        </w:tc>
        <w:tc>
          <w:tcPr>
            <w:tcW w:w="4446" w:type="dxa"/>
            <w:tcBorders>
              <w:top w:val="nil"/>
              <w:left w:val="nil"/>
              <w:bottom w:val="single" w:sz="4" w:space="0" w:color="auto"/>
              <w:right w:val="single" w:sz="4" w:space="0" w:color="auto"/>
            </w:tcBorders>
            <w:shd w:val="clear" w:color="000000" w:fill="auto"/>
            <w:vAlign w:val="center"/>
            <w:hideMark/>
          </w:tcPr>
          <w:p w14:paraId="7B224F1E" w14:textId="77777777" w:rsidR="001F35DD" w:rsidRPr="001F35DD" w:rsidRDefault="001F35DD" w:rsidP="001F35DD">
            <w:pPr>
              <w:spacing w:after="0" w:line="240" w:lineRule="auto"/>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Obtain evidence that the model fits the training data well, for individual variables, for any relevant combinations of variables and for, the overall model.</w:t>
            </w:r>
          </w:p>
        </w:tc>
        <w:tc>
          <w:tcPr>
            <w:tcW w:w="990" w:type="dxa"/>
            <w:tcBorders>
              <w:top w:val="nil"/>
              <w:left w:val="nil"/>
              <w:bottom w:val="single" w:sz="4" w:space="0" w:color="auto"/>
              <w:right w:val="single" w:sz="4" w:space="0" w:color="auto"/>
            </w:tcBorders>
            <w:shd w:val="clear" w:color="000000" w:fill="auto"/>
            <w:vAlign w:val="center"/>
            <w:hideMark/>
          </w:tcPr>
          <w:p w14:paraId="6E4231F3"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000000" w:fill="auto"/>
            <w:vAlign w:val="center"/>
            <w:hideMark/>
          </w:tcPr>
          <w:p w14:paraId="7C832173" w14:textId="63FCCA2F"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For a GLM, such evidence may be available using chi-square tests, p-values, F tests and/or other means.</w:t>
            </w:r>
            <w:r w:rsidRPr="001F35DD">
              <w:rPr>
                <w:rFonts w:ascii="Times New Roman" w:eastAsia="Times New Roman" w:hAnsi="Times New Roman" w:cs="Times New Roman"/>
                <w:sz w:val="20"/>
                <w:szCs w:val="20"/>
              </w:rPr>
              <w:br/>
            </w:r>
            <w:r w:rsidRPr="001F35DD">
              <w:rPr>
                <w:rFonts w:ascii="Times New Roman" w:eastAsia="Times New Roman" w:hAnsi="Times New Roman" w:cs="Times New Roman"/>
                <w:sz w:val="20"/>
                <w:szCs w:val="20"/>
              </w:rPr>
              <w:br/>
              <w:t xml:space="preserve">The steps taken during modeling to achieve goodness-of-fit are likely to be numerous and laborious to describe, but they contribute much of </w:t>
            </w:r>
            <w:r w:rsidR="00442438" w:rsidRPr="001F35DD">
              <w:rPr>
                <w:rFonts w:ascii="Times New Roman" w:eastAsia="Times New Roman" w:hAnsi="Times New Roman" w:cs="Times New Roman"/>
                <w:sz w:val="20"/>
                <w:szCs w:val="20"/>
              </w:rPr>
              <w:t>what is</w:t>
            </w:r>
            <w:r w:rsidRPr="001F35DD">
              <w:rPr>
                <w:rFonts w:ascii="Times New Roman" w:eastAsia="Times New Roman" w:hAnsi="Times New Roman" w:cs="Times New Roman"/>
                <w:sz w:val="20"/>
                <w:szCs w:val="20"/>
              </w:rPr>
              <w:t xml:space="preserve"> generalized about GLM.  We should not assume we know what they did and ask "how?"  Instead, we should ask what they did and be prepared to ask follow up questions. </w:t>
            </w:r>
          </w:p>
        </w:tc>
      </w:tr>
      <w:tr w:rsidR="00402FDF" w:rsidRPr="00937B31" w14:paraId="3D502B5C" w14:textId="77777777" w:rsidTr="00937B31">
        <w:trPr>
          <w:trHeight w:val="4967"/>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7D13850D"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B.4.h</w:t>
            </w:r>
          </w:p>
        </w:tc>
        <w:tc>
          <w:tcPr>
            <w:tcW w:w="4446" w:type="dxa"/>
            <w:tcBorders>
              <w:top w:val="nil"/>
              <w:left w:val="nil"/>
              <w:bottom w:val="single" w:sz="4" w:space="0" w:color="auto"/>
              <w:right w:val="single" w:sz="4" w:space="0" w:color="auto"/>
            </w:tcBorders>
            <w:shd w:val="clear" w:color="000000" w:fill="auto"/>
            <w:vAlign w:val="center"/>
            <w:hideMark/>
          </w:tcPr>
          <w:p w14:paraId="70E4457F" w14:textId="63EC5A58" w:rsidR="001F35DD" w:rsidRPr="001F35DD" w:rsidRDefault="001F35DD" w:rsidP="00442438">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For continuous variables, provide confidence intervals, chi-square tests, p-values and any other relevant and material test. Determine if model development data, validation data, test data or other data was used for these tests</w:t>
            </w:r>
            <w:r w:rsidR="00442438">
              <w:rPr>
                <w:rFonts w:ascii="Times New Roman" w:eastAsia="Times New Roman" w:hAnsi="Times New Roman" w:cs="Times New Roman"/>
                <w:sz w:val="20"/>
                <w:szCs w:val="20"/>
              </w:rPr>
              <w:t>.</w:t>
            </w:r>
          </w:p>
        </w:tc>
        <w:tc>
          <w:tcPr>
            <w:tcW w:w="990" w:type="dxa"/>
            <w:tcBorders>
              <w:top w:val="nil"/>
              <w:left w:val="nil"/>
              <w:bottom w:val="single" w:sz="4" w:space="0" w:color="auto"/>
              <w:right w:val="single" w:sz="4" w:space="0" w:color="auto"/>
            </w:tcBorders>
            <w:shd w:val="clear" w:color="000000" w:fill="auto"/>
            <w:vAlign w:val="center"/>
            <w:hideMark/>
          </w:tcPr>
          <w:p w14:paraId="004B0A0F"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000000" w:fill="auto"/>
            <w:vAlign w:val="center"/>
            <w:hideMark/>
          </w:tcPr>
          <w:p w14:paraId="59CD8ABC" w14:textId="1FBF0402" w:rsidR="001F35DD" w:rsidRPr="001F35DD" w:rsidRDefault="001F35DD" w:rsidP="00442438">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Typical p-values greater than 5% are large and should be questioned. Reasonable business judgment can sometimes provide legitimate support for high p-values. Reasonableness of the p-value threshold could also vary depending on the context of the model, e.g., the threshold might be lower when many candidate variables were evaluated for inclusion in the model.</w:t>
            </w:r>
            <w:r w:rsidRPr="001F35DD">
              <w:rPr>
                <w:rFonts w:ascii="Times New Roman" w:eastAsia="Times New Roman" w:hAnsi="Times New Roman" w:cs="Times New Roman"/>
                <w:sz w:val="20"/>
                <w:szCs w:val="20"/>
              </w:rPr>
              <w:br/>
            </w:r>
            <w:r w:rsidRPr="001F35DD">
              <w:rPr>
                <w:rFonts w:ascii="Times New Roman" w:eastAsia="Times New Roman" w:hAnsi="Times New Roman" w:cs="Times New Roman"/>
                <w:sz w:val="20"/>
                <w:szCs w:val="20"/>
              </w:rPr>
              <w:br/>
              <w:t xml:space="preserve">Overall lift charts and/or statistical tests using validation data may not provide enough of the picture.  If there is concern about one or more individual variables, the reviewer may obtain, for each discrete variable level, the parameter value, confidence intervals, chi-square tests, p-values and any other relevant and material tests.  For variables that are modeled continuously, it may be sufficient to obtain statistics around the modeled </w:t>
            </w:r>
            <w:r w:rsidR="00442438" w:rsidRPr="001F35DD">
              <w:rPr>
                <w:rFonts w:ascii="Times New Roman" w:eastAsia="Times New Roman" w:hAnsi="Times New Roman" w:cs="Times New Roman"/>
                <w:sz w:val="20"/>
                <w:szCs w:val="20"/>
              </w:rPr>
              <w:t>parameters;</w:t>
            </w:r>
            <w:r w:rsidRPr="001F35DD">
              <w:rPr>
                <w:rFonts w:ascii="Times New Roman" w:eastAsia="Times New Roman" w:hAnsi="Times New Roman" w:cs="Times New Roman"/>
                <w:sz w:val="20"/>
                <w:szCs w:val="20"/>
              </w:rPr>
              <w:t xml:space="preserve"> for example, confidence intervals around each level of an AOI curve might be more than </w:t>
            </w:r>
            <w:r w:rsidR="00442438" w:rsidRPr="001F35DD">
              <w:rPr>
                <w:rFonts w:ascii="Times New Roman" w:eastAsia="Times New Roman" w:hAnsi="Times New Roman" w:cs="Times New Roman"/>
                <w:sz w:val="20"/>
                <w:szCs w:val="20"/>
              </w:rPr>
              <w:t>what is</w:t>
            </w:r>
            <w:r w:rsidRPr="001F35DD">
              <w:rPr>
                <w:rFonts w:ascii="Times New Roman" w:eastAsia="Times New Roman" w:hAnsi="Times New Roman" w:cs="Times New Roman"/>
                <w:sz w:val="20"/>
                <w:szCs w:val="20"/>
              </w:rPr>
              <w:t xml:space="preserve"> needed.</w:t>
            </w:r>
          </w:p>
        </w:tc>
      </w:tr>
      <w:tr w:rsidR="00402FDF" w:rsidRPr="00937B31" w14:paraId="6E9614F2" w14:textId="77777777" w:rsidTr="00937B31">
        <w:trPr>
          <w:trHeight w:val="4328"/>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00A0D859"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B.4.i</w:t>
            </w:r>
          </w:p>
        </w:tc>
        <w:tc>
          <w:tcPr>
            <w:tcW w:w="4446" w:type="dxa"/>
            <w:tcBorders>
              <w:top w:val="nil"/>
              <w:left w:val="nil"/>
              <w:bottom w:val="single" w:sz="4" w:space="0" w:color="auto"/>
              <w:right w:val="single" w:sz="4" w:space="0" w:color="auto"/>
            </w:tcBorders>
            <w:shd w:val="clear" w:color="000000" w:fill="auto"/>
            <w:vAlign w:val="center"/>
            <w:hideMark/>
          </w:tcPr>
          <w:p w14:paraId="35986EA1"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Obtain a description how the model was tested for stability over time.</w:t>
            </w:r>
          </w:p>
        </w:tc>
        <w:tc>
          <w:tcPr>
            <w:tcW w:w="990" w:type="dxa"/>
            <w:tcBorders>
              <w:top w:val="nil"/>
              <w:left w:val="nil"/>
              <w:bottom w:val="single" w:sz="4" w:space="0" w:color="auto"/>
              <w:right w:val="single" w:sz="4" w:space="0" w:color="auto"/>
            </w:tcBorders>
            <w:shd w:val="clear" w:color="000000" w:fill="auto"/>
            <w:vAlign w:val="center"/>
            <w:hideMark/>
          </w:tcPr>
          <w:p w14:paraId="33D8D4FB"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000000" w:fill="auto"/>
            <w:vAlign w:val="center"/>
            <w:hideMark/>
          </w:tcPr>
          <w:p w14:paraId="206F72DC"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xml:space="preserve">Evaluate the build/test/validation datasets for potential model distortions (e.g., a winter storm in year 3 of 5 can distort the model in both the testing and validation datasets). </w:t>
            </w:r>
            <w:r w:rsidRPr="001F35DD">
              <w:rPr>
                <w:rFonts w:ascii="Times New Roman" w:eastAsia="Times New Roman" w:hAnsi="Times New Roman" w:cs="Times New Roman"/>
                <w:sz w:val="20"/>
                <w:szCs w:val="20"/>
              </w:rPr>
              <w:br/>
            </w:r>
            <w:r w:rsidRPr="001F35DD">
              <w:rPr>
                <w:rFonts w:ascii="Times New Roman" w:eastAsia="Times New Roman" w:hAnsi="Times New Roman" w:cs="Times New Roman"/>
                <w:sz w:val="20"/>
                <w:szCs w:val="20"/>
              </w:rPr>
              <w:br/>
              <w:t>Obsolescence over time is a model risk.  If a model being introduced now is based on losses from years ago, the reviewer should be interested in knowing whether that model would be predictive in the proposed context.  Validation using recent data from the proposed context might be requested.  Obsolescence is a risk even for a new model based on recent and relevant loss data.  What steps, if any, were taken during modeling to prevent or delay obsolescence?  What controls will exist to measure the rate of obsolescence?  What is the plan and timeline for updating and ultimately replacing the model?</w:t>
            </w:r>
          </w:p>
        </w:tc>
      </w:tr>
      <w:tr w:rsidR="00402FDF" w:rsidRPr="00937B31" w14:paraId="2A021979" w14:textId="77777777" w:rsidTr="00937B31">
        <w:trPr>
          <w:trHeight w:val="710"/>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1BBF5599" w14:textId="1E3E8958"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B.4.</w:t>
            </w:r>
            <w:r w:rsidR="00CD2E15">
              <w:rPr>
                <w:rFonts w:ascii="Times New Roman" w:eastAsia="Times New Roman" w:hAnsi="Times New Roman" w:cs="Times New Roman"/>
                <w:sz w:val="20"/>
                <w:szCs w:val="20"/>
              </w:rPr>
              <w:t>j</w:t>
            </w:r>
          </w:p>
        </w:tc>
        <w:tc>
          <w:tcPr>
            <w:tcW w:w="4446" w:type="dxa"/>
            <w:tcBorders>
              <w:top w:val="nil"/>
              <w:left w:val="nil"/>
              <w:bottom w:val="single" w:sz="4" w:space="0" w:color="auto"/>
              <w:right w:val="single" w:sz="4" w:space="0" w:color="auto"/>
            </w:tcBorders>
            <w:shd w:val="clear" w:color="000000" w:fill="auto"/>
            <w:vAlign w:val="center"/>
            <w:hideMark/>
          </w:tcPr>
          <w:p w14:paraId="16438C40" w14:textId="044CB7C2"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Obtain a narrative on how were potential concerns with overfitting were addressed.</w:t>
            </w:r>
          </w:p>
        </w:tc>
        <w:tc>
          <w:tcPr>
            <w:tcW w:w="990" w:type="dxa"/>
            <w:tcBorders>
              <w:top w:val="nil"/>
              <w:left w:val="nil"/>
              <w:bottom w:val="single" w:sz="4" w:space="0" w:color="auto"/>
              <w:right w:val="single" w:sz="4" w:space="0" w:color="auto"/>
            </w:tcBorders>
            <w:shd w:val="clear" w:color="000000" w:fill="auto"/>
            <w:vAlign w:val="center"/>
            <w:hideMark/>
          </w:tcPr>
          <w:p w14:paraId="38683989"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000000" w:fill="auto"/>
            <w:vAlign w:val="center"/>
            <w:hideMark/>
          </w:tcPr>
          <w:p w14:paraId="1173FEC9"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w:t>
            </w:r>
          </w:p>
        </w:tc>
      </w:tr>
      <w:tr w:rsidR="00402FDF" w:rsidRPr="00937B31" w14:paraId="5DCD4C5C" w14:textId="77777777" w:rsidTr="00937B31">
        <w:trPr>
          <w:trHeight w:val="2448"/>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2D97F021" w14:textId="5FAE8982"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B.4.</w:t>
            </w:r>
            <w:r w:rsidR="00CD2E15">
              <w:rPr>
                <w:rFonts w:ascii="Times New Roman" w:eastAsia="Times New Roman" w:hAnsi="Times New Roman" w:cs="Times New Roman"/>
                <w:sz w:val="20"/>
                <w:szCs w:val="20"/>
              </w:rPr>
              <w:t>k</w:t>
            </w:r>
          </w:p>
        </w:tc>
        <w:tc>
          <w:tcPr>
            <w:tcW w:w="4446" w:type="dxa"/>
            <w:tcBorders>
              <w:top w:val="nil"/>
              <w:left w:val="nil"/>
              <w:bottom w:val="single" w:sz="4" w:space="0" w:color="auto"/>
              <w:right w:val="single" w:sz="4" w:space="0" w:color="auto"/>
            </w:tcBorders>
            <w:shd w:val="clear" w:color="000000" w:fill="auto"/>
            <w:vAlign w:val="center"/>
            <w:hideMark/>
          </w:tcPr>
          <w:p w14:paraId="38E3EC2B" w14:textId="239979CE"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Obtain support demonstrating that the GLM assumptions are appropriate</w:t>
            </w:r>
            <w:r w:rsidRPr="00937B31">
              <w:rPr>
                <w:rFonts w:ascii="Times New Roman" w:eastAsia="Times New Roman" w:hAnsi="Times New Roman" w:cs="Times New Roman"/>
                <w:sz w:val="20"/>
                <w:szCs w:val="20"/>
              </w:rPr>
              <w:t>.</w:t>
            </w:r>
          </w:p>
        </w:tc>
        <w:tc>
          <w:tcPr>
            <w:tcW w:w="990" w:type="dxa"/>
            <w:tcBorders>
              <w:top w:val="nil"/>
              <w:left w:val="nil"/>
              <w:bottom w:val="single" w:sz="4" w:space="0" w:color="auto"/>
              <w:right w:val="single" w:sz="4" w:space="0" w:color="auto"/>
            </w:tcBorders>
            <w:shd w:val="clear" w:color="000000" w:fill="auto"/>
            <w:vAlign w:val="center"/>
            <w:hideMark/>
          </w:tcPr>
          <w:p w14:paraId="1AE800B8"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000000" w:fill="auto"/>
            <w:vAlign w:val="center"/>
            <w:hideMark/>
          </w:tcPr>
          <w:p w14:paraId="5170572D"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xml:space="preserve">Visual review of plots of actual errors is usually sufficient. </w:t>
            </w:r>
            <w:r w:rsidRPr="001F35DD">
              <w:rPr>
                <w:rFonts w:ascii="Times New Roman" w:eastAsia="Times New Roman" w:hAnsi="Times New Roman" w:cs="Times New Roman"/>
                <w:sz w:val="20"/>
                <w:szCs w:val="20"/>
              </w:rPr>
              <w:br/>
            </w:r>
            <w:r w:rsidRPr="001F35DD">
              <w:rPr>
                <w:rFonts w:ascii="Times New Roman" w:eastAsia="Times New Roman" w:hAnsi="Times New Roman" w:cs="Times New Roman"/>
                <w:sz w:val="20"/>
                <w:szCs w:val="20"/>
              </w:rPr>
              <w:br/>
              <w:t>The reviewer should look for a conceptual narrative covering these topics: How does this particular GLM work? Why did the rate filer do what it did?  Why employ this design instead of alternatives?  Why choose this particular distribution function and this particular link function?</w:t>
            </w:r>
          </w:p>
        </w:tc>
      </w:tr>
      <w:tr w:rsidR="00402FDF" w:rsidRPr="00937B31" w14:paraId="78353CA4" w14:textId="77777777" w:rsidTr="00937B31">
        <w:trPr>
          <w:trHeight w:val="827"/>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2750B59D" w14:textId="4DA4A6E8"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B.4.</w:t>
            </w:r>
            <w:r w:rsidR="00CD2E15">
              <w:rPr>
                <w:rFonts w:ascii="Times New Roman" w:eastAsia="Times New Roman" w:hAnsi="Times New Roman" w:cs="Times New Roman"/>
                <w:sz w:val="20"/>
                <w:szCs w:val="20"/>
              </w:rPr>
              <w:t>l</w:t>
            </w:r>
          </w:p>
        </w:tc>
        <w:tc>
          <w:tcPr>
            <w:tcW w:w="4446" w:type="dxa"/>
            <w:tcBorders>
              <w:top w:val="nil"/>
              <w:left w:val="nil"/>
              <w:bottom w:val="single" w:sz="4" w:space="0" w:color="auto"/>
              <w:right w:val="single" w:sz="4" w:space="0" w:color="auto"/>
            </w:tcBorders>
            <w:shd w:val="clear" w:color="000000" w:fill="auto"/>
            <w:vAlign w:val="center"/>
            <w:hideMark/>
          </w:tcPr>
          <w:p w14:paraId="5E54042A"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Obtain 5-10 sample records with corresponding output from the model for those records.</w:t>
            </w:r>
          </w:p>
        </w:tc>
        <w:tc>
          <w:tcPr>
            <w:tcW w:w="990" w:type="dxa"/>
            <w:tcBorders>
              <w:top w:val="nil"/>
              <w:left w:val="nil"/>
              <w:bottom w:val="single" w:sz="4" w:space="0" w:color="auto"/>
              <w:right w:val="single" w:sz="4" w:space="0" w:color="auto"/>
            </w:tcBorders>
            <w:shd w:val="clear" w:color="000000" w:fill="auto"/>
            <w:vAlign w:val="center"/>
            <w:hideMark/>
          </w:tcPr>
          <w:p w14:paraId="5830A353"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3</w:t>
            </w:r>
          </w:p>
        </w:tc>
        <w:tc>
          <w:tcPr>
            <w:tcW w:w="4590" w:type="dxa"/>
            <w:tcBorders>
              <w:top w:val="nil"/>
              <w:left w:val="nil"/>
              <w:bottom w:val="single" w:sz="4" w:space="0" w:color="auto"/>
              <w:right w:val="single" w:sz="4" w:space="0" w:color="auto"/>
            </w:tcBorders>
            <w:shd w:val="clear" w:color="000000" w:fill="auto"/>
            <w:vAlign w:val="center"/>
            <w:hideMark/>
          </w:tcPr>
          <w:p w14:paraId="5CF68410"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w:t>
            </w:r>
          </w:p>
        </w:tc>
      </w:tr>
      <w:tr w:rsidR="00402FDF" w:rsidRPr="00937B31" w14:paraId="7C570905" w14:textId="77777777" w:rsidTr="00CD2E15">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000000" w:fill="auto"/>
            <w:vAlign w:val="center"/>
            <w:hideMark/>
          </w:tcPr>
          <w:p w14:paraId="2D644FD2" w14:textId="77777777" w:rsidR="001F35DD" w:rsidRPr="001F35DD" w:rsidRDefault="001F35DD" w:rsidP="001F35DD">
            <w:pPr>
              <w:spacing w:after="0" w:line="240" w:lineRule="auto"/>
              <w:rPr>
                <w:rFonts w:ascii="Times New Roman" w:eastAsia="Times New Roman" w:hAnsi="Times New Roman" w:cs="Times New Roman"/>
                <w:bCs/>
              </w:rPr>
            </w:pPr>
            <w:r w:rsidRPr="001F35DD">
              <w:rPr>
                <w:rFonts w:ascii="Times New Roman" w:eastAsia="Times New Roman" w:hAnsi="Times New Roman" w:cs="Times New Roman"/>
                <w:bCs/>
              </w:rPr>
              <w:t>5.  “Old Model” Versus “New Model”</w:t>
            </w:r>
          </w:p>
        </w:tc>
      </w:tr>
      <w:tr w:rsidR="00402FDF" w:rsidRPr="00937B31" w14:paraId="7A7C2818" w14:textId="77777777" w:rsidTr="00CD2E15">
        <w:trPr>
          <w:trHeight w:val="2627"/>
        </w:trPr>
        <w:tc>
          <w:tcPr>
            <w:tcW w:w="774" w:type="dxa"/>
            <w:tcBorders>
              <w:top w:val="single" w:sz="4" w:space="0" w:color="auto"/>
              <w:left w:val="single" w:sz="4" w:space="0" w:color="auto"/>
              <w:bottom w:val="single" w:sz="4" w:space="0" w:color="auto"/>
              <w:right w:val="single" w:sz="6" w:space="0" w:color="auto"/>
            </w:tcBorders>
            <w:shd w:val="clear" w:color="000000" w:fill="auto"/>
            <w:vAlign w:val="center"/>
            <w:hideMark/>
          </w:tcPr>
          <w:p w14:paraId="32020DF0"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B.5.a</w:t>
            </w:r>
          </w:p>
        </w:tc>
        <w:tc>
          <w:tcPr>
            <w:tcW w:w="4446" w:type="dxa"/>
            <w:tcBorders>
              <w:top w:val="single" w:sz="4" w:space="0" w:color="auto"/>
              <w:left w:val="single" w:sz="6" w:space="0" w:color="auto"/>
              <w:bottom w:val="single" w:sz="4" w:space="0" w:color="auto"/>
              <w:right w:val="single" w:sz="6" w:space="0" w:color="auto"/>
            </w:tcBorders>
            <w:shd w:val="clear" w:color="000000" w:fill="auto"/>
            <w:vAlign w:val="center"/>
            <w:hideMark/>
          </w:tcPr>
          <w:p w14:paraId="13DD7340" w14:textId="5928E5E2"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xml:space="preserve">Obtain an explanation why this model is an improvement to the current rating plan.  </w:t>
            </w:r>
            <w:r w:rsidRPr="001F35DD">
              <w:rPr>
                <w:rFonts w:ascii="Times New Roman" w:eastAsia="Times New Roman" w:hAnsi="Times New Roman" w:cs="Times New Roman"/>
                <w:sz w:val="20"/>
                <w:szCs w:val="20"/>
              </w:rPr>
              <w:br/>
            </w:r>
            <w:r w:rsidRPr="001F35DD">
              <w:rPr>
                <w:rFonts w:ascii="Times New Roman" w:eastAsia="Times New Roman" w:hAnsi="Times New Roman" w:cs="Times New Roman"/>
                <w:sz w:val="20"/>
                <w:szCs w:val="20"/>
              </w:rPr>
              <w:br/>
              <w:t xml:space="preserve">If it replaces a previous model, find out why it is better than the one it is replacing; determine how the company reached that conclusion and identify metrics relied on in reaching that conclusion. Look for an explanation of any changes in calculations, assumptions, parameters, and data used to build this model from the previous model. </w:t>
            </w:r>
          </w:p>
        </w:tc>
        <w:tc>
          <w:tcPr>
            <w:tcW w:w="990" w:type="dxa"/>
            <w:tcBorders>
              <w:top w:val="single" w:sz="4" w:space="0" w:color="auto"/>
              <w:left w:val="single" w:sz="6" w:space="0" w:color="auto"/>
              <w:bottom w:val="single" w:sz="4" w:space="0" w:color="auto"/>
              <w:right w:val="single" w:sz="6" w:space="0" w:color="auto"/>
            </w:tcBorders>
            <w:shd w:val="clear" w:color="000000" w:fill="auto"/>
            <w:vAlign w:val="center"/>
            <w:hideMark/>
          </w:tcPr>
          <w:p w14:paraId="319B2788"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1</w:t>
            </w:r>
          </w:p>
        </w:tc>
        <w:tc>
          <w:tcPr>
            <w:tcW w:w="4590" w:type="dxa"/>
            <w:tcBorders>
              <w:top w:val="single" w:sz="4" w:space="0" w:color="auto"/>
              <w:left w:val="single" w:sz="6" w:space="0" w:color="auto"/>
              <w:bottom w:val="single" w:sz="4" w:space="0" w:color="auto"/>
              <w:right w:val="single" w:sz="4" w:space="0" w:color="auto"/>
            </w:tcBorders>
            <w:shd w:val="clear" w:color="000000" w:fill="auto"/>
            <w:vAlign w:val="center"/>
            <w:hideMark/>
          </w:tcPr>
          <w:p w14:paraId="2848589C"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Regulators should expect to see improvement in the new class plan’s predictive ability or other sufficient reason for the change.</w:t>
            </w:r>
          </w:p>
        </w:tc>
      </w:tr>
      <w:tr w:rsidR="00402FDF" w:rsidRPr="00937B31" w14:paraId="433EE87D" w14:textId="77777777" w:rsidTr="00937B31">
        <w:trPr>
          <w:trHeight w:val="908"/>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081B0F3E"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B.5.b</w:t>
            </w:r>
          </w:p>
        </w:tc>
        <w:tc>
          <w:tcPr>
            <w:tcW w:w="4446" w:type="dxa"/>
            <w:tcBorders>
              <w:top w:val="nil"/>
              <w:left w:val="nil"/>
              <w:bottom w:val="single" w:sz="4" w:space="0" w:color="auto"/>
              <w:right w:val="single" w:sz="4" w:space="0" w:color="auto"/>
            </w:tcBorders>
            <w:shd w:val="clear" w:color="000000" w:fill="auto"/>
            <w:vAlign w:val="center"/>
            <w:hideMark/>
          </w:tcPr>
          <w:p w14:paraId="11246E01"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Determine if two Gini coefficients were compared and obtain a narrative on the conclusion drawn from this comparison.</w:t>
            </w:r>
          </w:p>
        </w:tc>
        <w:tc>
          <w:tcPr>
            <w:tcW w:w="990" w:type="dxa"/>
            <w:tcBorders>
              <w:top w:val="nil"/>
              <w:left w:val="nil"/>
              <w:bottom w:val="single" w:sz="4" w:space="0" w:color="auto"/>
              <w:right w:val="single" w:sz="4" w:space="0" w:color="auto"/>
            </w:tcBorders>
            <w:shd w:val="clear" w:color="000000" w:fill="auto"/>
            <w:vAlign w:val="center"/>
            <w:hideMark/>
          </w:tcPr>
          <w:p w14:paraId="3D9CE3D8"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3</w:t>
            </w:r>
          </w:p>
        </w:tc>
        <w:tc>
          <w:tcPr>
            <w:tcW w:w="4590" w:type="dxa"/>
            <w:tcBorders>
              <w:top w:val="nil"/>
              <w:left w:val="nil"/>
              <w:bottom w:val="single" w:sz="4" w:space="0" w:color="auto"/>
              <w:right w:val="single" w:sz="4" w:space="0" w:color="auto"/>
            </w:tcBorders>
            <w:shd w:val="clear" w:color="000000" w:fill="auto"/>
            <w:vAlign w:val="center"/>
            <w:hideMark/>
          </w:tcPr>
          <w:p w14:paraId="46DDBA3F"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One example of a comparison might be sufficient.</w:t>
            </w:r>
          </w:p>
        </w:tc>
      </w:tr>
      <w:tr w:rsidR="00402FDF" w:rsidRPr="00937B31" w14:paraId="6FCCCD74" w14:textId="77777777" w:rsidTr="00937B31">
        <w:trPr>
          <w:trHeight w:val="765"/>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5F69E8F0"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B.5.c</w:t>
            </w:r>
          </w:p>
        </w:tc>
        <w:tc>
          <w:tcPr>
            <w:tcW w:w="4446" w:type="dxa"/>
            <w:tcBorders>
              <w:top w:val="nil"/>
              <w:left w:val="nil"/>
              <w:bottom w:val="single" w:sz="4" w:space="0" w:color="auto"/>
              <w:right w:val="single" w:sz="4" w:space="0" w:color="auto"/>
            </w:tcBorders>
            <w:shd w:val="clear" w:color="000000" w:fill="auto"/>
            <w:vAlign w:val="center"/>
            <w:hideMark/>
          </w:tcPr>
          <w:p w14:paraId="7D1A1DBE"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Determine if double lift charts analyzed and what conclusion was drawn from this analysis?</w:t>
            </w:r>
          </w:p>
        </w:tc>
        <w:tc>
          <w:tcPr>
            <w:tcW w:w="990" w:type="dxa"/>
            <w:tcBorders>
              <w:top w:val="nil"/>
              <w:left w:val="nil"/>
              <w:bottom w:val="single" w:sz="4" w:space="0" w:color="auto"/>
              <w:right w:val="single" w:sz="4" w:space="0" w:color="auto"/>
            </w:tcBorders>
            <w:shd w:val="clear" w:color="000000" w:fill="auto"/>
            <w:vAlign w:val="center"/>
            <w:hideMark/>
          </w:tcPr>
          <w:p w14:paraId="6DF40B11"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000000" w:fill="auto"/>
            <w:vAlign w:val="center"/>
            <w:hideMark/>
          </w:tcPr>
          <w:p w14:paraId="46596D8E"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One example of a comparison might be sufficient.</w:t>
            </w:r>
          </w:p>
        </w:tc>
      </w:tr>
      <w:tr w:rsidR="00402FDF" w:rsidRPr="00937B31" w14:paraId="6507ED28" w14:textId="77777777" w:rsidTr="00937B31">
        <w:trPr>
          <w:trHeight w:val="2177"/>
        </w:trPr>
        <w:tc>
          <w:tcPr>
            <w:tcW w:w="774" w:type="dxa"/>
            <w:tcBorders>
              <w:top w:val="nil"/>
              <w:left w:val="single" w:sz="4" w:space="0" w:color="auto"/>
              <w:bottom w:val="single" w:sz="4" w:space="0" w:color="auto"/>
              <w:right w:val="single" w:sz="4" w:space="0" w:color="auto"/>
            </w:tcBorders>
            <w:shd w:val="clear" w:color="000000" w:fill="auto"/>
            <w:vAlign w:val="center"/>
            <w:hideMark/>
          </w:tcPr>
          <w:p w14:paraId="4381827D" w14:textId="4840E85D"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B.5.</w:t>
            </w:r>
            <w:r w:rsidR="00CD2E15">
              <w:rPr>
                <w:rFonts w:ascii="Times New Roman" w:eastAsia="Times New Roman" w:hAnsi="Times New Roman" w:cs="Times New Roman"/>
                <w:sz w:val="20"/>
                <w:szCs w:val="20"/>
              </w:rPr>
              <w:t>d</w:t>
            </w:r>
          </w:p>
        </w:tc>
        <w:tc>
          <w:tcPr>
            <w:tcW w:w="4446" w:type="dxa"/>
            <w:tcBorders>
              <w:top w:val="nil"/>
              <w:left w:val="nil"/>
              <w:bottom w:val="single" w:sz="4" w:space="0" w:color="auto"/>
              <w:right w:val="single" w:sz="4" w:space="0" w:color="auto"/>
            </w:tcBorders>
            <w:shd w:val="clear" w:color="000000" w:fill="auto"/>
            <w:vAlign w:val="center"/>
            <w:hideMark/>
          </w:tcPr>
          <w:p w14:paraId="5A77DD09" w14:textId="4B98DFDC" w:rsidR="001F35DD" w:rsidRPr="001F35DD" w:rsidRDefault="001F35DD" w:rsidP="00442438">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xml:space="preserve">If replacing an existing model, obtain a list of any predictor variables used in the old model that </w:t>
            </w:r>
            <w:proofErr w:type="gramStart"/>
            <w:r w:rsidRPr="001F35DD">
              <w:rPr>
                <w:rFonts w:ascii="Times New Roman" w:eastAsia="Times New Roman" w:hAnsi="Times New Roman" w:cs="Times New Roman"/>
                <w:sz w:val="20"/>
                <w:szCs w:val="20"/>
              </w:rPr>
              <w:t>are not used</w:t>
            </w:r>
            <w:proofErr w:type="gramEnd"/>
            <w:r w:rsidRPr="001F35DD">
              <w:rPr>
                <w:rFonts w:ascii="Times New Roman" w:eastAsia="Times New Roman" w:hAnsi="Times New Roman" w:cs="Times New Roman"/>
                <w:sz w:val="20"/>
                <w:szCs w:val="20"/>
              </w:rPr>
              <w:t xml:space="preserve"> in the new model. Obtain an explanation why these variables were dropped from the new model</w:t>
            </w:r>
            <w:r w:rsidR="00442438">
              <w:rPr>
                <w:rFonts w:ascii="Times New Roman" w:eastAsia="Times New Roman" w:hAnsi="Times New Roman" w:cs="Times New Roman"/>
                <w:sz w:val="20"/>
                <w:szCs w:val="20"/>
              </w:rPr>
              <w:t>.</w:t>
            </w:r>
            <w:r w:rsidRPr="001F35DD">
              <w:rPr>
                <w:rFonts w:ascii="Times New Roman" w:eastAsia="Times New Roman" w:hAnsi="Times New Roman" w:cs="Times New Roman"/>
                <w:sz w:val="20"/>
                <w:szCs w:val="20"/>
              </w:rPr>
              <w:t xml:space="preserve"> </w:t>
            </w:r>
            <w:r w:rsidRPr="001F35DD">
              <w:rPr>
                <w:rFonts w:ascii="Times New Roman" w:eastAsia="Times New Roman" w:hAnsi="Times New Roman" w:cs="Times New Roman"/>
                <w:sz w:val="20"/>
                <w:szCs w:val="20"/>
              </w:rPr>
              <w:br/>
            </w:r>
            <w:r w:rsidRPr="001F35DD">
              <w:rPr>
                <w:rFonts w:ascii="Times New Roman" w:eastAsia="Times New Roman" w:hAnsi="Times New Roman" w:cs="Times New Roman"/>
                <w:sz w:val="20"/>
                <w:szCs w:val="20"/>
              </w:rPr>
              <w:br/>
              <w:t xml:space="preserve">Obtain a list of all new predictor variables in the model that were not in the prior model. </w:t>
            </w:r>
          </w:p>
        </w:tc>
        <w:tc>
          <w:tcPr>
            <w:tcW w:w="990" w:type="dxa"/>
            <w:tcBorders>
              <w:top w:val="nil"/>
              <w:left w:val="nil"/>
              <w:bottom w:val="single" w:sz="4" w:space="0" w:color="auto"/>
              <w:right w:val="single" w:sz="4" w:space="0" w:color="auto"/>
            </w:tcBorders>
            <w:shd w:val="clear" w:color="000000" w:fill="auto"/>
            <w:vAlign w:val="center"/>
            <w:hideMark/>
          </w:tcPr>
          <w:p w14:paraId="43678420"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000000" w:fill="auto"/>
            <w:vAlign w:val="center"/>
            <w:hideMark/>
          </w:tcPr>
          <w:p w14:paraId="7544A201"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Useful to differentiate between old and new variables so the regulator can prioritize more time on factors not yet reviewed.</w:t>
            </w:r>
          </w:p>
        </w:tc>
      </w:tr>
      <w:tr w:rsidR="00402FDF" w:rsidRPr="00937B31" w14:paraId="163787BD" w14:textId="77777777" w:rsidTr="00937B31">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000000" w:fill="auto"/>
            <w:vAlign w:val="center"/>
            <w:hideMark/>
          </w:tcPr>
          <w:p w14:paraId="6205DE8C" w14:textId="2419581A" w:rsidR="001F35DD" w:rsidRPr="001F35DD" w:rsidRDefault="001F35DD" w:rsidP="00CD5564">
            <w:pPr>
              <w:spacing w:after="0" w:line="240" w:lineRule="auto"/>
              <w:rPr>
                <w:rFonts w:ascii="Times New Roman" w:eastAsia="Times New Roman" w:hAnsi="Times New Roman" w:cs="Times New Roman"/>
                <w:bCs/>
              </w:rPr>
            </w:pPr>
            <w:r w:rsidRPr="001F35DD">
              <w:rPr>
                <w:rFonts w:ascii="Times New Roman" w:eastAsia="Times New Roman" w:hAnsi="Times New Roman" w:cs="Times New Roman"/>
                <w:bCs/>
              </w:rPr>
              <w:t>6.  Modeler</w:t>
            </w:r>
            <w:r w:rsidR="00CD5564">
              <w:rPr>
                <w:rFonts w:ascii="Times New Roman" w:eastAsia="Times New Roman" w:hAnsi="Times New Roman" w:cs="Times New Roman"/>
                <w:bCs/>
              </w:rPr>
              <w:t xml:space="preserve"> </w:t>
            </w:r>
            <w:r w:rsidRPr="001F35DD">
              <w:rPr>
                <w:rFonts w:ascii="Times New Roman" w:eastAsia="Times New Roman" w:hAnsi="Times New Roman" w:cs="Times New Roman"/>
                <w:bCs/>
              </w:rPr>
              <w:t>Software</w:t>
            </w:r>
          </w:p>
        </w:tc>
      </w:tr>
      <w:tr w:rsidR="00402FDF" w:rsidRPr="00937B31" w14:paraId="2945E455" w14:textId="77777777" w:rsidTr="00937B31">
        <w:trPr>
          <w:trHeight w:val="1008"/>
        </w:trPr>
        <w:tc>
          <w:tcPr>
            <w:tcW w:w="774" w:type="dxa"/>
            <w:tcBorders>
              <w:top w:val="nil"/>
              <w:left w:val="single" w:sz="4" w:space="0" w:color="auto"/>
              <w:bottom w:val="nil"/>
              <w:right w:val="single" w:sz="4" w:space="0" w:color="auto"/>
            </w:tcBorders>
            <w:shd w:val="clear" w:color="000000" w:fill="auto"/>
            <w:vAlign w:val="center"/>
            <w:hideMark/>
          </w:tcPr>
          <w:p w14:paraId="6B5F2032"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B.6.a</w:t>
            </w:r>
          </w:p>
        </w:tc>
        <w:tc>
          <w:tcPr>
            <w:tcW w:w="4446" w:type="dxa"/>
            <w:tcBorders>
              <w:top w:val="nil"/>
              <w:left w:val="nil"/>
              <w:bottom w:val="nil"/>
              <w:right w:val="single" w:sz="4" w:space="0" w:color="auto"/>
            </w:tcBorders>
            <w:shd w:val="clear" w:color="000000" w:fill="auto"/>
            <w:vAlign w:val="center"/>
            <w:hideMark/>
          </w:tcPr>
          <w:p w14:paraId="3B630365" w14:textId="5E46A653"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Request access to SMEs (e.g., modelers) who led the project, compiled the data, built the model, and/or performed peer review.</w:t>
            </w:r>
          </w:p>
        </w:tc>
        <w:tc>
          <w:tcPr>
            <w:tcW w:w="990" w:type="dxa"/>
            <w:tcBorders>
              <w:top w:val="nil"/>
              <w:left w:val="nil"/>
              <w:bottom w:val="nil"/>
              <w:right w:val="single" w:sz="4" w:space="0" w:color="auto"/>
            </w:tcBorders>
            <w:shd w:val="clear" w:color="000000" w:fill="auto"/>
            <w:vAlign w:val="center"/>
            <w:hideMark/>
          </w:tcPr>
          <w:p w14:paraId="6085FC73"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3</w:t>
            </w:r>
          </w:p>
        </w:tc>
        <w:tc>
          <w:tcPr>
            <w:tcW w:w="4590" w:type="dxa"/>
            <w:tcBorders>
              <w:top w:val="nil"/>
              <w:left w:val="nil"/>
              <w:bottom w:val="nil"/>
              <w:right w:val="single" w:sz="4" w:space="0" w:color="auto"/>
            </w:tcBorders>
            <w:shd w:val="clear" w:color="000000" w:fill="auto"/>
            <w:vAlign w:val="center"/>
            <w:hideMark/>
          </w:tcPr>
          <w:p w14:paraId="0F32C1EA"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The filing should contain a contact that can put the regulator in touch with appropriate SMEs to discuss the model.</w:t>
            </w:r>
          </w:p>
        </w:tc>
      </w:tr>
    </w:tbl>
    <w:p w14:paraId="31DCF737" w14:textId="77777777" w:rsidR="001F35DD" w:rsidRPr="00937B31" w:rsidRDefault="001F35DD" w:rsidP="001F35DD">
      <w:pPr>
        <w:jc w:val="both"/>
        <w:rPr>
          <w:rFonts w:ascii="Times New Roman" w:hAnsi="Times New Roman" w:cs="Times New Roman"/>
          <w:sz w:val="20"/>
          <w:szCs w:val="20"/>
        </w:rPr>
      </w:pPr>
    </w:p>
    <w:p w14:paraId="14E1C136" w14:textId="77777777" w:rsidR="00873B49" w:rsidRPr="00937B31" w:rsidRDefault="00873B49">
      <w:pPr>
        <w:rPr>
          <w:rFonts w:ascii="Times New Roman" w:eastAsiaTheme="majorEastAsia" w:hAnsi="Times New Roman" w:cs="Times New Roman"/>
          <w:sz w:val="20"/>
          <w:szCs w:val="26"/>
          <w:u w:val="single"/>
        </w:rPr>
      </w:pPr>
      <w:r w:rsidRPr="00937B31">
        <w:rPr>
          <w:rFonts w:ascii="Times New Roman" w:hAnsi="Times New Roman" w:cs="Times New Roman"/>
        </w:rPr>
        <w:br w:type="page"/>
      </w:r>
    </w:p>
    <w:p w14:paraId="5FE91860" w14:textId="2D2C136E" w:rsidR="001E14F9" w:rsidRDefault="001E14F9" w:rsidP="0050408D">
      <w:pPr>
        <w:pStyle w:val="Heading2"/>
        <w:tabs>
          <w:tab w:val="clear" w:pos="360"/>
          <w:tab w:val="left" w:pos="0"/>
        </w:tabs>
        <w:ind w:left="-360"/>
        <w:jc w:val="both"/>
        <w:rPr>
          <w:rFonts w:cs="Times New Roman"/>
          <w:b/>
          <w:sz w:val="22"/>
          <w:szCs w:val="22"/>
          <w:lang w:val="en"/>
        </w:rPr>
      </w:pPr>
      <w:r w:rsidRPr="00937B31">
        <w:rPr>
          <w:rFonts w:cs="Times New Roman"/>
          <w:b/>
          <w:sz w:val="22"/>
          <w:szCs w:val="22"/>
        </w:rPr>
        <w:t xml:space="preserve">The </w:t>
      </w:r>
      <w:r w:rsidR="00AF3A36" w:rsidRPr="00937B31">
        <w:rPr>
          <w:rFonts w:cs="Times New Roman"/>
          <w:b/>
          <w:sz w:val="22"/>
          <w:szCs w:val="22"/>
        </w:rPr>
        <w:t>Filed</w:t>
      </w:r>
      <w:r w:rsidRPr="00937B31">
        <w:rPr>
          <w:rFonts w:cs="Times New Roman"/>
          <w:b/>
          <w:sz w:val="22"/>
          <w:szCs w:val="22"/>
          <w:lang w:val="en"/>
        </w:rPr>
        <w:t xml:space="preserve"> </w:t>
      </w:r>
      <w:r w:rsidRPr="00937B31">
        <w:rPr>
          <w:rFonts w:cs="Times New Roman"/>
          <w:b/>
          <w:sz w:val="22"/>
          <w:szCs w:val="22"/>
        </w:rPr>
        <w:t>Rating</w:t>
      </w:r>
      <w:r w:rsidR="00937B31">
        <w:rPr>
          <w:rFonts w:cs="Times New Roman"/>
          <w:b/>
          <w:sz w:val="22"/>
          <w:szCs w:val="22"/>
          <w:lang w:val="en"/>
        </w:rPr>
        <w:t xml:space="preserve"> Plan</w:t>
      </w:r>
    </w:p>
    <w:p w14:paraId="0EF22128" w14:textId="77777777" w:rsidR="00937B31" w:rsidRPr="00937B31" w:rsidRDefault="00937B31" w:rsidP="00937B31">
      <w:pPr>
        <w:spacing w:after="0"/>
        <w:rPr>
          <w:lang w:val="en"/>
        </w:rPr>
      </w:pPr>
    </w:p>
    <w:tbl>
      <w:tblPr>
        <w:tblW w:w="10800" w:type="dxa"/>
        <w:tblInd w:w="-365" w:type="dxa"/>
        <w:tblLook w:val="04A0" w:firstRow="1" w:lastRow="0" w:firstColumn="1" w:lastColumn="0" w:noHBand="0" w:noVBand="1"/>
      </w:tblPr>
      <w:tblGrid>
        <w:gridCol w:w="1000"/>
        <w:gridCol w:w="4220"/>
        <w:gridCol w:w="990"/>
        <w:gridCol w:w="449"/>
        <w:gridCol w:w="4141"/>
      </w:tblGrid>
      <w:tr w:rsidR="00402FDF" w:rsidRPr="00937B31" w14:paraId="74C2C443" w14:textId="77777777" w:rsidTr="00937B31">
        <w:trPr>
          <w:trHeight w:val="1493"/>
        </w:trPr>
        <w:tc>
          <w:tcPr>
            <w:tcW w:w="1000" w:type="dxa"/>
            <w:tcBorders>
              <w:top w:val="single" w:sz="4" w:space="0" w:color="auto"/>
              <w:left w:val="single" w:sz="4" w:space="0" w:color="auto"/>
              <w:bottom w:val="single" w:sz="4" w:space="0" w:color="auto"/>
              <w:right w:val="single" w:sz="4" w:space="0" w:color="auto"/>
            </w:tcBorders>
            <w:shd w:val="clear" w:color="000000" w:fill="auto"/>
            <w:textDirection w:val="btLr"/>
            <w:vAlign w:val="center"/>
            <w:hideMark/>
          </w:tcPr>
          <w:p w14:paraId="614076F1" w14:textId="77777777" w:rsidR="0050408D" w:rsidRPr="0050408D" w:rsidRDefault="0050408D" w:rsidP="0050408D">
            <w:pPr>
              <w:spacing w:after="0" w:line="240" w:lineRule="auto"/>
              <w:jc w:val="center"/>
              <w:rPr>
                <w:rFonts w:ascii="Times New Roman" w:eastAsia="Times New Roman" w:hAnsi="Times New Roman" w:cs="Times New Roman"/>
                <w:b/>
                <w:bCs/>
                <w:sz w:val="20"/>
                <w:szCs w:val="20"/>
              </w:rPr>
            </w:pPr>
            <w:r w:rsidRPr="0050408D">
              <w:rPr>
                <w:rFonts w:ascii="Times New Roman" w:eastAsia="Times New Roman" w:hAnsi="Times New Roman" w:cs="Times New Roman"/>
                <w:b/>
                <w:bCs/>
                <w:sz w:val="20"/>
                <w:szCs w:val="20"/>
              </w:rPr>
              <w:t>Section</w:t>
            </w:r>
          </w:p>
        </w:tc>
        <w:tc>
          <w:tcPr>
            <w:tcW w:w="4220" w:type="dxa"/>
            <w:tcBorders>
              <w:top w:val="single" w:sz="4" w:space="0" w:color="auto"/>
              <w:left w:val="nil"/>
              <w:bottom w:val="single" w:sz="4" w:space="0" w:color="auto"/>
              <w:right w:val="single" w:sz="4" w:space="0" w:color="auto"/>
            </w:tcBorders>
            <w:shd w:val="clear" w:color="000000" w:fill="auto"/>
            <w:vAlign w:val="center"/>
            <w:hideMark/>
          </w:tcPr>
          <w:p w14:paraId="011FDC23" w14:textId="77777777" w:rsidR="0050408D" w:rsidRPr="0050408D" w:rsidRDefault="0050408D" w:rsidP="0050408D">
            <w:pPr>
              <w:spacing w:after="0" w:line="240" w:lineRule="auto"/>
              <w:jc w:val="center"/>
              <w:rPr>
                <w:rFonts w:ascii="Times New Roman" w:eastAsia="Times New Roman" w:hAnsi="Times New Roman" w:cs="Times New Roman"/>
                <w:b/>
                <w:bCs/>
                <w:sz w:val="20"/>
                <w:szCs w:val="20"/>
              </w:rPr>
            </w:pPr>
            <w:r w:rsidRPr="0050408D">
              <w:rPr>
                <w:rFonts w:ascii="Times New Roman" w:eastAsia="Times New Roman" w:hAnsi="Times New Roman" w:cs="Times New Roman"/>
                <w:b/>
                <w:bCs/>
                <w:sz w:val="20"/>
                <w:szCs w:val="20"/>
              </w:rPr>
              <w:t>Information Element</w:t>
            </w:r>
          </w:p>
        </w:tc>
        <w:tc>
          <w:tcPr>
            <w:tcW w:w="990" w:type="dxa"/>
            <w:tcBorders>
              <w:top w:val="single" w:sz="4" w:space="0" w:color="auto"/>
              <w:left w:val="nil"/>
              <w:bottom w:val="single" w:sz="4" w:space="0" w:color="auto"/>
              <w:right w:val="single" w:sz="4" w:space="0" w:color="auto"/>
            </w:tcBorders>
            <w:shd w:val="clear" w:color="000000" w:fill="auto"/>
            <w:textDirection w:val="btLr"/>
            <w:vAlign w:val="center"/>
            <w:hideMark/>
          </w:tcPr>
          <w:p w14:paraId="3E4CE35C" w14:textId="77777777" w:rsidR="0050408D" w:rsidRPr="0050408D" w:rsidRDefault="0050408D" w:rsidP="0050408D">
            <w:pPr>
              <w:spacing w:after="0" w:line="240" w:lineRule="auto"/>
              <w:jc w:val="center"/>
              <w:rPr>
                <w:rFonts w:ascii="Times New Roman" w:eastAsia="Times New Roman" w:hAnsi="Times New Roman" w:cs="Times New Roman"/>
                <w:b/>
                <w:bCs/>
                <w:sz w:val="18"/>
                <w:szCs w:val="18"/>
              </w:rPr>
            </w:pPr>
            <w:r w:rsidRPr="0050408D">
              <w:rPr>
                <w:rFonts w:ascii="Times New Roman" w:eastAsia="Times New Roman" w:hAnsi="Times New Roman" w:cs="Times New Roman"/>
                <w:b/>
                <w:bCs/>
                <w:sz w:val="18"/>
                <w:szCs w:val="18"/>
              </w:rPr>
              <w:t>Level of Importance to Regulator’s Review</w:t>
            </w:r>
          </w:p>
        </w:tc>
        <w:tc>
          <w:tcPr>
            <w:tcW w:w="4590" w:type="dxa"/>
            <w:gridSpan w:val="2"/>
            <w:tcBorders>
              <w:top w:val="single" w:sz="4" w:space="0" w:color="auto"/>
              <w:left w:val="nil"/>
              <w:bottom w:val="single" w:sz="4" w:space="0" w:color="auto"/>
              <w:right w:val="single" w:sz="4" w:space="0" w:color="auto"/>
            </w:tcBorders>
            <w:shd w:val="clear" w:color="000000" w:fill="auto"/>
            <w:vAlign w:val="center"/>
            <w:hideMark/>
          </w:tcPr>
          <w:p w14:paraId="26BB268D" w14:textId="77777777" w:rsidR="0050408D" w:rsidRPr="0050408D" w:rsidRDefault="0050408D" w:rsidP="0050408D">
            <w:pPr>
              <w:spacing w:after="0" w:line="240" w:lineRule="auto"/>
              <w:jc w:val="center"/>
              <w:rPr>
                <w:rFonts w:ascii="Times New Roman" w:eastAsia="Times New Roman" w:hAnsi="Times New Roman" w:cs="Times New Roman"/>
                <w:b/>
                <w:bCs/>
                <w:sz w:val="20"/>
                <w:szCs w:val="20"/>
              </w:rPr>
            </w:pPr>
            <w:r w:rsidRPr="0050408D">
              <w:rPr>
                <w:rFonts w:ascii="Times New Roman" w:eastAsia="Times New Roman" w:hAnsi="Times New Roman" w:cs="Times New Roman"/>
                <w:b/>
                <w:bCs/>
                <w:sz w:val="20"/>
                <w:szCs w:val="20"/>
              </w:rPr>
              <w:t>Comments</w:t>
            </w:r>
          </w:p>
        </w:tc>
      </w:tr>
      <w:tr w:rsidR="00402FDF" w:rsidRPr="00937B31" w14:paraId="128AC196" w14:textId="77777777" w:rsidTr="00937B31">
        <w:trPr>
          <w:trHeight w:val="525"/>
        </w:trPr>
        <w:tc>
          <w:tcPr>
            <w:tcW w:w="10800" w:type="dxa"/>
            <w:gridSpan w:val="5"/>
            <w:tcBorders>
              <w:top w:val="single" w:sz="4" w:space="0" w:color="auto"/>
              <w:left w:val="single" w:sz="4" w:space="0" w:color="auto"/>
              <w:bottom w:val="single" w:sz="4" w:space="0" w:color="auto"/>
              <w:right w:val="single" w:sz="4" w:space="0" w:color="auto"/>
            </w:tcBorders>
            <w:shd w:val="clear" w:color="000000" w:fill="auto"/>
            <w:vAlign w:val="center"/>
            <w:hideMark/>
          </w:tcPr>
          <w:p w14:paraId="6EF044C2" w14:textId="77777777" w:rsidR="0050408D" w:rsidRPr="0050408D" w:rsidRDefault="0050408D" w:rsidP="0050408D">
            <w:pPr>
              <w:spacing w:after="0" w:line="240" w:lineRule="auto"/>
              <w:jc w:val="both"/>
              <w:rPr>
                <w:rFonts w:ascii="Times New Roman" w:eastAsia="Times New Roman" w:hAnsi="Times New Roman" w:cs="Times New Roman"/>
                <w:bCs/>
              </w:rPr>
            </w:pPr>
            <w:r w:rsidRPr="0050408D">
              <w:rPr>
                <w:rFonts w:ascii="Times New Roman" w:eastAsia="Times New Roman" w:hAnsi="Times New Roman" w:cs="Times New Roman"/>
                <w:bCs/>
              </w:rPr>
              <w:t>1.  General Impact of Model on Rating Algorithm</w:t>
            </w:r>
          </w:p>
        </w:tc>
      </w:tr>
      <w:tr w:rsidR="00402FDF" w:rsidRPr="00937B31" w14:paraId="5205919A" w14:textId="77777777" w:rsidTr="00937B31">
        <w:trPr>
          <w:trHeight w:val="2060"/>
        </w:trPr>
        <w:tc>
          <w:tcPr>
            <w:tcW w:w="1000" w:type="dxa"/>
            <w:tcBorders>
              <w:top w:val="nil"/>
              <w:left w:val="single" w:sz="4" w:space="0" w:color="auto"/>
              <w:bottom w:val="single" w:sz="4" w:space="0" w:color="auto"/>
              <w:right w:val="single" w:sz="4" w:space="0" w:color="auto"/>
            </w:tcBorders>
            <w:shd w:val="clear" w:color="000000" w:fill="auto"/>
            <w:vAlign w:val="center"/>
            <w:hideMark/>
          </w:tcPr>
          <w:p w14:paraId="70315BC0"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C.1.a</w:t>
            </w:r>
          </w:p>
        </w:tc>
        <w:tc>
          <w:tcPr>
            <w:tcW w:w="4220" w:type="dxa"/>
            <w:tcBorders>
              <w:top w:val="nil"/>
              <w:left w:val="nil"/>
              <w:bottom w:val="single" w:sz="4" w:space="0" w:color="auto"/>
              <w:right w:val="single" w:sz="4" w:space="0" w:color="auto"/>
            </w:tcBorders>
            <w:shd w:val="clear" w:color="000000" w:fill="auto"/>
            <w:vAlign w:val="center"/>
            <w:hideMark/>
          </w:tcPr>
          <w:p w14:paraId="3099C0CC" w14:textId="3E9768F9" w:rsidR="0050408D" w:rsidRPr="0050408D" w:rsidRDefault="0050408D" w:rsidP="008F28EB">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In the actuarial memorandum or explanatory memorandum, for each model and sub-model (including external models), look for a narrative that explains each model and its role in the rating system.</w:t>
            </w:r>
          </w:p>
        </w:tc>
        <w:tc>
          <w:tcPr>
            <w:tcW w:w="1439" w:type="dxa"/>
            <w:gridSpan w:val="2"/>
            <w:tcBorders>
              <w:top w:val="nil"/>
              <w:left w:val="nil"/>
              <w:bottom w:val="single" w:sz="4" w:space="0" w:color="auto"/>
              <w:right w:val="single" w:sz="4" w:space="0" w:color="auto"/>
            </w:tcBorders>
            <w:shd w:val="clear" w:color="000000" w:fill="auto"/>
            <w:vAlign w:val="center"/>
            <w:hideMark/>
          </w:tcPr>
          <w:p w14:paraId="15862941"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1</w:t>
            </w:r>
          </w:p>
        </w:tc>
        <w:tc>
          <w:tcPr>
            <w:tcW w:w="4141" w:type="dxa"/>
            <w:tcBorders>
              <w:top w:val="nil"/>
              <w:left w:val="nil"/>
              <w:bottom w:val="single" w:sz="4" w:space="0" w:color="auto"/>
              <w:right w:val="single" w:sz="4" w:space="0" w:color="auto"/>
            </w:tcBorders>
            <w:shd w:val="clear" w:color="000000" w:fill="auto"/>
            <w:vAlign w:val="center"/>
            <w:hideMark/>
          </w:tcPr>
          <w:p w14:paraId="56E95F9B" w14:textId="4D58FED7" w:rsidR="0050408D" w:rsidRPr="0050408D" w:rsidRDefault="0050408D" w:rsidP="008F28EB">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This item is particularly important, if the role of the model cannot be immediately discerned by the reviewer from a quick review of the rate and/or rule pages. (Importance is dependent on state requirements and ease of identification by the first layer of review and escalation to the appropriate review staff.)</w:t>
            </w:r>
          </w:p>
        </w:tc>
      </w:tr>
      <w:tr w:rsidR="00402FDF" w:rsidRPr="00937B31" w14:paraId="6129FB06" w14:textId="77777777" w:rsidTr="00937B31">
        <w:trPr>
          <w:trHeight w:val="1700"/>
        </w:trPr>
        <w:tc>
          <w:tcPr>
            <w:tcW w:w="1000" w:type="dxa"/>
            <w:tcBorders>
              <w:top w:val="nil"/>
              <w:left w:val="single" w:sz="4" w:space="0" w:color="auto"/>
              <w:bottom w:val="single" w:sz="4" w:space="0" w:color="auto"/>
              <w:right w:val="single" w:sz="4" w:space="0" w:color="auto"/>
            </w:tcBorders>
            <w:shd w:val="clear" w:color="000000" w:fill="auto"/>
            <w:vAlign w:val="center"/>
            <w:hideMark/>
          </w:tcPr>
          <w:p w14:paraId="765AFC05"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C.1.b</w:t>
            </w:r>
          </w:p>
        </w:tc>
        <w:tc>
          <w:tcPr>
            <w:tcW w:w="4220" w:type="dxa"/>
            <w:tcBorders>
              <w:top w:val="nil"/>
              <w:left w:val="nil"/>
              <w:bottom w:val="single" w:sz="4" w:space="0" w:color="auto"/>
              <w:right w:val="single" w:sz="4" w:space="0" w:color="auto"/>
            </w:tcBorders>
            <w:shd w:val="clear" w:color="000000" w:fill="auto"/>
            <w:vAlign w:val="center"/>
            <w:hideMark/>
          </w:tcPr>
          <w:p w14:paraId="1B835277"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Obtain an explanation of how the model was used to adjust the rating algorithm.</w:t>
            </w:r>
          </w:p>
        </w:tc>
        <w:tc>
          <w:tcPr>
            <w:tcW w:w="1439" w:type="dxa"/>
            <w:gridSpan w:val="2"/>
            <w:tcBorders>
              <w:top w:val="nil"/>
              <w:left w:val="nil"/>
              <w:bottom w:val="single" w:sz="4" w:space="0" w:color="auto"/>
              <w:right w:val="single" w:sz="4" w:space="0" w:color="auto"/>
            </w:tcBorders>
            <w:shd w:val="clear" w:color="000000" w:fill="auto"/>
            <w:vAlign w:val="center"/>
            <w:hideMark/>
          </w:tcPr>
          <w:p w14:paraId="17FF6272"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1</w:t>
            </w:r>
          </w:p>
        </w:tc>
        <w:tc>
          <w:tcPr>
            <w:tcW w:w="4141" w:type="dxa"/>
            <w:tcBorders>
              <w:top w:val="nil"/>
              <w:left w:val="nil"/>
              <w:bottom w:val="single" w:sz="4" w:space="0" w:color="auto"/>
              <w:right w:val="single" w:sz="4" w:space="0" w:color="auto"/>
            </w:tcBorders>
            <w:shd w:val="clear" w:color="000000" w:fill="auto"/>
            <w:vAlign w:val="center"/>
            <w:hideMark/>
          </w:tcPr>
          <w:p w14:paraId="3B706045" w14:textId="77777777" w:rsidR="0050408D" w:rsidRPr="0050408D" w:rsidRDefault="0050408D" w:rsidP="0050408D">
            <w:pPr>
              <w:spacing w:after="0" w:line="240" w:lineRule="auto"/>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Models are often used to produce factor-based indications, which are then used as the basis for the selected changes to the rating plan.  It is the changes to the rating plan that create impacts.  Consider asking for an explanation of how the model was used to adjust the rating algorithm.</w:t>
            </w:r>
          </w:p>
        </w:tc>
      </w:tr>
      <w:tr w:rsidR="00402FDF" w:rsidRPr="00937B31" w14:paraId="06C3AB1C" w14:textId="77777777" w:rsidTr="00937B31">
        <w:trPr>
          <w:trHeight w:val="3410"/>
        </w:trPr>
        <w:tc>
          <w:tcPr>
            <w:tcW w:w="100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22900BB8"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C.1.c</w:t>
            </w:r>
          </w:p>
        </w:tc>
        <w:tc>
          <w:tcPr>
            <w:tcW w:w="4220" w:type="dxa"/>
            <w:tcBorders>
              <w:top w:val="single" w:sz="4" w:space="0" w:color="auto"/>
              <w:left w:val="nil"/>
              <w:bottom w:val="single" w:sz="4" w:space="0" w:color="auto"/>
              <w:right w:val="single" w:sz="4" w:space="0" w:color="auto"/>
            </w:tcBorders>
            <w:shd w:val="clear" w:color="000000" w:fill="auto"/>
            <w:vAlign w:val="center"/>
            <w:hideMark/>
          </w:tcPr>
          <w:p w14:paraId="0B1E52F6"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Obtain a complete list of characteristics/variables used in the proposed rating plan, including those used as input to the model (including sub-models and composite variables) and all other characteristics/variables (not input to the model) used to calculate a premium. For each characteristic/variable, determine if it is only input to the model, whether it is only a separate univariate rating characteristic, or whether it is both input to the model and a separate univariate rating characteristic. The list should include transparent descriptions (in plain language) of each listed characteristic/variable.</w:t>
            </w:r>
          </w:p>
        </w:tc>
        <w:tc>
          <w:tcPr>
            <w:tcW w:w="1439" w:type="dxa"/>
            <w:gridSpan w:val="2"/>
            <w:tcBorders>
              <w:top w:val="single" w:sz="4" w:space="0" w:color="auto"/>
              <w:left w:val="nil"/>
              <w:bottom w:val="single" w:sz="4" w:space="0" w:color="auto"/>
              <w:right w:val="single" w:sz="4" w:space="0" w:color="auto"/>
            </w:tcBorders>
            <w:shd w:val="clear" w:color="000000" w:fill="auto"/>
            <w:vAlign w:val="center"/>
            <w:hideMark/>
          </w:tcPr>
          <w:p w14:paraId="256154ED"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1</w:t>
            </w:r>
          </w:p>
        </w:tc>
        <w:tc>
          <w:tcPr>
            <w:tcW w:w="4141" w:type="dxa"/>
            <w:tcBorders>
              <w:top w:val="single" w:sz="4" w:space="0" w:color="auto"/>
              <w:left w:val="nil"/>
              <w:bottom w:val="single" w:sz="4" w:space="0" w:color="auto"/>
              <w:right w:val="single" w:sz="4" w:space="0" w:color="auto"/>
            </w:tcBorders>
            <w:shd w:val="clear" w:color="000000" w:fill="auto"/>
            <w:vAlign w:val="center"/>
            <w:hideMark/>
          </w:tcPr>
          <w:p w14:paraId="2203CC5C"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Examples of variables used as inputs to the model and used as separate univariate rating characteristics might be criteria used to determine a rating tier or household composite characteristic.</w:t>
            </w:r>
          </w:p>
        </w:tc>
      </w:tr>
      <w:tr w:rsidR="00402FDF" w:rsidRPr="00937B31" w14:paraId="50E98DDE" w14:textId="77777777" w:rsidTr="00937B31">
        <w:trPr>
          <w:trHeight w:val="525"/>
        </w:trPr>
        <w:tc>
          <w:tcPr>
            <w:tcW w:w="10800" w:type="dxa"/>
            <w:gridSpan w:val="5"/>
            <w:tcBorders>
              <w:top w:val="single" w:sz="4" w:space="0" w:color="auto"/>
              <w:left w:val="single" w:sz="4" w:space="0" w:color="auto"/>
              <w:bottom w:val="single" w:sz="4" w:space="0" w:color="auto"/>
              <w:right w:val="single" w:sz="4" w:space="0" w:color="auto"/>
            </w:tcBorders>
            <w:shd w:val="clear" w:color="000000" w:fill="auto"/>
            <w:vAlign w:val="center"/>
            <w:hideMark/>
          </w:tcPr>
          <w:p w14:paraId="030E268C" w14:textId="52454DF1" w:rsidR="0050408D" w:rsidRPr="0050408D" w:rsidRDefault="00CD5564" w:rsidP="00CD5564">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2.  Relevance of Variables and</w:t>
            </w:r>
            <w:r w:rsidR="0050408D" w:rsidRPr="0050408D">
              <w:rPr>
                <w:rFonts w:ascii="Times New Roman" w:eastAsia="Times New Roman" w:hAnsi="Times New Roman" w:cs="Times New Roman"/>
                <w:bCs/>
              </w:rPr>
              <w:t xml:space="preserve"> Relationship to Risk of Loss</w:t>
            </w:r>
          </w:p>
        </w:tc>
      </w:tr>
      <w:tr w:rsidR="00402FDF" w:rsidRPr="00937B31" w14:paraId="37476EDA" w14:textId="77777777" w:rsidTr="00937B31">
        <w:trPr>
          <w:trHeight w:val="2807"/>
        </w:trPr>
        <w:tc>
          <w:tcPr>
            <w:tcW w:w="1000" w:type="dxa"/>
            <w:tcBorders>
              <w:top w:val="nil"/>
              <w:left w:val="single" w:sz="4" w:space="0" w:color="auto"/>
              <w:bottom w:val="single" w:sz="4" w:space="0" w:color="auto"/>
              <w:right w:val="single" w:sz="4" w:space="0" w:color="auto"/>
            </w:tcBorders>
            <w:shd w:val="clear" w:color="000000" w:fill="auto"/>
            <w:vAlign w:val="center"/>
            <w:hideMark/>
          </w:tcPr>
          <w:p w14:paraId="2AF462A8"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C.2.a</w:t>
            </w:r>
          </w:p>
        </w:tc>
        <w:tc>
          <w:tcPr>
            <w:tcW w:w="4220" w:type="dxa"/>
            <w:tcBorders>
              <w:top w:val="nil"/>
              <w:left w:val="nil"/>
              <w:bottom w:val="single" w:sz="4" w:space="0" w:color="auto"/>
              <w:right w:val="single" w:sz="4" w:space="0" w:color="auto"/>
            </w:tcBorders>
            <w:shd w:val="clear" w:color="000000" w:fill="auto"/>
            <w:vAlign w:val="center"/>
            <w:hideMark/>
          </w:tcPr>
          <w:p w14:paraId="7C798BD0" w14:textId="6954DA3B" w:rsidR="0050408D" w:rsidRPr="0050408D" w:rsidRDefault="0050408D" w:rsidP="008F28EB">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 xml:space="preserve">Obtain a narrative how the characteristics/rating variables, included in the filed rating plan, logically and intuitively relate to the risk of insurance loss (or expense) for the type of insurance product being priced. </w:t>
            </w:r>
          </w:p>
        </w:tc>
        <w:tc>
          <w:tcPr>
            <w:tcW w:w="1439" w:type="dxa"/>
            <w:gridSpan w:val="2"/>
            <w:tcBorders>
              <w:top w:val="nil"/>
              <w:left w:val="nil"/>
              <w:bottom w:val="single" w:sz="4" w:space="0" w:color="auto"/>
              <w:right w:val="single" w:sz="4" w:space="0" w:color="auto"/>
            </w:tcBorders>
            <w:shd w:val="clear" w:color="000000" w:fill="auto"/>
            <w:vAlign w:val="center"/>
            <w:hideMark/>
          </w:tcPr>
          <w:p w14:paraId="5DF5A106"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2</w:t>
            </w:r>
          </w:p>
        </w:tc>
        <w:tc>
          <w:tcPr>
            <w:tcW w:w="4141" w:type="dxa"/>
            <w:tcBorders>
              <w:top w:val="nil"/>
              <w:left w:val="nil"/>
              <w:bottom w:val="single" w:sz="4" w:space="0" w:color="auto"/>
              <w:right w:val="single" w:sz="4" w:space="0" w:color="auto"/>
            </w:tcBorders>
            <w:shd w:val="clear" w:color="000000" w:fill="auto"/>
            <w:vAlign w:val="center"/>
            <w:hideMark/>
          </w:tcPr>
          <w:p w14:paraId="332F43C3" w14:textId="69B3D22E"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 xml:space="preserve">The narrative should include a discussion of the relevance each characteristic/rating variable has on consumer behavior that would lead to a difference in risk of loss (or expense). The narrative should include a logical and intuitive relationship to cost, and model results </w:t>
            </w:r>
            <w:r w:rsidR="00442438" w:rsidRPr="0050408D">
              <w:rPr>
                <w:rFonts w:ascii="Times New Roman" w:eastAsia="Times New Roman" w:hAnsi="Times New Roman" w:cs="Times New Roman"/>
                <w:sz w:val="20"/>
                <w:szCs w:val="20"/>
              </w:rPr>
              <w:t>should</w:t>
            </w:r>
            <w:r w:rsidRPr="0050408D">
              <w:rPr>
                <w:rFonts w:ascii="Times New Roman" w:eastAsia="Times New Roman" w:hAnsi="Times New Roman" w:cs="Times New Roman"/>
                <w:sz w:val="20"/>
                <w:szCs w:val="20"/>
              </w:rPr>
              <w:t xml:space="preserve"> be consistent with the expected direction of the relationship. This explanation would not be needed if the connection between variables and risk of loss (or expense) has already been illustrated.</w:t>
            </w:r>
          </w:p>
        </w:tc>
      </w:tr>
      <w:tr w:rsidR="00402FDF" w:rsidRPr="00937B31" w14:paraId="48FB334D" w14:textId="77777777" w:rsidTr="00937B31">
        <w:trPr>
          <w:trHeight w:val="525"/>
        </w:trPr>
        <w:tc>
          <w:tcPr>
            <w:tcW w:w="10800" w:type="dxa"/>
            <w:gridSpan w:val="5"/>
            <w:tcBorders>
              <w:top w:val="single" w:sz="4" w:space="0" w:color="auto"/>
              <w:left w:val="single" w:sz="4" w:space="0" w:color="auto"/>
              <w:bottom w:val="single" w:sz="4" w:space="0" w:color="auto"/>
              <w:right w:val="single" w:sz="4" w:space="0" w:color="auto"/>
            </w:tcBorders>
            <w:shd w:val="clear" w:color="000000" w:fill="auto"/>
            <w:vAlign w:val="center"/>
            <w:hideMark/>
          </w:tcPr>
          <w:p w14:paraId="301C4E79" w14:textId="77777777" w:rsidR="0050408D" w:rsidRPr="0050408D" w:rsidRDefault="0050408D" w:rsidP="0050408D">
            <w:pPr>
              <w:spacing w:after="0" w:line="240" w:lineRule="auto"/>
              <w:jc w:val="both"/>
              <w:rPr>
                <w:rFonts w:ascii="Times New Roman" w:eastAsia="Times New Roman" w:hAnsi="Times New Roman" w:cs="Times New Roman"/>
                <w:bCs/>
              </w:rPr>
            </w:pPr>
            <w:r w:rsidRPr="0050408D">
              <w:rPr>
                <w:rFonts w:ascii="Times New Roman" w:eastAsia="Times New Roman" w:hAnsi="Times New Roman" w:cs="Times New Roman"/>
                <w:bCs/>
              </w:rPr>
              <w:t>3.  Comparison of Model Outputs to Current and Selected Rating Factors</w:t>
            </w:r>
          </w:p>
        </w:tc>
      </w:tr>
      <w:tr w:rsidR="00402FDF" w:rsidRPr="00937B31" w14:paraId="482C1FF1" w14:textId="77777777" w:rsidTr="00937B31">
        <w:trPr>
          <w:trHeight w:val="1727"/>
        </w:trPr>
        <w:tc>
          <w:tcPr>
            <w:tcW w:w="100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67EBE56A" w14:textId="4E6A625A" w:rsidR="0050408D" w:rsidRPr="0050408D" w:rsidRDefault="0050408D" w:rsidP="00CD2E15">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w:t>
            </w:r>
            <w:r w:rsidR="00CD2E15">
              <w:rPr>
                <w:rFonts w:ascii="Times New Roman" w:eastAsia="Times New Roman" w:hAnsi="Times New Roman" w:cs="Times New Roman"/>
                <w:sz w:val="20"/>
                <w:szCs w:val="20"/>
              </w:rPr>
              <w:t>3.a</w:t>
            </w:r>
          </w:p>
        </w:tc>
        <w:tc>
          <w:tcPr>
            <w:tcW w:w="4220" w:type="dxa"/>
            <w:tcBorders>
              <w:top w:val="single" w:sz="4" w:space="0" w:color="auto"/>
              <w:left w:val="nil"/>
              <w:bottom w:val="single" w:sz="4" w:space="0" w:color="auto"/>
              <w:right w:val="single" w:sz="4" w:space="0" w:color="auto"/>
            </w:tcBorders>
            <w:shd w:val="clear" w:color="000000" w:fill="auto"/>
            <w:vAlign w:val="center"/>
            <w:hideMark/>
          </w:tcPr>
          <w:p w14:paraId="5FCD088B" w14:textId="730B9B90" w:rsidR="0050408D" w:rsidRPr="0050408D" w:rsidRDefault="0050408D" w:rsidP="008F28EB">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Compar</w:t>
            </w:r>
            <w:r w:rsidR="008F28EB" w:rsidRPr="00937B31">
              <w:rPr>
                <w:rFonts w:ascii="Times New Roman" w:eastAsia="Times New Roman" w:hAnsi="Times New Roman" w:cs="Times New Roman"/>
                <w:sz w:val="20"/>
                <w:szCs w:val="20"/>
              </w:rPr>
              <w:t>e r</w:t>
            </w:r>
            <w:r w:rsidRPr="0050408D">
              <w:rPr>
                <w:rFonts w:ascii="Times New Roman" w:eastAsia="Times New Roman" w:hAnsi="Times New Roman" w:cs="Times New Roman"/>
                <w:sz w:val="20"/>
                <w:szCs w:val="20"/>
              </w:rPr>
              <w:t>elativities indicated by the model to both current relativities and the insurer's selected relativities for each risk characteristic/variable in the rating plan</w:t>
            </w:r>
            <w:r w:rsidR="008F28EB" w:rsidRPr="00937B31">
              <w:rPr>
                <w:rFonts w:ascii="Times New Roman" w:eastAsia="Times New Roman" w:hAnsi="Times New Roman" w:cs="Times New Roman"/>
                <w:sz w:val="20"/>
                <w:szCs w:val="20"/>
              </w:rPr>
              <w:t>.</w:t>
            </w:r>
          </w:p>
        </w:tc>
        <w:tc>
          <w:tcPr>
            <w:tcW w:w="1439" w:type="dxa"/>
            <w:gridSpan w:val="2"/>
            <w:tcBorders>
              <w:top w:val="single" w:sz="4" w:space="0" w:color="auto"/>
              <w:left w:val="nil"/>
              <w:bottom w:val="single" w:sz="4" w:space="0" w:color="auto"/>
              <w:right w:val="single" w:sz="4" w:space="0" w:color="auto"/>
            </w:tcBorders>
            <w:shd w:val="clear" w:color="000000" w:fill="auto"/>
            <w:vAlign w:val="center"/>
            <w:hideMark/>
          </w:tcPr>
          <w:p w14:paraId="57CDB20F"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1</w:t>
            </w:r>
          </w:p>
        </w:tc>
        <w:tc>
          <w:tcPr>
            <w:tcW w:w="4141" w:type="dxa"/>
            <w:tcBorders>
              <w:top w:val="single" w:sz="4" w:space="0" w:color="auto"/>
              <w:left w:val="nil"/>
              <w:bottom w:val="single" w:sz="4" w:space="0" w:color="auto"/>
              <w:right w:val="single" w:sz="4" w:space="0" w:color="auto"/>
            </w:tcBorders>
            <w:shd w:val="clear" w:color="000000" w:fill="auto"/>
            <w:vAlign w:val="center"/>
            <w:hideMark/>
          </w:tcPr>
          <w:p w14:paraId="0934C311"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 xml:space="preserve">“Significant difference” may vary based on the risk characteristic/variable and context. However, the movement of a selected relativity should be in the direction of the indicated relativity; if not, an explanation is necessary as to why the movement is logical. </w:t>
            </w:r>
          </w:p>
        </w:tc>
      </w:tr>
      <w:tr w:rsidR="00402FDF" w:rsidRPr="00937B31" w14:paraId="6CD9FA02" w14:textId="77777777" w:rsidTr="00937B31">
        <w:trPr>
          <w:trHeight w:val="2978"/>
        </w:trPr>
        <w:tc>
          <w:tcPr>
            <w:tcW w:w="1000" w:type="dxa"/>
            <w:tcBorders>
              <w:top w:val="nil"/>
              <w:left w:val="single" w:sz="4" w:space="0" w:color="auto"/>
              <w:bottom w:val="single" w:sz="4" w:space="0" w:color="auto"/>
              <w:right w:val="single" w:sz="4" w:space="0" w:color="auto"/>
            </w:tcBorders>
            <w:shd w:val="clear" w:color="000000" w:fill="auto"/>
            <w:vAlign w:val="center"/>
            <w:hideMark/>
          </w:tcPr>
          <w:p w14:paraId="5FD2464D" w14:textId="036F7111" w:rsidR="0050408D" w:rsidRPr="0050408D" w:rsidRDefault="0050408D" w:rsidP="00CD2E15">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w:t>
            </w:r>
            <w:r w:rsidR="00CD2E15">
              <w:rPr>
                <w:rFonts w:ascii="Times New Roman" w:eastAsia="Times New Roman" w:hAnsi="Times New Roman" w:cs="Times New Roman"/>
                <w:sz w:val="20"/>
                <w:szCs w:val="20"/>
              </w:rPr>
              <w:t>3.b</w:t>
            </w:r>
          </w:p>
        </w:tc>
        <w:tc>
          <w:tcPr>
            <w:tcW w:w="4220" w:type="dxa"/>
            <w:tcBorders>
              <w:top w:val="nil"/>
              <w:left w:val="nil"/>
              <w:bottom w:val="single" w:sz="4" w:space="0" w:color="auto"/>
              <w:right w:val="single" w:sz="4" w:space="0" w:color="auto"/>
            </w:tcBorders>
            <w:shd w:val="clear" w:color="000000" w:fill="auto"/>
            <w:vAlign w:val="center"/>
            <w:hideMark/>
          </w:tcPr>
          <w:p w14:paraId="20DFEB70" w14:textId="7B2B2663"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 xml:space="preserve">Obtain documentation and support for all calculations, judgments, or adjustments that connect the model's indicated values to the selected values.  </w:t>
            </w:r>
          </w:p>
        </w:tc>
        <w:tc>
          <w:tcPr>
            <w:tcW w:w="1439" w:type="dxa"/>
            <w:gridSpan w:val="2"/>
            <w:tcBorders>
              <w:top w:val="nil"/>
              <w:left w:val="nil"/>
              <w:bottom w:val="single" w:sz="4" w:space="0" w:color="auto"/>
              <w:right w:val="single" w:sz="4" w:space="0" w:color="auto"/>
            </w:tcBorders>
            <w:shd w:val="clear" w:color="000000" w:fill="auto"/>
            <w:vAlign w:val="center"/>
            <w:hideMark/>
          </w:tcPr>
          <w:p w14:paraId="4957FE01"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1</w:t>
            </w:r>
          </w:p>
        </w:tc>
        <w:tc>
          <w:tcPr>
            <w:tcW w:w="4141" w:type="dxa"/>
            <w:tcBorders>
              <w:top w:val="nil"/>
              <w:left w:val="nil"/>
              <w:bottom w:val="single" w:sz="4" w:space="0" w:color="auto"/>
              <w:right w:val="single" w:sz="4" w:space="0" w:color="auto"/>
            </w:tcBorders>
            <w:shd w:val="clear" w:color="000000" w:fill="auto"/>
            <w:vAlign w:val="center"/>
            <w:hideMark/>
          </w:tcPr>
          <w:p w14:paraId="4FB84FCB" w14:textId="77777777" w:rsidR="0050408D" w:rsidRPr="0050408D" w:rsidRDefault="0050408D" w:rsidP="0050408D">
            <w:pPr>
              <w:spacing w:after="0" w:line="240" w:lineRule="auto"/>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The documentation should include explanations for the necessity of any such adjustments and explain each significant difference between the model's indicated values and the selected values. This applies even to models that produce scores, tiers, or ranges of values for which indications can be derived. This information is especially important if differences between model indicated values and selected values are material and/or impact one consumer population more than another.</w:t>
            </w:r>
          </w:p>
        </w:tc>
      </w:tr>
      <w:tr w:rsidR="00402FDF" w:rsidRPr="00937B31" w14:paraId="6CA17E97" w14:textId="77777777" w:rsidTr="00937B31">
        <w:trPr>
          <w:trHeight w:val="3482"/>
        </w:trPr>
        <w:tc>
          <w:tcPr>
            <w:tcW w:w="1000" w:type="dxa"/>
            <w:tcBorders>
              <w:top w:val="nil"/>
              <w:left w:val="single" w:sz="4" w:space="0" w:color="auto"/>
              <w:bottom w:val="single" w:sz="4" w:space="0" w:color="auto"/>
              <w:right w:val="single" w:sz="4" w:space="0" w:color="auto"/>
            </w:tcBorders>
            <w:shd w:val="clear" w:color="000000" w:fill="auto"/>
            <w:vAlign w:val="center"/>
            <w:hideMark/>
          </w:tcPr>
          <w:p w14:paraId="3B5BCB89" w14:textId="21E968BE" w:rsidR="0050408D" w:rsidRPr="0050408D" w:rsidRDefault="0050408D" w:rsidP="00CD2E15">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w:t>
            </w:r>
            <w:r w:rsidR="00CD2E15">
              <w:rPr>
                <w:rFonts w:ascii="Times New Roman" w:eastAsia="Times New Roman" w:hAnsi="Times New Roman" w:cs="Times New Roman"/>
                <w:sz w:val="20"/>
                <w:szCs w:val="20"/>
              </w:rPr>
              <w:t>3.c</w:t>
            </w:r>
          </w:p>
        </w:tc>
        <w:tc>
          <w:tcPr>
            <w:tcW w:w="4220" w:type="dxa"/>
            <w:tcBorders>
              <w:top w:val="nil"/>
              <w:left w:val="nil"/>
              <w:bottom w:val="single" w:sz="4" w:space="0" w:color="auto"/>
              <w:right w:val="single" w:sz="4" w:space="0" w:color="auto"/>
            </w:tcBorders>
            <w:shd w:val="clear" w:color="000000" w:fill="auto"/>
            <w:vAlign w:val="center"/>
            <w:hideMark/>
          </w:tcPr>
          <w:p w14:paraId="4B9C0EDA"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 xml:space="preserve">For each characteristic/variable used as both input to the model (including sub-models and composite variables) and as a separate univariate rating characteristic, obtain a narrative how each was tempered or </w:t>
            </w:r>
            <w:proofErr w:type="gramStart"/>
            <w:r w:rsidRPr="0050408D">
              <w:rPr>
                <w:rFonts w:ascii="Times New Roman" w:eastAsia="Times New Roman" w:hAnsi="Times New Roman" w:cs="Times New Roman"/>
                <w:sz w:val="20"/>
                <w:szCs w:val="20"/>
              </w:rPr>
              <w:t>adjusted</w:t>
            </w:r>
            <w:proofErr w:type="gramEnd"/>
            <w:r w:rsidRPr="0050408D">
              <w:rPr>
                <w:rFonts w:ascii="Times New Roman" w:eastAsia="Times New Roman" w:hAnsi="Times New Roman" w:cs="Times New Roman"/>
                <w:sz w:val="20"/>
                <w:szCs w:val="20"/>
              </w:rPr>
              <w:t xml:space="preserve"> to account for possible overlap or redundancy in what the characteristic/variable measures.</w:t>
            </w:r>
          </w:p>
        </w:tc>
        <w:tc>
          <w:tcPr>
            <w:tcW w:w="1439" w:type="dxa"/>
            <w:gridSpan w:val="2"/>
            <w:tcBorders>
              <w:top w:val="nil"/>
              <w:left w:val="nil"/>
              <w:bottom w:val="single" w:sz="4" w:space="0" w:color="auto"/>
              <w:right w:val="single" w:sz="4" w:space="0" w:color="auto"/>
            </w:tcBorders>
            <w:shd w:val="clear" w:color="000000" w:fill="auto"/>
            <w:vAlign w:val="center"/>
            <w:hideMark/>
          </w:tcPr>
          <w:p w14:paraId="3CF290FF"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2</w:t>
            </w:r>
          </w:p>
        </w:tc>
        <w:tc>
          <w:tcPr>
            <w:tcW w:w="4141" w:type="dxa"/>
            <w:tcBorders>
              <w:top w:val="nil"/>
              <w:left w:val="nil"/>
              <w:bottom w:val="single" w:sz="4" w:space="0" w:color="auto"/>
              <w:right w:val="single" w:sz="4" w:space="0" w:color="auto"/>
            </w:tcBorders>
            <w:shd w:val="clear" w:color="000000" w:fill="auto"/>
            <w:vAlign w:val="center"/>
            <w:hideMark/>
          </w:tcPr>
          <w:p w14:paraId="40B14B45" w14:textId="35BFA07C"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Modeling loss ratio with these characteristics/variables as control variables would account for possible overlap. The insurer should address this possibility or other considerations, e.g., tier placement models often use risk characteristics/variables that are also used elsewhere in the rating plan.</w:t>
            </w:r>
            <w:r w:rsidRPr="0050408D">
              <w:rPr>
                <w:rFonts w:ascii="Times New Roman" w:eastAsia="Times New Roman" w:hAnsi="Times New Roman" w:cs="Times New Roman"/>
                <w:sz w:val="20"/>
                <w:szCs w:val="20"/>
              </w:rPr>
              <w:br/>
            </w:r>
            <w:r w:rsidRPr="0050408D">
              <w:rPr>
                <w:rFonts w:ascii="Times New Roman" w:eastAsia="Times New Roman" w:hAnsi="Times New Roman" w:cs="Times New Roman"/>
                <w:sz w:val="20"/>
                <w:szCs w:val="20"/>
              </w:rPr>
              <w:br/>
              <w:t xml:space="preserve">One way to do this would be to model the loss ratios resulting from a </w:t>
            </w:r>
            <w:r w:rsidR="00442438" w:rsidRPr="0050408D">
              <w:rPr>
                <w:rFonts w:ascii="Times New Roman" w:eastAsia="Times New Roman" w:hAnsi="Times New Roman" w:cs="Times New Roman"/>
                <w:sz w:val="20"/>
                <w:szCs w:val="20"/>
              </w:rPr>
              <w:t>process that</w:t>
            </w:r>
            <w:r w:rsidRPr="0050408D">
              <w:rPr>
                <w:rFonts w:ascii="Times New Roman" w:eastAsia="Times New Roman" w:hAnsi="Times New Roman" w:cs="Times New Roman"/>
                <w:sz w:val="20"/>
                <w:szCs w:val="20"/>
              </w:rPr>
              <w:t xml:space="preserve"> already uses univariate rating variables.  Then the model/composite variables would be attempting to explain the residuals. </w:t>
            </w:r>
          </w:p>
        </w:tc>
      </w:tr>
      <w:tr w:rsidR="00402FDF" w:rsidRPr="00937B31" w14:paraId="4434C4C0" w14:textId="77777777" w:rsidTr="00937B31">
        <w:trPr>
          <w:trHeight w:val="525"/>
        </w:trPr>
        <w:tc>
          <w:tcPr>
            <w:tcW w:w="10800" w:type="dxa"/>
            <w:gridSpan w:val="5"/>
            <w:tcBorders>
              <w:top w:val="single" w:sz="4" w:space="0" w:color="auto"/>
              <w:left w:val="single" w:sz="4" w:space="0" w:color="auto"/>
              <w:bottom w:val="single" w:sz="4" w:space="0" w:color="auto"/>
              <w:right w:val="single" w:sz="4" w:space="0" w:color="auto"/>
            </w:tcBorders>
            <w:shd w:val="clear" w:color="000000" w:fill="auto"/>
            <w:vAlign w:val="center"/>
            <w:hideMark/>
          </w:tcPr>
          <w:p w14:paraId="0A824F9C" w14:textId="4C0016D4" w:rsidR="0050408D" w:rsidRPr="00937B31" w:rsidRDefault="00402FDF" w:rsidP="00402FDF">
            <w:pPr>
              <w:spacing w:after="0" w:line="240" w:lineRule="auto"/>
              <w:jc w:val="both"/>
              <w:rPr>
                <w:rFonts w:ascii="Times New Roman" w:eastAsia="Times New Roman" w:hAnsi="Times New Roman" w:cs="Times New Roman"/>
                <w:bCs/>
              </w:rPr>
            </w:pPr>
            <w:r w:rsidRPr="00937B31">
              <w:rPr>
                <w:rFonts w:ascii="Times New Roman" w:eastAsia="Times New Roman" w:hAnsi="Times New Roman" w:cs="Times New Roman"/>
                <w:bCs/>
              </w:rPr>
              <w:t xml:space="preserve">4.  </w:t>
            </w:r>
            <w:r w:rsidR="0050408D" w:rsidRPr="00937B31">
              <w:rPr>
                <w:rFonts w:ascii="Times New Roman" w:eastAsia="Times New Roman" w:hAnsi="Times New Roman" w:cs="Times New Roman"/>
                <w:bCs/>
              </w:rPr>
              <w:t>Responses to Data, Credibility and Granularity Issues</w:t>
            </w:r>
          </w:p>
        </w:tc>
      </w:tr>
      <w:tr w:rsidR="00402FDF" w:rsidRPr="00937B31" w14:paraId="3983DE2E" w14:textId="77777777" w:rsidTr="00937B31">
        <w:trPr>
          <w:trHeight w:val="1358"/>
        </w:trPr>
        <w:tc>
          <w:tcPr>
            <w:tcW w:w="1000" w:type="dxa"/>
            <w:tcBorders>
              <w:top w:val="nil"/>
              <w:left w:val="single" w:sz="4" w:space="0" w:color="auto"/>
              <w:bottom w:val="single" w:sz="4" w:space="0" w:color="auto"/>
              <w:right w:val="single" w:sz="4" w:space="0" w:color="auto"/>
            </w:tcBorders>
            <w:shd w:val="clear" w:color="000000" w:fill="auto"/>
            <w:vAlign w:val="center"/>
            <w:hideMark/>
          </w:tcPr>
          <w:p w14:paraId="376CD29E"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C.4.a</w:t>
            </w:r>
          </w:p>
        </w:tc>
        <w:tc>
          <w:tcPr>
            <w:tcW w:w="4220" w:type="dxa"/>
            <w:tcBorders>
              <w:top w:val="nil"/>
              <w:left w:val="nil"/>
              <w:bottom w:val="single" w:sz="4" w:space="0" w:color="auto"/>
              <w:right w:val="single" w:sz="4" w:space="0" w:color="auto"/>
            </w:tcBorders>
            <w:shd w:val="clear" w:color="000000" w:fill="auto"/>
            <w:vAlign w:val="center"/>
            <w:hideMark/>
          </w:tcPr>
          <w:p w14:paraId="64D8BB35"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Determine what, if any, consideration was given to the credibility of the output data.</w:t>
            </w:r>
          </w:p>
        </w:tc>
        <w:tc>
          <w:tcPr>
            <w:tcW w:w="1439" w:type="dxa"/>
            <w:gridSpan w:val="2"/>
            <w:tcBorders>
              <w:top w:val="nil"/>
              <w:left w:val="nil"/>
              <w:bottom w:val="single" w:sz="4" w:space="0" w:color="auto"/>
              <w:right w:val="single" w:sz="4" w:space="0" w:color="auto"/>
            </w:tcBorders>
            <w:shd w:val="clear" w:color="000000" w:fill="auto"/>
            <w:vAlign w:val="center"/>
            <w:hideMark/>
          </w:tcPr>
          <w:p w14:paraId="6992C8DA"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2</w:t>
            </w:r>
          </w:p>
        </w:tc>
        <w:tc>
          <w:tcPr>
            <w:tcW w:w="4141" w:type="dxa"/>
            <w:tcBorders>
              <w:top w:val="nil"/>
              <w:left w:val="nil"/>
              <w:bottom w:val="single" w:sz="4" w:space="0" w:color="auto"/>
              <w:right w:val="single" w:sz="4" w:space="0" w:color="auto"/>
            </w:tcBorders>
            <w:shd w:val="clear" w:color="000000" w:fill="auto"/>
            <w:vAlign w:val="center"/>
            <w:hideMark/>
          </w:tcPr>
          <w:p w14:paraId="3F3042EA"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At what level of granularity is credibility applied. If modeling was by-coverage, by-form or by-peril, explain how these were handled when there was not enough credible data by coverage, form or peril to model.</w:t>
            </w:r>
          </w:p>
        </w:tc>
      </w:tr>
      <w:tr w:rsidR="00402FDF" w:rsidRPr="00937B31" w14:paraId="7177023A" w14:textId="77777777" w:rsidTr="00937B31">
        <w:trPr>
          <w:trHeight w:val="980"/>
        </w:trPr>
        <w:tc>
          <w:tcPr>
            <w:tcW w:w="1000" w:type="dxa"/>
            <w:tcBorders>
              <w:top w:val="nil"/>
              <w:left w:val="single" w:sz="4" w:space="0" w:color="auto"/>
              <w:bottom w:val="single" w:sz="4" w:space="0" w:color="auto"/>
              <w:right w:val="single" w:sz="4" w:space="0" w:color="auto"/>
            </w:tcBorders>
            <w:shd w:val="clear" w:color="000000" w:fill="auto"/>
            <w:vAlign w:val="center"/>
            <w:hideMark/>
          </w:tcPr>
          <w:p w14:paraId="12EF5604"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C.4.b</w:t>
            </w:r>
          </w:p>
        </w:tc>
        <w:tc>
          <w:tcPr>
            <w:tcW w:w="4220" w:type="dxa"/>
            <w:tcBorders>
              <w:top w:val="nil"/>
              <w:left w:val="nil"/>
              <w:bottom w:val="single" w:sz="4" w:space="0" w:color="auto"/>
              <w:right w:val="single" w:sz="4" w:space="0" w:color="auto"/>
            </w:tcBorders>
            <w:shd w:val="clear" w:color="000000" w:fill="auto"/>
            <w:vAlign w:val="center"/>
            <w:hideMark/>
          </w:tcPr>
          <w:p w14:paraId="02C39FFD" w14:textId="34AE507A"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If the rating plan is less granular than the model</w:t>
            </w:r>
            <w:r w:rsidR="00442438" w:rsidRPr="0050408D">
              <w:rPr>
                <w:rFonts w:ascii="Times New Roman" w:eastAsia="Times New Roman" w:hAnsi="Times New Roman" w:cs="Times New Roman"/>
                <w:sz w:val="20"/>
                <w:szCs w:val="20"/>
              </w:rPr>
              <w:t>, obtain</w:t>
            </w:r>
            <w:r w:rsidRPr="0050408D">
              <w:rPr>
                <w:rFonts w:ascii="Times New Roman" w:eastAsia="Times New Roman" w:hAnsi="Times New Roman" w:cs="Times New Roman"/>
                <w:sz w:val="20"/>
                <w:szCs w:val="20"/>
              </w:rPr>
              <w:t xml:space="preserve"> an explanation why.</w:t>
            </w:r>
          </w:p>
        </w:tc>
        <w:tc>
          <w:tcPr>
            <w:tcW w:w="1439" w:type="dxa"/>
            <w:gridSpan w:val="2"/>
            <w:tcBorders>
              <w:top w:val="nil"/>
              <w:left w:val="nil"/>
              <w:bottom w:val="single" w:sz="4" w:space="0" w:color="auto"/>
              <w:right w:val="single" w:sz="4" w:space="0" w:color="auto"/>
            </w:tcBorders>
            <w:shd w:val="clear" w:color="000000" w:fill="auto"/>
            <w:vAlign w:val="center"/>
            <w:hideMark/>
          </w:tcPr>
          <w:p w14:paraId="25DD59CB"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2</w:t>
            </w:r>
          </w:p>
        </w:tc>
        <w:tc>
          <w:tcPr>
            <w:tcW w:w="4141" w:type="dxa"/>
            <w:tcBorders>
              <w:top w:val="nil"/>
              <w:left w:val="nil"/>
              <w:bottom w:val="single" w:sz="4" w:space="0" w:color="auto"/>
              <w:right w:val="single" w:sz="4" w:space="0" w:color="auto"/>
            </w:tcBorders>
            <w:shd w:val="clear" w:color="000000" w:fill="auto"/>
            <w:vAlign w:val="center"/>
            <w:hideMark/>
          </w:tcPr>
          <w:p w14:paraId="37CA9305"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This is applicable if the insurer had to combine modeled output in order to reduce the granularity of the rating plan.</w:t>
            </w:r>
          </w:p>
        </w:tc>
      </w:tr>
      <w:tr w:rsidR="00402FDF" w:rsidRPr="00937B31" w14:paraId="7274E797" w14:textId="77777777" w:rsidTr="00937B31">
        <w:trPr>
          <w:trHeight w:val="1457"/>
        </w:trPr>
        <w:tc>
          <w:tcPr>
            <w:tcW w:w="1000" w:type="dxa"/>
            <w:tcBorders>
              <w:top w:val="nil"/>
              <w:left w:val="single" w:sz="4" w:space="0" w:color="auto"/>
              <w:bottom w:val="single" w:sz="4" w:space="0" w:color="auto"/>
              <w:right w:val="single" w:sz="4" w:space="0" w:color="auto"/>
            </w:tcBorders>
            <w:shd w:val="clear" w:color="000000" w:fill="auto"/>
            <w:vAlign w:val="center"/>
            <w:hideMark/>
          </w:tcPr>
          <w:p w14:paraId="4AE38378"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C.4.c</w:t>
            </w:r>
          </w:p>
        </w:tc>
        <w:tc>
          <w:tcPr>
            <w:tcW w:w="4220" w:type="dxa"/>
            <w:tcBorders>
              <w:top w:val="nil"/>
              <w:left w:val="nil"/>
              <w:bottom w:val="single" w:sz="4" w:space="0" w:color="auto"/>
              <w:right w:val="single" w:sz="4" w:space="0" w:color="auto"/>
            </w:tcBorders>
            <w:shd w:val="clear" w:color="000000" w:fill="auto"/>
            <w:vAlign w:val="center"/>
            <w:hideMark/>
          </w:tcPr>
          <w:p w14:paraId="15375CDA" w14:textId="308D8EED"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If the rating plan is more granular than the model</w:t>
            </w:r>
            <w:r w:rsidR="00442438" w:rsidRPr="0050408D">
              <w:rPr>
                <w:rFonts w:ascii="Times New Roman" w:eastAsia="Times New Roman" w:hAnsi="Times New Roman" w:cs="Times New Roman"/>
                <w:sz w:val="20"/>
                <w:szCs w:val="20"/>
              </w:rPr>
              <w:t>, obtain</w:t>
            </w:r>
            <w:r w:rsidRPr="0050408D">
              <w:rPr>
                <w:rFonts w:ascii="Times New Roman" w:eastAsia="Times New Roman" w:hAnsi="Times New Roman" w:cs="Times New Roman"/>
                <w:sz w:val="20"/>
                <w:szCs w:val="20"/>
              </w:rPr>
              <w:t xml:space="preserve"> an explanation why.</w:t>
            </w:r>
          </w:p>
        </w:tc>
        <w:tc>
          <w:tcPr>
            <w:tcW w:w="1439" w:type="dxa"/>
            <w:gridSpan w:val="2"/>
            <w:tcBorders>
              <w:top w:val="nil"/>
              <w:left w:val="nil"/>
              <w:bottom w:val="single" w:sz="4" w:space="0" w:color="auto"/>
              <w:right w:val="single" w:sz="4" w:space="0" w:color="auto"/>
            </w:tcBorders>
            <w:shd w:val="clear" w:color="000000" w:fill="auto"/>
            <w:vAlign w:val="center"/>
            <w:hideMark/>
          </w:tcPr>
          <w:p w14:paraId="07F1CAE6"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2</w:t>
            </w:r>
          </w:p>
        </w:tc>
        <w:tc>
          <w:tcPr>
            <w:tcW w:w="4141" w:type="dxa"/>
            <w:tcBorders>
              <w:top w:val="nil"/>
              <w:left w:val="nil"/>
              <w:bottom w:val="single" w:sz="4" w:space="0" w:color="auto"/>
              <w:right w:val="single" w:sz="4" w:space="0" w:color="auto"/>
            </w:tcBorders>
            <w:shd w:val="clear" w:color="000000" w:fill="auto"/>
            <w:vAlign w:val="center"/>
            <w:hideMark/>
          </w:tcPr>
          <w:p w14:paraId="620199C4"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A more granular rating plan implies that the insurer had to extrapolate certain rating treatments, especially at the tails of a distribution of attributes, in a manner not specified by the model indications.</w:t>
            </w:r>
          </w:p>
        </w:tc>
      </w:tr>
      <w:tr w:rsidR="00402FDF" w:rsidRPr="00937B31" w14:paraId="55E212FE" w14:textId="77777777" w:rsidTr="00937B31">
        <w:trPr>
          <w:trHeight w:val="525"/>
        </w:trPr>
        <w:tc>
          <w:tcPr>
            <w:tcW w:w="10800" w:type="dxa"/>
            <w:gridSpan w:val="5"/>
            <w:tcBorders>
              <w:top w:val="single" w:sz="4" w:space="0" w:color="auto"/>
              <w:left w:val="single" w:sz="4" w:space="0" w:color="auto"/>
              <w:bottom w:val="single" w:sz="4" w:space="0" w:color="auto"/>
              <w:right w:val="single" w:sz="4" w:space="0" w:color="auto"/>
            </w:tcBorders>
            <w:shd w:val="clear" w:color="000000" w:fill="auto"/>
            <w:vAlign w:val="center"/>
            <w:hideMark/>
          </w:tcPr>
          <w:p w14:paraId="099FE35D" w14:textId="77777777" w:rsidR="0050408D" w:rsidRPr="0050408D" w:rsidRDefault="0050408D" w:rsidP="0050408D">
            <w:pPr>
              <w:spacing w:after="0" w:line="240" w:lineRule="auto"/>
              <w:jc w:val="both"/>
              <w:rPr>
                <w:rFonts w:ascii="Times New Roman" w:eastAsia="Times New Roman" w:hAnsi="Times New Roman" w:cs="Times New Roman"/>
                <w:bCs/>
              </w:rPr>
            </w:pPr>
            <w:r w:rsidRPr="0050408D">
              <w:rPr>
                <w:rFonts w:ascii="Times New Roman" w:eastAsia="Times New Roman" w:hAnsi="Times New Roman" w:cs="Times New Roman"/>
                <w:bCs/>
              </w:rPr>
              <w:t>5.  Definitions of Rating Variables</w:t>
            </w:r>
          </w:p>
        </w:tc>
      </w:tr>
      <w:tr w:rsidR="00402FDF" w:rsidRPr="00937B31" w14:paraId="58C21F1B" w14:textId="77777777" w:rsidTr="00937B31">
        <w:trPr>
          <w:trHeight w:val="1547"/>
        </w:trPr>
        <w:tc>
          <w:tcPr>
            <w:tcW w:w="1000" w:type="dxa"/>
            <w:tcBorders>
              <w:top w:val="nil"/>
              <w:left w:val="single" w:sz="4" w:space="0" w:color="auto"/>
              <w:bottom w:val="single" w:sz="4" w:space="0" w:color="auto"/>
              <w:right w:val="single" w:sz="4" w:space="0" w:color="auto"/>
            </w:tcBorders>
            <w:shd w:val="clear" w:color="000000" w:fill="auto"/>
            <w:vAlign w:val="center"/>
            <w:hideMark/>
          </w:tcPr>
          <w:p w14:paraId="5CFF7A8E"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C.5.a</w:t>
            </w:r>
          </w:p>
        </w:tc>
        <w:tc>
          <w:tcPr>
            <w:tcW w:w="4220" w:type="dxa"/>
            <w:tcBorders>
              <w:top w:val="nil"/>
              <w:left w:val="nil"/>
              <w:bottom w:val="single" w:sz="4" w:space="0" w:color="auto"/>
              <w:right w:val="single" w:sz="4" w:space="0" w:color="auto"/>
            </w:tcBorders>
            <w:shd w:val="clear" w:color="000000" w:fill="auto"/>
            <w:vAlign w:val="center"/>
            <w:hideMark/>
          </w:tcPr>
          <w:p w14:paraId="500D8316" w14:textId="08FCA190"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Obtain a narrative on adjustments made to raw data, e.g., transformations, binning and/or categorizations. If adjustments were made, obtain the name of the characteristic/variable and a description of the adjustment.</w:t>
            </w:r>
          </w:p>
        </w:tc>
        <w:tc>
          <w:tcPr>
            <w:tcW w:w="1439" w:type="dxa"/>
            <w:gridSpan w:val="2"/>
            <w:tcBorders>
              <w:top w:val="nil"/>
              <w:left w:val="nil"/>
              <w:bottom w:val="single" w:sz="4" w:space="0" w:color="auto"/>
              <w:right w:val="single" w:sz="4" w:space="0" w:color="auto"/>
            </w:tcBorders>
            <w:shd w:val="clear" w:color="000000" w:fill="auto"/>
            <w:vAlign w:val="center"/>
            <w:hideMark/>
          </w:tcPr>
          <w:p w14:paraId="316AB33E"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2</w:t>
            </w:r>
          </w:p>
        </w:tc>
        <w:tc>
          <w:tcPr>
            <w:tcW w:w="4141" w:type="dxa"/>
            <w:tcBorders>
              <w:top w:val="nil"/>
              <w:left w:val="nil"/>
              <w:bottom w:val="single" w:sz="4" w:space="0" w:color="auto"/>
              <w:right w:val="single" w:sz="4" w:space="0" w:color="auto"/>
            </w:tcBorders>
            <w:shd w:val="clear" w:color="000000" w:fill="auto"/>
            <w:vAlign w:val="center"/>
            <w:hideMark/>
          </w:tcPr>
          <w:p w14:paraId="656B199A"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 </w:t>
            </w:r>
          </w:p>
        </w:tc>
      </w:tr>
      <w:tr w:rsidR="00402FDF" w:rsidRPr="00937B31" w14:paraId="57A0EFB8" w14:textId="77777777" w:rsidTr="00937B31">
        <w:trPr>
          <w:trHeight w:val="1448"/>
        </w:trPr>
        <w:tc>
          <w:tcPr>
            <w:tcW w:w="1000" w:type="dxa"/>
            <w:tcBorders>
              <w:top w:val="nil"/>
              <w:left w:val="single" w:sz="4" w:space="0" w:color="auto"/>
              <w:bottom w:val="single" w:sz="4" w:space="0" w:color="auto"/>
              <w:right w:val="single" w:sz="4" w:space="0" w:color="auto"/>
            </w:tcBorders>
            <w:shd w:val="clear" w:color="000000" w:fill="auto"/>
            <w:vAlign w:val="center"/>
            <w:hideMark/>
          </w:tcPr>
          <w:p w14:paraId="2A3039CF"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C.5.b</w:t>
            </w:r>
          </w:p>
        </w:tc>
        <w:tc>
          <w:tcPr>
            <w:tcW w:w="4220" w:type="dxa"/>
            <w:tcBorders>
              <w:top w:val="nil"/>
              <w:left w:val="nil"/>
              <w:bottom w:val="single" w:sz="4" w:space="0" w:color="auto"/>
              <w:right w:val="single" w:sz="4" w:space="0" w:color="auto"/>
            </w:tcBorders>
            <w:shd w:val="clear" w:color="000000" w:fill="auto"/>
            <w:vAlign w:val="center"/>
            <w:hideMark/>
          </w:tcPr>
          <w:p w14:paraId="17267C5D"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Obtain a complete list and description of any rating tiers or other intermediate rating categories that translate the model outputs into some other structure that is then presented within the rate and/or rule pages.</w:t>
            </w:r>
          </w:p>
        </w:tc>
        <w:tc>
          <w:tcPr>
            <w:tcW w:w="1439" w:type="dxa"/>
            <w:gridSpan w:val="2"/>
            <w:tcBorders>
              <w:top w:val="nil"/>
              <w:left w:val="nil"/>
              <w:bottom w:val="single" w:sz="4" w:space="0" w:color="auto"/>
              <w:right w:val="single" w:sz="4" w:space="0" w:color="auto"/>
            </w:tcBorders>
            <w:shd w:val="clear" w:color="000000" w:fill="auto"/>
            <w:vAlign w:val="center"/>
            <w:hideMark/>
          </w:tcPr>
          <w:p w14:paraId="3A7DBE2C"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1</w:t>
            </w:r>
          </w:p>
        </w:tc>
        <w:tc>
          <w:tcPr>
            <w:tcW w:w="4141" w:type="dxa"/>
            <w:tcBorders>
              <w:top w:val="nil"/>
              <w:left w:val="nil"/>
              <w:bottom w:val="single" w:sz="4" w:space="0" w:color="auto"/>
              <w:right w:val="single" w:sz="4" w:space="0" w:color="auto"/>
            </w:tcBorders>
            <w:shd w:val="clear" w:color="000000" w:fill="auto"/>
            <w:vAlign w:val="center"/>
            <w:hideMark/>
          </w:tcPr>
          <w:p w14:paraId="04F57548"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 </w:t>
            </w:r>
          </w:p>
        </w:tc>
      </w:tr>
      <w:tr w:rsidR="00402FDF" w:rsidRPr="00937B31" w14:paraId="6B5BC3D3" w14:textId="77777777" w:rsidTr="00937B31">
        <w:trPr>
          <w:trHeight w:val="525"/>
        </w:trPr>
        <w:tc>
          <w:tcPr>
            <w:tcW w:w="10800" w:type="dxa"/>
            <w:gridSpan w:val="5"/>
            <w:tcBorders>
              <w:top w:val="single" w:sz="4" w:space="0" w:color="auto"/>
              <w:left w:val="single" w:sz="4" w:space="0" w:color="auto"/>
              <w:bottom w:val="single" w:sz="4" w:space="0" w:color="auto"/>
              <w:right w:val="single" w:sz="4" w:space="0" w:color="auto"/>
            </w:tcBorders>
            <w:shd w:val="clear" w:color="000000" w:fill="auto"/>
            <w:vAlign w:val="center"/>
            <w:hideMark/>
          </w:tcPr>
          <w:p w14:paraId="54195842" w14:textId="77777777" w:rsidR="0050408D" w:rsidRPr="0050408D" w:rsidRDefault="0050408D" w:rsidP="0050408D">
            <w:pPr>
              <w:spacing w:after="0" w:line="240" w:lineRule="auto"/>
              <w:jc w:val="both"/>
              <w:rPr>
                <w:rFonts w:ascii="Times New Roman" w:eastAsia="Times New Roman" w:hAnsi="Times New Roman" w:cs="Times New Roman"/>
                <w:bCs/>
              </w:rPr>
            </w:pPr>
            <w:r w:rsidRPr="0050408D">
              <w:rPr>
                <w:rFonts w:ascii="Times New Roman" w:eastAsia="Times New Roman" w:hAnsi="Times New Roman" w:cs="Times New Roman"/>
                <w:bCs/>
              </w:rPr>
              <w:t>6.  Supporting Data</w:t>
            </w:r>
          </w:p>
        </w:tc>
      </w:tr>
      <w:tr w:rsidR="00402FDF" w:rsidRPr="00937B31" w14:paraId="25D5F334" w14:textId="77777777" w:rsidTr="00937B31">
        <w:trPr>
          <w:trHeight w:val="3050"/>
        </w:trPr>
        <w:tc>
          <w:tcPr>
            <w:tcW w:w="1000" w:type="dxa"/>
            <w:tcBorders>
              <w:top w:val="nil"/>
              <w:left w:val="single" w:sz="4" w:space="0" w:color="auto"/>
              <w:bottom w:val="single" w:sz="4" w:space="0" w:color="auto"/>
              <w:right w:val="single" w:sz="4" w:space="0" w:color="auto"/>
            </w:tcBorders>
            <w:shd w:val="clear" w:color="000000" w:fill="auto"/>
            <w:vAlign w:val="center"/>
            <w:hideMark/>
          </w:tcPr>
          <w:p w14:paraId="3A746C6A"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C.6.a</w:t>
            </w:r>
          </w:p>
        </w:tc>
        <w:tc>
          <w:tcPr>
            <w:tcW w:w="4220" w:type="dxa"/>
            <w:tcBorders>
              <w:top w:val="nil"/>
              <w:left w:val="nil"/>
              <w:bottom w:val="single" w:sz="4" w:space="0" w:color="auto"/>
              <w:right w:val="single" w:sz="4" w:space="0" w:color="auto"/>
            </w:tcBorders>
            <w:shd w:val="clear" w:color="000000" w:fill="auto"/>
            <w:vAlign w:val="center"/>
            <w:hideMark/>
          </w:tcPr>
          <w:p w14:paraId="1F6FF49A" w14:textId="77777777" w:rsidR="0050408D" w:rsidRPr="0050408D" w:rsidRDefault="0050408D" w:rsidP="0050408D">
            <w:pPr>
              <w:spacing w:after="0" w:line="240" w:lineRule="auto"/>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Obtain aggregated state-specific, book-of-business-specific univariate historical experience data, separately for each year included in the model, consisting of, at minimum, earned exposures, earned premiums, incurred losses, loss ratios and loss ratio relativities for each category of model output(s) proposed to be used within the rating plan. For each data element, obtain an explanation whether it is raw or adjusted and, if the latter, obtain a detailed explanation for the adjustments.</w:t>
            </w:r>
          </w:p>
        </w:tc>
        <w:tc>
          <w:tcPr>
            <w:tcW w:w="1439" w:type="dxa"/>
            <w:gridSpan w:val="2"/>
            <w:tcBorders>
              <w:top w:val="nil"/>
              <w:left w:val="nil"/>
              <w:bottom w:val="single" w:sz="4" w:space="0" w:color="auto"/>
              <w:right w:val="single" w:sz="4" w:space="0" w:color="auto"/>
            </w:tcBorders>
            <w:shd w:val="clear" w:color="000000" w:fill="auto"/>
            <w:vAlign w:val="center"/>
            <w:hideMark/>
          </w:tcPr>
          <w:p w14:paraId="25078679"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3</w:t>
            </w:r>
          </w:p>
        </w:tc>
        <w:tc>
          <w:tcPr>
            <w:tcW w:w="4141" w:type="dxa"/>
            <w:tcBorders>
              <w:top w:val="nil"/>
              <w:left w:val="nil"/>
              <w:bottom w:val="single" w:sz="4" w:space="0" w:color="auto"/>
              <w:right w:val="single" w:sz="4" w:space="0" w:color="auto"/>
            </w:tcBorders>
            <w:shd w:val="clear" w:color="000000" w:fill="auto"/>
            <w:vAlign w:val="center"/>
            <w:hideMark/>
          </w:tcPr>
          <w:p w14:paraId="2CBE9139" w14:textId="48B42E4F" w:rsidR="0050408D" w:rsidRPr="0050408D" w:rsidRDefault="0050408D" w:rsidP="0050408D">
            <w:pPr>
              <w:spacing w:after="0" w:line="240" w:lineRule="auto"/>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 xml:space="preserve">For example, were losses developed/undeveloped, trended/untrended, capped/uncapped, </w:t>
            </w:r>
            <w:r w:rsidR="00442438" w:rsidRPr="0050408D">
              <w:rPr>
                <w:rFonts w:ascii="Times New Roman" w:eastAsia="Times New Roman" w:hAnsi="Times New Roman" w:cs="Times New Roman"/>
                <w:sz w:val="20"/>
                <w:szCs w:val="20"/>
              </w:rPr>
              <w:t>etc?</w:t>
            </w:r>
            <w:r w:rsidRPr="0050408D">
              <w:rPr>
                <w:rFonts w:ascii="Times New Roman" w:eastAsia="Times New Roman" w:hAnsi="Times New Roman" w:cs="Times New Roman"/>
                <w:sz w:val="20"/>
                <w:szCs w:val="20"/>
              </w:rPr>
              <w:br/>
            </w:r>
            <w:r w:rsidRPr="0050408D">
              <w:rPr>
                <w:rFonts w:ascii="Times New Roman" w:eastAsia="Times New Roman" w:hAnsi="Times New Roman" w:cs="Times New Roman"/>
                <w:sz w:val="20"/>
                <w:szCs w:val="20"/>
              </w:rPr>
              <w:br/>
              <w:t>Univariate indications should not necessarily be used to override more sophisticated multivariate indications.  However, they do provide additional context and may serve as a useful reference.</w:t>
            </w:r>
          </w:p>
        </w:tc>
      </w:tr>
      <w:tr w:rsidR="00402FDF" w:rsidRPr="00937B31" w14:paraId="34860618" w14:textId="77777777" w:rsidTr="00937B31">
        <w:trPr>
          <w:trHeight w:val="5040"/>
        </w:trPr>
        <w:tc>
          <w:tcPr>
            <w:tcW w:w="100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14BBA9F8"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C.6.b</w:t>
            </w:r>
          </w:p>
        </w:tc>
        <w:tc>
          <w:tcPr>
            <w:tcW w:w="4220" w:type="dxa"/>
            <w:tcBorders>
              <w:top w:val="single" w:sz="4" w:space="0" w:color="auto"/>
              <w:left w:val="nil"/>
              <w:bottom w:val="single" w:sz="4" w:space="0" w:color="auto"/>
              <w:right w:val="single" w:sz="4" w:space="0" w:color="auto"/>
            </w:tcBorders>
            <w:shd w:val="clear" w:color="000000" w:fill="auto"/>
            <w:vAlign w:val="center"/>
            <w:hideMark/>
          </w:tcPr>
          <w:p w14:paraId="7E7441BE"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 xml:space="preserve">Obtain an explanation of any material (especially directional) differences between model indications and state-specific univariate indications. </w:t>
            </w:r>
          </w:p>
        </w:tc>
        <w:tc>
          <w:tcPr>
            <w:tcW w:w="1439" w:type="dxa"/>
            <w:gridSpan w:val="2"/>
            <w:tcBorders>
              <w:top w:val="single" w:sz="4" w:space="0" w:color="auto"/>
              <w:left w:val="nil"/>
              <w:bottom w:val="single" w:sz="4" w:space="0" w:color="auto"/>
              <w:right w:val="single" w:sz="4" w:space="0" w:color="auto"/>
            </w:tcBorders>
            <w:shd w:val="clear" w:color="000000" w:fill="auto"/>
            <w:vAlign w:val="center"/>
            <w:hideMark/>
          </w:tcPr>
          <w:p w14:paraId="4D0B0E22"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3</w:t>
            </w:r>
          </w:p>
        </w:tc>
        <w:tc>
          <w:tcPr>
            <w:tcW w:w="4141" w:type="dxa"/>
            <w:tcBorders>
              <w:top w:val="single" w:sz="4" w:space="0" w:color="auto"/>
              <w:left w:val="nil"/>
              <w:bottom w:val="single" w:sz="4" w:space="0" w:color="auto"/>
              <w:right w:val="single" w:sz="4" w:space="0" w:color="auto"/>
            </w:tcBorders>
            <w:shd w:val="clear" w:color="000000" w:fill="auto"/>
            <w:vAlign w:val="center"/>
            <w:hideMark/>
          </w:tcPr>
          <w:p w14:paraId="3C2A0EC9" w14:textId="6F21B24D" w:rsidR="0050408D" w:rsidRPr="0050408D" w:rsidRDefault="0050408D" w:rsidP="008F28EB">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Multivariate indications may be reasonable as refinements to univariate indications, but possibly not for bringing about significant reversals of those indications. For instance, if the univariate indicated relativity for an attribute is 1.5 and the multivariate indicated relativity is 1.25, this is potentially a plausible application of the multivariate techniques. If, however, the univariate indicated relativity is 0.7 and the multivariate indicated relativity is 1.25, a regulator may question whether the attribute in question is negatively correlated with other determinants of risk. Credibility of state data should be considered when state indications differ from modeled results based on a broader data set. However, the relevance of the broader data set to the risks being priced should also be considered. Borderline reversals are not of as much concern.</w:t>
            </w:r>
          </w:p>
        </w:tc>
      </w:tr>
    </w:tbl>
    <w:p w14:paraId="7F4F63E8" w14:textId="77777777" w:rsidR="00402FDF" w:rsidRPr="00937B31" w:rsidRDefault="00402FDF">
      <w:pPr>
        <w:rPr>
          <w:rFonts w:ascii="Times New Roman" w:hAnsi="Times New Roman" w:cs="Times New Roman"/>
        </w:rPr>
      </w:pPr>
      <w:r w:rsidRPr="00937B31">
        <w:rPr>
          <w:rFonts w:ascii="Times New Roman" w:hAnsi="Times New Roman" w:cs="Times New Roman"/>
        </w:rPr>
        <w:br w:type="page"/>
      </w:r>
    </w:p>
    <w:tbl>
      <w:tblPr>
        <w:tblW w:w="10800" w:type="dxa"/>
        <w:tblInd w:w="-365" w:type="dxa"/>
        <w:tblLook w:val="04A0" w:firstRow="1" w:lastRow="0" w:firstColumn="1" w:lastColumn="0" w:noHBand="0" w:noVBand="1"/>
      </w:tblPr>
      <w:tblGrid>
        <w:gridCol w:w="1000"/>
        <w:gridCol w:w="4220"/>
        <w:gridCol w:w="1439"/>
        <w:gridCol w:w="4141"/>
      </w:tblGrid>
      <w:tr w:rsidR="00402FDF" w:rsidRPr="00937B31" w14:paraId="29348A89" w14:textId="77777777" w:rsidTr="00937B31">
        <w:trPr>
          <w:trHeight w:val="647"/>
        </w:trPr>
        <w:tc>
          <w:tcPr>
            <w:tcW w:w="10800" w:type="dxa"/>
            <w:gridSpan w:val="4"/>
            <w:tcBorders>
              <w:top w:val="single" w:sz="4" w:space="0" w:color="auto"/>
              <w:left w:val="single" w:sz="4" w:space="0" w:color="auto"/>
              <w:bottom w:val="single" w:sz="4" w:space="0" w:color="auto"/>
              <w:right w:val="single" w:sz="4" w:space="0" w:color="auto"/>
            </w:tcBorders>
            <w:shd w:val="clear" w:color="000000" w:fill="auto"/>
            <w:vAlign w:val="center"/>
            <w:hideMark/>
          </w:tcPr>
          <w:p w14:paraId="1CD16C4D" w14:textId="4A35717B" w:rsidR="0050408D" w:rsidRPr="0050408D" w:rsidRDefault="0050408D" w:rsidP="0050408D">
            <w:pPr>
              <w:spacing w:after="0" w:line="240" w:lineRule="auto"/>
              <w:jc w:val="both"/>
              <w:rPr>
                <w:rFonts w:ascii="Times New Roman" w:eastAsia="Times New Roman" w:hAnsi="Times New Roman" w:cs="Times New Roman"/>
                <w:bCs/>
              </w:rPr>
            </w:pPr>
            <w:r w:rsidRPr="0050408D">
              <w:rPr>
                <w:rFonts w:ascii="Times New Roman" w:eastAsia="Times New Roman" w:hAnsi="Times New Roman" w:cs="Times New Roman"/>
                <w:bCs/>
              </w:rPr>
              <w:t>7.  Consumer Impacts</w:t>
            </w:r>
          </w:p>
        </w:tc>
      </w:tr>
      <w:tr w:rsidR="00402FDF" w:rsidRPr="00937B31" w14:paraId="465E7D81" w14:textId="77777777" w:rsidTr="00937B31">
        <w:trPr>
          <w:trHeight w:val="1187"/>
        </w:trPr>
        <w:tc>
          <w:tcPr>
            <w:tcW w:w="1000" w:type="dxa"/>
            <w:tcBorders>
              <w:top w:val="nil"/>
              <w:left w:val="single" w:sz="4" w:space="0" w:color="auto"/>
              <w:bottom w:val="single" w:sz="4" w:space="0" w:color="auto"/>
              <w:right w:val="single" w:sz="4" w:space="0" w:color="auto"/>
            </w:tcBorders>
            <w:shd w:val="clear" w:color="000000" w:fill="auto"/>
            <w:vAlign w:val="center"/>
            <w:hideMark/>
          </w:tcPr>
          <w:p w14:paraId="5FB364F6"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C.7.a</w:t>
            </w:r>
          </w:p>
        </w:tc>
        <w:tc>
          <w:tcPr>
            <w:tcW w:w="4220" w:type="dxa"/>
            <w:tcBorders>
              <w:top w:val="nil"/>
              <w:left w:val="nil"/>
              <w:bottom w:val="single" w:sz="4" w:space="0" w:color="auto"/>
              <w:right w:val="single" w:sz="4" w:space="0" w:color="auto"/>
            </w:tcBorders>
            <w:shd w:val="clear" w:color="000000" w:fill="auto"/>
            <w:vAlign w:val="center"/>
            <w:hideMark/>
          </w:tcPr>
          <w:p w14:paraId="00351E3E" w14:textId="495EFFA4"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 xml:space="preserve">Obtain a listing of the top five rating variables that contribute the most to large swings in premium, both as increases and decreases. </w:t>
            </w:r>
          </w:p>
        </w:tc>
        <w:tc>
          <w:tcPr>
            <w:tcW w:w="1439" w:type="dxa"/>
            <w:tcBorders>
              <w:top w:val="nil"/>
              <w:left w:val="nil"/>
              <w:bottom w:val="single" w:sz="4" w:space="0" w:color="auto"/>
              <w:right w:val="single" w:sz="4" w:space="0" w:color="auto"/>
            </w:tcBorders>
            <w:shd w:val="clear" w:color="000000" w:fill="auto"/>
            <w:vAlign w:val="center"/>
            <w:hideMark/>
          </w:tcPr>
          <w:p w14:paraId="10D5E115"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2</w:t>
            </w:r>
          </w:p>
        </w:tc>
        <w:tc>
          <w:tcPr>
            <w:tcW w:w="4141" w:type="dxa"/>
            <w:tcBorders>
              <w:top w:val="nil"/>
              <w:left w:val="nil"/>
              <w:bottom w:val="single" w:sz="4" w:space="0" w:color="auto"/>
              <w:right w:val="single" w:sz="4" w:space="0" w:color="auto"/>
            </w:tcBorders>
            <w:shd w:val="clear" w:color="000000" w:fill="auto"/>
            <w:vAlign w:val="center"/>
            <w:hideMark/>
          </w:tcPr>
          <w:p w14:paraId="78288AB7" w14:textId="5DD969BD"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 xml:space="preserve">These rating variables may represent changes to rate relativities, </w:t>
            </w:r>
            <w:r w:rsidR="00442438" w:rsidRPr="0050408D">
              <w:rPr>
                <w:rFonts w:ascii="Times New Roman" w:eastAsia="Times New Roman" w:hAnsi="Times New Roman" w:cs="Times New Roman"/>
                <w:sz w:val="20"/>
                <w:szCs w:val="20"/>
              </w:rPr>
              <w:t>be</w:t>
            </w:r>
            <w:r w:rsidRPr="0050408D">
              <w:rPr>
                <w:rFonts w:ascii="Times New Roman" w:eastAsia="Times New Roman" w:hAnsi="Times New Roman" w:cs="Times New Roman"/>
                <w:sz w:val="20"/>
                <w:szCs w:val="20"/>
              </w:rPr>
              <w:t xml:space="preserve"> newly introduced to the rating plan, or have been removed from the rating plan.</w:t>
            </w:r>
          </w:p>
        </w:tc>
      </w:tr>
      <w:tr w:rsidR="00402FDF" w:rsidRPr="00937B31" w14:paraId="7DDB389F" w14:textId="77777777" w:rsidTr="00937B31">
        <w:trPr>
          <w:trHeight w:val="1770"/>
        </w:trPr>
        <w:tc>
          <w:tcPr>
            <w:tcW w:w="1000" w:type="dxa"/>
            <w:tcBorders>
              <w:top w:val="nil"/>
              <w:left w:val="single" w:sz="4" w:space="0" w:color="auto"/>
              <w:bottom w:val="single" w:sz="4" w:space="0" w:color="auto"/>
              <w:right w:val="single" w:sz="4" w:space="0" w:color="auto"/>
            </w:tcBorders>
            <w:shd w:val="clear" w:color="000000" w:fill="auto"/>
            <w:vAlign w:val="center"/>
            <w:hideMark/>
          </w:tcPr>
          <w:p w14:paraId="5612E78F"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C.7.b</w:t>
            </w:r>
          </w:p>
        </w:tc>
        <w:tc>
          <w:tcPr>
            <w:tcW w:w="4220" w:type="dxa"/>
            <w:tcBorders>
              <w:top w:val="nil"/>
              <w:left w:val="nil"/>
              <w:bottom w:val="single" w:sz="4" w:space="0" w:color="auto"/>
              <w:right w:val="single" w:sz="4" w:space="0" w:color="auto"/>
            </w:tcBorders>
            <w:shd w:val="clear" w:color="000000" w:fill="auto"/>
            <w:vAlign w:val="center"/>
            <w:hideMark/>
          </w:tcPr>
          <w:p w14:paraId="2E4A3856"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Determine if the insurer performed sensitivity testing to identify significant changes in premium due to small or incremental change in a single risk characteristic. If such testing was performed, obtain a narrative that discusses the testing and provides the results of that testing.</w:t>
            </w:r>
          </w:p>
        </w:tc>
        <w:tc>
          <w:tcPr>
            <w:tcW w:w="1439" w:type="dxa"/>
            <w:tcBorders>
              <w:top w:val="nil"/>
              <w:left w:val="nil"/>
              <w:bottom w:val="single" w:sz="4" w:space="0" w:color="auto"/>
              <w:right w:val="single" w:sz="4" w:space="0" w:color="auto"/>
            </w:tcBorders>
            <w:shd w:val="clear" w:color="000000" w:fill="auto"/>
            <w:vAlign w:val="center"/>
            <w:hideMark/>
          </w:tcPr>
          <w:p w14:paraId="705FF77B"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3</w:t>
            </w:r>
          </w:p>
        </w:tc>
        <w:tc>
          <w:tcPr>
            <w:tcW w:w="4141" w:type="dxa"/>
            <w:tcBorders>
              <w:top w:val="nil"/>
              <w:left w:val="nil"/>
              <w:bottom w:val="single" w:sz="4" w:space="0" w:color="auto"/>
              <w:right w:val="single" w:sz="4" w:space="0" w:color="auto"/>
            </w:tcBorders>
            <w:shd w:val="clear" w:color="000000" w:fill="auto"/>
            <w:vAlign w:val="center"/>
            <w:hideMark/>
          </w:tcPr>
          <w:p w14:paraId="2CA62B63"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One way to see sensitivity is to analyze a graph of each risk characteristic’s/variable’s possible relativities. Look for significant variation between adjacent relativities and evaluate if such variation is reasonable and credible.</w:t>
            </w:r>
          </w:p>
        </w:tc>
      </w:tr>
      <w:tr w:rsidR="00402FDF" w:rsidRPr="00937B31" w14:paraId="1DA275E4" w14:textId="77777777" w:rsidTr="00937B31">
        <w:trPr>
          <w:trHeight w:val="1457"/>
        </w:trPr>
        <w:tc>
          <w:tcPr>
            <w:tcW w:w="1000" w:type="dxa"/>
            <w:tcBorders>
              <w:top w:val="nil"/>
              <w:left w:val="single" w:sz="4" w:space="0" w:color="auto"/>
              <w:bottom w:val="single" w:sz="4" w:space="0" w:color="auto"/>
              <w:right w:val="single" w:sz="4" w:space="0" w:color="auto"/>
            </w:tcBorders>
            <w:shd w:val="clear" w:color="000000" w:fill="auto"/>
            <w:vAlign w:val="center"/>
            <w:hideMark/>
          </w:tcPr>
          <w:p w14:paraId="5E182CC9"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C.7.c</w:t>
            </w:r>
          </w:p>
        </w:tc>
        <w:tc>
          <w:tcPr>
            <w:tcW w:w="4220" w:type="dxa"/>
            <w:tcBorders>
              <w:top w:val="nil"/>
              <w:left w:val="nil"/>
              <w:bottom w:val="single" w:sz="4" w:space="0" w:color="auto"/>
              <w:right w:val="single" w:sz="4" w:space="0" w:color="auto"/>
            </w:tcBorders>
            <w:shd w:val="clear" w:color="000000" w:fill="auto"/>
            <w:vAlign w:val="center"/>
            <w:hideMark/>
          </w:tcPr>
          <w:p w14:paraId="607B1321" w14:textId="3068B47A" w:rsidR="0050408D" w:rsidRPr="0050408D" w:rsidRDefault="0050408D" w:rsidP="008F28EB">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For the proposed filing, obtain the impacts on expiring policies and describe the process used by management, if any, to mitigate those impacts.</w:t>
            </w:r>
          </w:p>
        </w:tc>
        <w:tc>
          <w:tcPr>
            <w:tcW w:w="1439" w:type="dxa"/>
            <w:tcBorders>
              <w:top w:val="nil"/>
              <w:left w:val="nil"/>
              <w:bottom w:val="single" w:sz="4" w:space="0" w:color="auto"/>
              <w:right w:val="single" w:sz="4" w:space="0" w:color="auto"/>
            </w:tcBorders>
            <w:shd w:val="clear" w:color="000000" w:fill="auto"/>
            <w:vAlign w:val="center"/>
            <w:hideMark/>
          </w:tcPr>
          <w:p w14:paraId="6C99B958"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2</w:t>
            </w:r>
          </w:p>
        </w:tc>
        <w:tc>
          <w:tcPr>
            <w:tcW w:w="4141" w:type="dxa"/>
            <w:tcBorders>
              <w:top w:val="nil"/>
              <w:left w:val="nil"/>
              <w:bottom w:val="single" w:sz="4" w:space="0" w:color="auto"/>
              <w:right w:val="single" w:sz="4" w:space="0" w:color="auto"/>
            </w:tcBorders>
            <w:shd w:val="clear" w:color="000000" w:fill="auto"/>
            <w:vAlign w:val="center"/>
            <w:hideMark/>
          </w:tcPr>
          <w:p w14:paraId="6068556F" w14:textId="77777777" w:rsidR="0050408D" w:rsidRPr="0050408D" w:rsidRDefault="0050408D" w:rsidP="0050408D">
            <w:pPr>
              <w:spacing w:after="0" w:line="240" w:lineRule="auto"/>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Some mitigation efforts may substantially weaken the connection between premium and expected loss and expense, and hence may be viewed as unfairly discriminatory by some states.</w:t>
            </w:r>
          </w:p>
        </w:tc>
      </w:tr>
      <w:tr w:rsidR="00402FDF" w:rsidRPr="00937B31" w14:paraId="32C7F384" w14:textId="77777777" w:rsidTr="00937B31">
        <w:trPr>
          <w:trHeight w:val="4670"/>
        </w:trPr>
        <w:tc>
          <w:tcPr>
            <w:tcW w:w="100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398E17BB"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C.7.d</w:t>
            </w:r>
          </w:p>
        </w:tc>
        <w:tc>
          <w:tcPr>
            <w:tcW w:w="4220" w:type="dxa"/>
            <w:tcBorders>
              <w:top w:val="single" w:sz="4" w:space="0" w:color="auto"/>
              <w:left w:val="nil"/>
              <w:bottom w:val="single" w:sz="4" w:space="0" w:color="auto"/>
              <w:right w:val="single" w:sz="4" w:space="0" w:color="auto"/>
            </w:tcBorders>
            <w:shd w:val="clear" w:color="000000" w:fill="auto"/>
            <w:vAlign w:val="center"/>
            <w:hideMark/>
          </w:tcPr>
          <w:p w14:paraId="1B314172" w14:textId="02AE36F6" w:rsidR="0050408D" w:rsidRPr="0050408D" w:rsidRDefault="0050408D" w:rsidP="008F28EB">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Obtain a rate disruption/dislocation analysis, demonstrating the distribution of percentage impacts on renewal business (create by rerating the current book of business).</w:t>
            </w:r>
          </w:p>
        </w:tc>
        <w:tc>
          <w:tcPr>
            <w:tcW w:w="1439" w:type="dxa"/>
            <w:tcBorders>
              <w:top w:val="single" w:sz="4" w:space="0" w:color="auto"/>
              <w:left w:val="nil"/>
              <w:bottom w:val="single" w:sz="4" w:space="0" w:color="auto"/>
              <w:right w:val="single" w:sz="4" w:space="0" w:color="auto"/>
            </w:tcBorders>
            <w:shd w:val="clear" w:color="000000" w:fill="auto"/>
            <w:vAlign w:val="center"/>
            <w:hideMark/>
          </w:tcPr>
          <w:p w14:paraId="4BA86417"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2</w:t>
            </w:r>
          </w:p>
        </w:tc>
        <w:tc>
          <w:tcPr>
            <w:tcW w:w="4141" w:type="dxa"/>
            <w:tcBorders>
              <w:top w:val="single" w:sz="4" w:space="0" w:color="auto"/>
              <w:left w:val="nil"/>
              <w:bottom w:val="single" w:sz="4" w:space="0" w:color="auto"/>
              <w:right w:val="single" w:sz="4" w:space="0" w:color="auto"/>
            </w:tcBorders>
            <w:shd w:val="clear" w:color="000000" w:fill="auto"/>
            <w:vAlign w:val="center"/>
            <w:hideMark/>
          </w:tcPr>
          <w:p w14:paraId="1614B09B"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The analysis should include the largest dollar and percentage impacts arising from the filing, including the impacts arising specifically from the adoption of the model or changes to the model as they translate into the proposed rating plan.</w:t>
            </w:r>
            <w:r w:rsidRPr="0050408D">
              <w:rPr>
                <w:rFonts w:ascii="Times New Roman" w:eastAsia="Times New Roman" w:hAnsi="Times New Roman" w:cs="Times New Roman"/>
                <w:sz w:val="20"/>
                <w:szCs w:val="20"/>
              </w:rPr>
              <w:br/>
            </w:r>
            <w:r w:rsidRPr="0050408D">
              <w:rPr>
                <w:rFonts w:ascii="Times New Roman" w:eastAsia="Times New Roman" w:hAnsi="Times New Roman" w:cs="Times New Roman"/>
                <w:sz w:val="20"/>
                <w:szCs w:val="20"/>
              </w:rPr>
              <w:br/>
              <w:t>While the default request would typically be for the distribution/dislocation of impacts at the overall filing level, the regulator may need to delve into the more granular variable-specific effects of rate changes if there is concern about particular variables having extreme or disproportionate impacts, or significant impacts that have otherwise yet to be substantiated.</w:t>
            </w:r>
            <w:r w:rsidRPr="0050408D">
              <w:rPr>
                <w:rFonts w:ascii="Times New Roman" w:eastAsia="Times New Roman" w:hAnsi="Times New Roman" w:cs="Times New Roman"/>
                <w:sz w:val="20"/>
                <w:szCs w:val="20"/>
              </w:rPr>
              <w:br/>
            </w:r>
            <w:r w:rsidRPr="0050408D">
              <w:rPr>
                <w:rFonts w:ascii="Times New Roman" w:eastAsia="Times New Roman" w:hAnsi="Times New Roman" w:cs="Times New Roman"/>
                <w:sz w:val="20"/>
                <w:szCs w:val="20"/>
              </w:rPr>
              <w:br/>
              <w:t>See Appendix C for an example of a disruption analysis.</w:t>
            </w:r>
          </w:p>
        </w:tc>
      </w:tr>
      <w:tr w:rsidR="00402FDF" w:rsidRPr="00937B31" w14:paraId="00F94B9E" w14:textId="77777777" w:rsidTr="00937B31">
        <w:trPr>
          <w:trHeight w:val="1305"/>
        </w:trPr>
        <w:tc>
          <w:tcPr>
            <w:tcW w:w="1000" w:type="dxa"/>
            <w:tcBorders>
              <w:top w:val="nil"/>
              <w:left w:val="single" w:sz="4" w:space="0" w:color="auto"/>
              <w:bottom w:val="single" w:sz="4" w:space="0" w:color="auto"/>
              <w:right w:val="single" w:sz="4" w:space="0" w:color="auto"/>
            </w:tcBorders>
            <w:shd w:val="clear" w:color="000000" w:fill="auto"/>
            <w:vAlign w:val="center"/>
            <w:hideMark/>
          </w:tcPr>
          <w:p w14:paraId="587C8D9D"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C.7.e</w:t>
            </w:r>
          </w:p>
        </w:tc>
        <w:tc>
          <w:tcPr>
            <w:tcW w:w="4220" w:type="dxa"/>
            <w:tcBorders>
              <w:top w:val="nil"/>
              <w:left w:val="nil"/>
              <w:bottom w:val="single" w:sz="4" w:space="0" w:color="auto"/>
              <w:right w:val="single" w:sz="4" w:space="0" w:color="auto"/>
            </w:tcBorders>
            <w:shd w:val="clear" w:color="000000" w:fill="auto"/>
            <w:vAlign w:val="center"/>
            <w:hideMark/>
          </w:tcPr>
          <w:p w14:paraId="3D51936E"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 xml:space="preserve">Obtain exposure distributions for the model's output variables and show the effects of rate changes at granular and summary levels. </w:t>
            </w:r>
          </w:p>
        </w:tc>
        <w:tc>
          <w:tcPr>
            <w:tcW w:w="1439" w:type="dxa"/>
            <w:tcBorders>
              <w:top w:val="nil"/>
              <w:left w:val="nil"/>
              <w:bottom w:val="single" w:sz="4" w:space="0" w:color="auto"/>
              <w:right w:val="single" w:sz="4" w:space="0" w:color="auto"/>
            </w:tcBorders>
            <w:shd w:val="clear" w:color="000000" w:fill="auto"/>
            <w:vAlign w:val="center"/>
            <w:hideMark/>
          </w:tcPr>
          <w:p w14:paraId="7D91C32A"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3</w:t>
            </w:r>
          </w:p>
        </w:tc>
        <w:tc>
          <w:tcPr>
            <w:tcW w:w="4141" w:type="dxa"/>
            <w:tcBorders>
              <w:top w:val="nil"/>
              <w:left w:val="nil"/>
              <w:bottom w:val="single" w:sz="4" w:space="0" w:color="auto"/>
              <w:right w:val="single" w:sz="4" w:space="0" w:color="auto"/>
            </w:tcBorders>
            <w:shd w:val="clear" w:color="000000" w:fill="auto"/>
            <w:vAlign w:val="center"/>
            <w:hideMark/>
          </w:tcPr>
          <w:p w14:paraId="5BF92B27"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See Appendix C for an example of an exposure distribution.</w:t>
            </w:r>
          </w:p>
        </w:tc>
      </w:tr>
      <w:tr w:rsidR="00402FDF" w:rsidRPr="00937B31" w14:paraId="7B186EC2" w14:textId="77777777" w:rsidTr="00937B31">
        <w:trPr>
          <w:trHeight w:val="6047"/>
        </w:trPr>
        <w:tc>
          <w:tcPr>
            <w:tcW w:w="100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FEE8870" w14:textId="0F27C414" w:rsidR="0050408D" w:rsidRPr="0050408D" w:rsidRDefault="0050408D" w:rsidP="00CD2E15">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C.7.</w:t>
            </w:r>
            <w:r w:rsidR="00CD2E15">
              <w:rPr>
                <w:rFonts w:ascii="Times New Roman" w:eastAsia="Times New Roman" w:hAnsi="Times New Roman" w:cs="Times New Roman"/>
                <w:sz w:val="20"/>
                <w:szCs w:val="20"/>
              </w:rPr>
              <w:t>f</w:t>
            </w:r>
          </w:p>
        </w:tc>
        <w:tc>
          <w:tcPr>
            <w:tcW w:w="4220" w:type="dxa"/>
            <w:tcBorders>
              <w:top w:val="single" w:sz="4" w:space="0" w:color="auto"/>
              <w:left w:val="nil"/>
              <w:bottom w:val="single" w:sz="4" w:space="0" w:color="auto"/>
              <w:right w:val="single" w:sz="4" w:space="0" w:color="auto"/>
            </w:tcBorders>
            <w:shd w:val="clear" w:color="000000" w:fill="auto"/>
            <w:vAlign w:val="center"/>
            <w:hideMark/>
          </w:tcPr>
          <w:p w14:paraId="0CF518C4" w14:textId="077FF172" w:rsidR="0050408D" w:rsidRPr="0050408D" w:rsidRDefault="0050408D" w:rsidP="008F28EB">
            <w:pPr>
              <w:spacing w:after="0" w:line="240" w:lineRule="auto"/>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 xml:space="preserve">Identify policy characteristics, used as input to a model or sub-model, that remain "static" over a policy's lifetime versus those that </w:t>
            </w:r>
            <w:proofErr w:type="gramStart"/>
            <w:r w:rsidRPr="0050408D">
              <w:rPr>
                <w:rFonts w:ascii="Times New Roman" w:eastAsia="Times New Roman" w:hAnsi="Times New Roman" w:cs="Times New Roman"/>
                <w:sz w:val="20"/>
                <w:szCs w:val="20"/>
              </w:rPr>
              <w:t>will be updated</w:t>
            </w:r>
            <w:proofErr w:type="gramEnd"/>
            <w:r w:rsidRPr="0050408D">
              <w:rPr>
                <w:rFonts w:ascii="Times New Roman" w:eastAsia="Times New Roman" w:hAnsi="Times New Roman" w:cs="Times New Roman"/>
                <w:sz w:val="20"/>
                <w:szCs w:val="20"/>
              </w:rPr>
              <w:t xml:space="preserve"> periodically. Obtain a narrative on how the company handles policy characteristics that are listed as "static," yet change over time. </w:t>
            </w:r>
          </w:p>
        </w:tc>
        <w:tc>
          <w:tcPr>
            <w:tcW w:w="1439" w:type="dxa"/>
            <w:tcBorders>
              <w:top w:val="single" w:sz="4" w:space="0" w:color="auto"/>
              <w:left w:val="nil"/>
              <w:bottom w:val="single" w:sz="4" w:space="0" w:color="auto"/>
              <w:right w:val="single" w:sz="4" w:space="0" w:color="auto"/>
            </w:tcBorders>
            <w:shd w:val="clear" w:color="000000" w:fill="auto"/>
            <w:vAlign w:val="center"/>
            <w:hideMark/>
          </w:tcPr>
          <w:p w14:paraId="31C3D625"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3</w:t>
            </w:r>
          </w:p>
        </w:tc>
        <w:tc>
          <w:tcPr>
            <w:tcW w:w="4141" w:type="dxa"/>
            <w:tcBorders>
              <w:top w:val="single" w:sz="4" w:space="0" w:color="auto"/>
              <w:left w:val="nil"/>
              <w:bottom w:val="single" w:sz="4" w:space="0" w:color="auto"/>
              <w:right w:val="single" w:sz="4" w:space="0" w:color="auto"/>
            </w:tcBorders>
            <w:shd w:val="clear" w:color="000000" w:fill="auto"/>
            <w:vAlign w:val="center"/>
            <w:hideMark/>
          </w:tcPr>
          <w:p w14:paraId="40FB1319" w14:textId="77777777" w:rsidR="0050408D" w:rsidRPr="0050408D" w:rsidRDefault="0050408D" w:rsidP="0050408D">
            <w:pPr>
              <w:spacing w:after="0" w:line="240" w:lineRule="auto"/>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Some examples of "static" policy characteristics are prior carrier tenure, prior carrier type, prior liability limits, claim history over past X years, or lapse of coverage. These are specific policy characteristics usually set at the time new business is written, used to create an insurance score or to place the business in a rating/underwriting tier, and often fixed for the life of the policy. The reviewer should be aware, and possibly concerned, how the company treats an insured over time when the insured’s risk profile based on "static" variables changes over time but the rate charged, based on a new business insurance score or tier assignment, no longer reflect the insured’s true and current risk profile.</w:t>
            </w:r>
            <w:r w:rsidRPr="0050408D">
              <w:rPr>
                <w:rFonts w:ascii="Times New Roman" w:eastAsia="Times New Roman" w:hAnsi="Times New Roman" w:cs="Times New Roman"/>
                <w:sz w:val="20"/>
                <w:szCs w:val="20"/>
              </w:rPr>
              <w:br/>
            </w:r>
            <w:r w:rsidRPr="0050408D">
              <w:rPr>
                <w:rFonts w:ascii="Times New Roman" w:eastAsia="Times New Roman" w:hAnsi="Times New Roman" w:cs="Times New Roman"/>
                <w:sz w:val="20"/>
                <w:szCs w:val="20"/>
              </w:rPr>
              <w:br/>
              <w:t>A few examples of "non-static" policy characteristics are age of driver, driving record and credit information (FCRA related). These are updated automatically by the company on a periodic basis, usually at renewal, with or without the policyholder explicitly informing the company.</w:t>
            </w:r>
          </w:p>
        </w:tc>
      </w:tr>
      <w:tr w:rsidR="00402FDF" w:rsidRPr="00937B31" w14:paraId="569E1949" w14:textId="77777777" w:rsidTr="00937B31">
        <w:trPr>
          <w:trHeight w:val="2978"/>
        </w:trPr>
        <w:tc>
          <w:tcPr>
            <w:tcW w:w="1000" w:type="dxa"/>
            <w:tcBorders>
              <w:top w:val="nil"/>
              <w:left w:val="single" w:sz="4" w:space="0" w:color="auto"/>
              <w:bottom w:val="single" w:sz="4" w:space="0" w:color="auto"/>
              <w:right w:val="single" w:sz="4" w:space="0" w:color="auto"/>
            </w:tcBorders>
            <w:shd w:val="clear" w:color="000000" w:fill="auto"/>
            <w:vAlign w:val="center"/>
            <w:hideMark/>
          </w:tcPr>
          <w:p w14:paraId="629C5656" w14:textId="0E122CE0" w:rsidR="0050408D" w:rsidRPr="0050408D" w:rsidRDefault="0050408D" w:rsidP="00CD2E15">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C.7.</w:t>
            </w:r>
            <w:r w:rsidR="00CD2E15">
              <w:rPr>
                <w:rFonts w:ascii="Times New Roman" w:eastAsia="Times New Roman" w:hAnsi="Times New Roman" w:cs="Times New Roman"/>
                <w:sz w:val="20"/>
                <w:szCs w:val="20"/>
              </w:rPr>
              <w:t>g</w:t>
            </w:r>
          </w:p>
        </w:tc>
        <w:tc>
          <w:tcPr>
            <w:tcW w:w="4220" w:type="dxa"/>
            <w:tcBorders>
              <w:top w:val="nil"/>
              <w:left w:val="nil"/>
              <w:bottom w:val="single" w:sz="4" w:space="0" w:color="auto"/>
              <w:right w:val="single" w:sz="4" w:space="0" w:color="auto"/>
            </w:tcBorders>
            <w:shd w:val="clear" w:color="000000" w:fill="auto"/>
            <w:vAlign w:val="center"/>
            <w:hideMark/>
          </w:tcPr>
          <w:p w14:paraId="22A901AE"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Obtain a means to calculate the rate charged a consumer.</w:t>
            </w:r>
          </w:p>
        </w:tc>
        <w:tc>
          <w:tcPr>
            <w:tcW w:w="1439" w:type="dxa"/>
            <w:tcBorders>
              <w:top w:val="nil"/>
              <w:left w:val="nil"/>
              <w:bottom w:val="single" w:sz="4" w:space="0" w:color="auto"/>
              <w:right w:val="single" w:sz="4" w:space="0" w:color="auto"/>
            </w:tcBorders>
            <w:shd w:val="clear" w:color="000000" w:fill="auto"/>
            <w:vAlign w:val="center"/>
            <w:hideMark/>
          </w:tcPr>
          <w:p w14:paraId="48B231EC"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3</w:t>
            </w:r>
          </w:p>
        </w:tc>
        <w:tc>
          <w:tcPr>
            <w:tcW w:w="4141" w:type="dxa"/>
            <w:tcBorders>
              <w:top w:val="nil"/>
              <w:left w:val="nil"/>
              <w:bottom w:val="single" w:sz="4" w:space="0" w:color="auto"/>
              <w:right w:val="single" w:sz="4" w:space="0" w:color="auto"/>
            </w:tcBorders>
            <w:shd w:val="clear" w:color="000000" w:fill="auto"/>
            <w:vAlign w:val="center"/>
            <w:hideMark/>
          </w:tcPr>
          <w:p w14:paraId="77321009" w14:textId="5249D337" w:rsidR="0050408D" w:rsidRPr="0050408D" w:rsidRDefault="0050408D" w:rsidP="008F28EB">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 xml:space="preserve">The filed rating plan should contain enough information for a regulator to be able to validate policy premium.  However, for a complex model or rating plan, a score or premium calculator via Excel or similar means would be ideal, but this could be elicited on a case-by-case basis. Ability to calculate the rate charged </w:t>
            </w:r>
            <w:r w:rsidR="00442438" w:rsidRPr="0050408D">
              <w:rPr>
                <w:rFonts w:ascii="Times New Roman" w:eastAsia="Times New Roman" w:hAnsi="Times New Roman" w:cs="Times New Roman"/>
                <w:sz w:val="20"/>
                <w:szCs w:val="20"/>
              </w:rPr>
              <w:t>could</w:t>
            </w:r>
            <w:r w:rsidRPr="0050408D">
              <w:rPr>
                <w:rFonts w:ascii="Times New Roman" w:eastAsia="Times New Roman" w:hAnsi="Times New Roman" w:cs="Times New Roman"/>
                <w:sz w:val="20"/>
                <w:szCs w:val="20"/>
              </w:rPr>
              <w:t xml:space="preserve"> allow the regulator to perform sensitivity testing when there are small changes to a risk characteristic/variable. Note that this information may be proprietary.</w:t>
            </w:r>
          </w:p>
        </w:tc>
      </w:tr>
      <w:tr w:rsidR="00402FDF" w:rsidRPr="00937B31" w14:paraId="2CAA65C1" w14:textId="77777777" w:rsidTr="00937B31">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000000" w:fill="auto"/>
            <w:vAlign w:val="center"/>
            <w:hideMark/>
          </w:tcPr>
          <w:p w14:paraId="3735F951" w14:textId="77777777" w:rsidR="0050408D" w:rsidRPr="0050408D" w:rsidRDefault="0050408D" w:rsidP="0050408D">
            <w:pPr>
              <w:spacing w:after="0" w:line="240" w:lineRule="auto"/>
              <w:jc w:val="both"/>
              <w:rPr>
                <w:rFonts w:ascii="Times New Roman" w:eastAsia="Times New Roman" w:hAnsi="Times New Roman" w:cs="Times New Roman"/>
                <w:bCs/>
              </w:rPr>
            </w:pPr>
            <w:r w:rsidRPr="0050408D">
              <w:rPr>
                <w:rFonts w:ascii="Times New Roman" w:eastAsia="Times New Roman" w:hAnsi="Times New Roman" w:cs="Times New Roman"/>
                <w:bCs/>
              </w:rPr>
              <w:t>8.  Accurate Translation of Model into a Rating Plan</w:t>
            </w:r>
          </w:p>
        </w:tc>
      </w:tr>
      <w:tr w:rsidR="00402FDF" w:rsidRPr="00937B31" w14:paraId="16940896" w14:textId="77777777" w:rsidTr="00937B31">
        <w:trPr>
          <w:trHeight w:val="1520"/>
        </w:trPr>
        <w:tc>
          <w:tcPr>
            <w:tcW w:w="1000" w:type="dxa"/>
            <w:tcBorders>
              <w:top w:val="nil"/>
              <w:left w:val="single" w:sz="4" w:space="0" w:color="auto"/>
              <w:bottom w:val="single" w:sz="4" w:space="0" w:color="auto"/>
              <w:right w:val="single" w:sz="4" w:space="0" w:color="auto"/>
            </w:tcBorders>
            <w:shd w:val="clear" w:color="000000" w:fill="auto"/>
            <w:vAlign w:val="center"/>
            <w:hideMark/>
          </w:tcPr>
          <w:p w14:paraId="200E61FA"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C.8.a</w:t>
            </w:r>
          </w:p>
        </w:tc>
        <w:tc>
          <w:tcPr>
            <w:tcW w:w="4220" w:type="dxa"/>
            <w:tcBorders>
              <w:top w:val="nil"/>
              <w:left w:val="nil"/>
              <w:bottom w:val="single" w:sz="4" w:space="0" w:color="auto"/>
              <w:right w:val="single" w:sz="4" w:space="0" w:color="auto"/>
            </w:tcBorders>
            <w:shd w:val="clear" w:color="000000" w:fill="auto"/>
            <w:vAlign w:val="center"/>
            <w:hideMark/>
          </w:tcPr>
          <w:p w14:paraId="62D16486"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 xml:space="preserve">Obtain sufficient information to understand how the model outputs are used within the rating system and to verify that the rating plan, in fact, reflects the model output and any adjustments made to the model output. </w:t>
            </w:r>
          </w:p>
        </w:tc>
        <w:tc>
          <w:tcPr>
            <w:tcW w:w="1439" w:type="dxa"/>
            <w:tcBorders>
              <w:top w:val="nil"/>
              <w:left w:val="nil"/>
              <w:bottom w:val="single" w:sz="4" w:space="0" w:color="auto"/>
              <w:right w:val="single" w:sz="4" w:space="0" w:color="auto"/>
            </w:tcBorders>
            <w:shd w:val="clear" w:color="000000" w:fill="auto"/>
            <w:vAlign w:val="center"/>
            <w:hideMark/>
          </w:tcPr>
          <w:p w14:paraId="160A4512"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1</w:t>
            </w:r>
          </w:p>
        </w:tc>
        <w:tc>
          <w:tcPr>
            <w:tcW w:w="4141" w:type="dxa"/>
            <w:tcBorders>
              <w:top w:val="nil"/>
              <w:left w:val="nil"/>
              <w:bottom w:val="single" w:sz="4" w:space="0" w:color="auto"/>
              <w:right w:val="single" w:sz="4" w:space="0" w:color="auto"/>
            </w:tcBorders>
            <w:shd w:val="clear" w:color="000000" w:fill="auto"/>
            <w:vAlign w:val="center"/>
            <w:hideMark/>
          </w:tcPr>
          <w:p w14:paraId="23087598"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 </w:t>
            </w:r>
          </w:p>
        </w:tc>
      </w:tr>
    </w:tbl>
    <w:p w14:paraId="34A5F65D" w14:textId="77777777" w:rsidR="005946C7" w:rsidRPr="00937B31" w:rsidRDefault="005946C7" w:rsidP="00ED744F">
      <w:pPr>
        <w:jc w:val="both"/>
        <w:rPr>
          <w:rFonts w:ascii="Times New Roman" w:hAnsi="Times New Roman" w:cs="Times New Roman"/>
          <w:sz w:val="20"/>
          <w:szCs w:val="20"/>
          <w:lang w:val="en"/>
        </w:rPr>
      </w:pPr>
    </w:p>
    <w:p w14:paraId="631B7829" w14:textId="77777777" w:rsidR="00937B31" w:rsidRPr="00937B31" w:rsidRDefault="00937B31">
      <w:pPr>
        <w:rPr>
          <w:rFonts w:ascii="Times New Roman" w:eastAsiaTheme="majorEastAsia" w:hAnsi="Times New Roman" w:cs="Times New Roman"/>
          <w:b/>
          <w:caps/>
          <w:sz w:val="20"/>
          <w:szCs w:val="20"/>
        </w:rPr>
      </w:pPr>
      <w:r w:rsidRPr="00937B31">
        <w:rPr>
          <w:rFonts w:cs="Times New Roman"/>
          <w:szCs w:val="20"/>
        </w:rPr>
        <w:br w:type="page"/>
      </w:r>
    </w:p>
    <w:p w14:paraId="315384CA" w14:textId="4D121721" w:rsidR="0085449E" w:rsidRPr="00937B31" w:rsidRDefault="002A6534" w:rsidP="00ED744F">
      <w:pPr>
        <w:pStyle w:val="Heading1"/>
        <w:jc w:val="both"/>
        <w:rPr>
          <w:rFonts w:cs="Times New Roman"/>
          <w:szCs w:val="20"/>
        </w:rPr>
      </w:pPr>
      <w:bookmarkStart w:id="8" w:name="_Toc8388754"/>
      <w:r w:rsidRPr="00937B31">
        <w:rPr>
          <w:rFonts w:cs="Times New Roman"/>
          <w:szCs w:val="20"/>
        </w:rPr>
        <w:t xml:space="preserve">Proposed </w:t>
      </w:r>
      <w:r w:rsidR="0085449E" w:rsidRPr="00937B31">
        <w:rPr>
          <w:rFonts w:cs="Times New Roman"/>
          <w:szCs w:val="20"/>
        </w:rPr>
        <w:t>C</w:t>
      </w:r>
      <w:r w:rsidRPr="00937B31">
        <w:rPr>
          <w:rFonts w:cs="Times New Roman"/>
          <w:szCs w:val="20"/>
        </w:rPr>
        <w:t xml:space="preserve">hanges to the </w:t>
      </w:r>
      <w:r w:rsidR="0085449E" w:rsidRPr="00937B31">
        <w:rPr>
          <w:rFonts w:cs="Times New Roman"/>
          <w:i/>
          <w:szCs w:val="20"/>
        </w:rPr>
        <w:t>P</w:t>
      </w:r>
      <w:r w:rsidRPr="00937B31">
        <w:rPr>
          <w:rFonts w:cs="Times New Roman"/>
          <w:i/>
          <w:szCs w:val="20"/>
        </w:rPr>
        <w:t xml:space="preserve">roduct </w:t>
      </w:r>
      <w:r w:rsidR="0085449E" w:rsidRPr="00937B31">
        <w:rPr>
          <w:rFonts w:cs="Times New Roman"/>
          <w:i/>
          <w:szCs w:val="20"/>
        </w:rPr>
        <w:t>F</w:t>
      </w:r>
      <w:r w:rsidRPr="00937B31">
        <w:rPr>
          <w:rFonts w:cs="Times New Roman"/>
          <w:i/>
          <w:szCs w:val="20"/>
        </w:rPr>
        <w:t xml:space="preserve">iling </w:t>
      </w:r>
      <w:r w:rsidR="0085449E" w:rsidRPr="00937B31">
        <w:rPr>
          <w:rFonts w:cs="Times New Roman"/>
          <w:i/>
          <w:szCs w:val="20"/>
        </w:rPr>
        <w:t>R</w:t>
      </w:r>
      <w:r w:rsidRPr="00937B31">
        <w:rPr>
          <w:rFonts w:cs="Times New Roman"/>
          <w:i/>
          <w:szCs w:val="20"/>
        </w:rPr>
        <w:t xml:space="preserve">eview </w:t>
      </w:r>
      <w:r w:rsidR="0085449E" w:rsidRPr="00937B31">
        <w:rPr>
          <w:rFonts w:cs="Times New Roman"/>
          <w:i/>
          <w:szCs w:val="20"/>
        </w:rPr>
        <w:t>H</w:t>
      </w:r>
      <w:r w:rsidRPr="00937B31">
        <w:rPr>
          <w:rFonts w:cs="Times New Roman"/>
          <w:i/>
          <w:szCs w:val="20"/>
        </w:rPr>
        <w:t>andbook</w:t>
      </w:r>
      <w:bookmarkEnd w:id="8"/>
    </w:p>
    <w:p w14:paraId="5DE90FB8" w14:textId="4A2593F8" w:rsidR="002A6534" w:rsidRPr="00937B31" w:rsidRDefault="0085449E" w:rsidP="0085449E">
      <w:pPr>
        <w:rPr>
          <w:rFonts w:ascii="Times New Roman" w:hAnsi="Times New Roman" w:cs="Times New Roman"/>
        </w:rPr>
      </w:pPr>
      <w:r w:rsidRPr="00937B31">
        <w:rPr>
          <w:rFonts w:ascii="Times New Roman" w:hAnsi="Times New Roman" w:cs="Times New Roman"/>
        </w:rPr>
        <w:t xml:space="preserve">TBD </w:t>
      </w:r>
      <w:r w:rsidR="00E83752" w:rsidRPr="00937B31">
        <w:rPr>
          <w:rFonts w:ascii="Times New Roman" w:hAnsi="Times New Roman" w:cs="Times New Roman"/>
        </w:rPr>
        <w:t>–</w:t>
      </w:r>
      <w:r w:rsidRPr="00937B31">
        <w:rPr>
          <w:rFonts w:ascii="Times New Roman" w:hAnsi="Times New Roman" w:cs="Times New Roman"/>
        </w:rPr>
        <w:t xml:space="preserve"> </w:t>
      </w:r>
      <w:r w:rsidR="00E83752" w:rsidRPr="00937B31">
        <w:rPr>
          <w:rFonts w:ascii="Times New Roman" w:hAnsi="Times New Roman" w:cs="Times New Roman"/>
        </w:rPr>
        <w:t xml:space="preserve">placeholder </w:t>
      </w:r>
      <w:r w:rsidRPr="00937B31">
        <w:rPr>
          <w:rFonts w:ascii="Times New Roman" w:hAnsi="Times New Roman" w:cs="Times New Roman"/>
        </w:rPr>
        <w:t>t</w:t>
      </w:r>
      <w:r w:rsidR="002A6534" w:rsidRPr="00937B31">
        <w:rPr>
          <w:rFonts w:ascii="Times New Roman" w:hAnsi="Times New Roman" w:cs="Times New Roman"/>
        </w:rPr>
        <w:t>o include best practices for review of predictive models and analytics filed by insurers to justify rates</w:t>
      </w:r>
    </w:p>
    <w:p w14:paraId="408BE21D" w14:textId="6776D99D" w:rsidR="0085449E" w:rsidRPr="00937B31" w:rsidRDefault="002A6534" w:rsidP="00ED744F">
      <w:pPr>
        <w:pStyle w:val="Heading1"/>
        <w:jc w:val="both"/>
        <w:rPr>
          <w:rFonts w:cs="Times New Roman"/>
          <w:b w:val="0"/>
          <w:lang w:val="en"/>
        </w:rPr>
      </w:pPr>
      <w:bookmarkStart w:id="9" w:name="_Toc8388755"/>
      <w:r w:rsidRPr="00937B31">
        <w:rPr>
          <w:rFonts w:cs="Times New Roman"/>
        </w:rPr>
        <w:t xml:space="preserve">Proposed </w:t>
      </w:r>
      <w:r w:rsidR="0085449E" w:rsidRPr="00937B31">
        <w:rPr>
          <w:rFonts w:cs="Times New Roman"/>
        </w:rPr>
        <w:t>S</w:t>
      </w:r>
      <w:r w:rsidRPr="00937B31">
        <w:rPr>
          <w:rFonts w:cs="Times New Roman"/>
        </w:rPr>
        <w:t xml:space="preserve">tate </w:t>
      </w:r>
      <w:r w:rsidR="0085449E" w:rsidRPr="00937B31">
        <w:rPr>
          <w:rFonts w:cs="Times New Roman"/>
        </w:rPr>
        <w:t>G</w:t>
      </w:r>
      <w:r w:rsidRPr="00937B31">
        <w:rPr>
          <w:rFonts w:cs="Times New Roman"/>
        </w:rPr>
        <w:t>uidance</w:t>
      </w:r>
      <w:bookmarkEnd w:id="9"/>
    </w:p>
    <w:p w14:paraId="7AC7D660" w14:textId="688C2E29" w:rsidR="002A6534" w:rsidRPr="00937B31" w:rsidRDefault="0085449E" w:rsidP="0085449E">
      <w:pPr>
        <w:rPr>
          <w:rFonts w:ascii="Times New Roman" w:hAnsi="Times New Roman" w:cs="Times New Roman"/>
          <w:b/>
          <w:lang w:val="en"/>
        </w:rPr>
      </w:pPr>
      <w:r w:rsidRPr="00937B31">
        <w:rPr>
          <w:rFonts w:ascii="Times New Roman" w:hAnsi="Times New Roman" w:cs="Times New Roman"/>
        </w:rPr>
        <w:t xml:space="preserve">TBD </w:t>
      </w:r>
      <w:r w:rsidR="00E83752" w:rsidRPr="00937B31">
        <w:rPr>
          <w:rFonts w:ascii="Times New Roman" w:hAnsi="Times New Roman" w:cs="Times New Roman"/>
        </w:rPr>
        <w:t xml:space="preserve">–placeholder for </w:t>
      </w:r>
      <w:r w:rsidR="00F55D77" w:rsidRPr="00937B31">
        <w:rPr>
          <w:rFonts w:ascii="Times New Roman" w:hAnsi="Times New Roman" w:cs="Times New Roman"/>
        </w:rPr>
        <w:t>guidance</w:t>
      </w:r>
      <w:r w:rsidR="002A6534" w:rsidRPr="00937B31">
        <w:rPr>
          <w:rFonts w:ascii="Times New Roman" w:hAnsi="Times New Roman" w:cs="Times New Roman"/>
        </w:rPr>
        <w:t xml:space="preserve"> for rate filings that are based on predictive model</w:t>
      </w:r>
    </w:p>
    <w:p w14:paraId="1C32A9B1" w14:textId="080A27C5" w:rsidR="00E55DE9" w:rsidRPr="00937B31" w:rsidRDefault="005F5CBF" w:rsidP="00ED744F">
      <w:pPr>
        <w:pStyle w:val="Heading1"/>
        <w:jc w:val="both"/>
        <w:rPr>
          <w:rFonts w:cs="Times New Roman"/>
          <w:b w:val="0"/>
          <w:szCs w:val="20"/>
        </w:rPr>
      </w:pPr>
      <w:bookmarkStart w:id="10" w:name="_Toc8388756"/>
      <w:r w:rsidRPr="00937B31">
        <w:rPr>
          <w:rFonts w:cs="Times New Roman"/>
          <w:szCs w:val="20"/>
        </w:rPr>
        <w:t>Other Considerations</w:t>
      </w:r>
      <w:bookmarkEnd w:id="10"/>
    </w:p>
    <w:p w14:paraId="4218AB26" w14:textId="7D937B8B" w:rsidR="008E322B" w:rsidRPr="00937B31" w:rsidRDefault="00615374" w:rsidP="005F5CBF">
      <w:pPr>
        <w:rPr>
          <w:rFonts w:ascii="Times New Roman" w:hAnsi="Times New Roman" w:cs="Times New Roman"/>
          <w:sz w:val="20"/>
          <w:szCs w:val="20"/>
          <w:lang w:val="en"/>
        </w:rPr>
      </w:pPr>
      <w:r w:rsidRPr="00615374">
        <w:rPr>
          <w:rFonts w:ascii="Times New Roman" w:hAnsi="Times New Roman" w:cs="Times New Roman"/>
          <w:sz w:val="20"/>
          <w:szCs w:val="20"/>
          <w:lang w:val="en"/>
        </w:rPr>
        <w:t xml:space="preserve">During the development of this guidance, topics arose that are not addressed in this paper. These topics may need addressing during the regulator’s review of a predictive model. A few of these issues may be discussed elsewhere within NAIC. All of these issues, if addressed, will be </w:t>
      </w:r>
      <w:r>
        <w:rPr>
          <w:rFonts w:ascii="Times New Roman" w:hAnsi="Times New Roman" w:cs="Times New Roman"/>
          <w:sz w:val="20"/>
          <w:szCs w:val="20"/>
          <w:lang w:val="en"/>
        </w:rPr>
        <w:t>handled</w:t>
      </w:r>
      <w:r w:rsidRPr="00615374">
        <w:rPr>
          <w:rFonts w:ascii="Times New Roman" w:hAnsi="Times New Roman" w:cs="Times New Roman"/>
          <w:sz w:val="20"/>
          <w:szCs w:val="20"/>
          <w:lang w:val="en"/>
        </w:rPr>
        <w:t xml:space="preserve"> by each state on a case-by-case basis. </w:t>
      </w:r>
      <w:r>
        <w:rPr>
          <w:rFonts w:ascii="Times New Roman" w:hAnsi="Times New Roman" w:cs="Times New Roman"/>
          <w:sz w:val="20"/>
          <w:szCs w:val="20"/>
          <w:lang w:val="en"/>
        </w:rPr>
        <w:t>A sampling of</w:t>
      </w:r>
      <w:r w:rsidRPr="00615374">
        <w:rPr>
          <w:rFonts w:ascii="Times New Roman" w:hAnsi="Times New Roman" w:cs="Times New Roman"/>
          <w:sz w:val="20"/>
          <w:szCs w:val="20"/>
          <w:lang w:val="en"/>
        </w:rPr>
        <w:t xml:space="preserve"> topics for consideration </w:t>
      </w:r>
      <w:r>
        <w:rPr>
          <w:rFonts w:ascii="Times New Roman" w:hAnsi="Times New Roman" w:cs="Times New Roman"/>
          <w:sz w:val="20"/>
          <w:szCs w:val="20"/>
          <w:lang w:val="en"/>
        </w:rPr>
        <w:t xml:space="preserve">in this section </w:t>
      </w:r>
      <w:r w:rsidRPr="00615374">
        <w:rPr>
          <w:rFonts w:ascii="Times New Roman" w:hAnsi="Times New Roman" w:cs="Times New Roman"/>
          <w:sz w:val="20"/>
          <w:szCs w:val="20"/>
          <w:lang w:val="en"/>
        </w:rPr>
        <w:t>include:</w:t>
      </w:r>
      <w:r w:rsidR="008E322B" w:rsidRPr="00937B31">
        <w:rPr>
          <w:rFonts w:ascii="Times New Roman" w:hAnsi="Times New Roman" w:cs="Times New Roman"/>
          <w:sz w:val="20"/>
          <w:szCs w:val="20"/>
          <w:lang w:val="en"/>
        </w:rPr>
        <w:t xml:space="preserve"> </w:t>
      </w:r>
    </w:p>
    <w:p w14:paraId="1FBB75DD" w14:textId="76F5F66B" w:rsidR="00615374" w:rsidRPr="00615374" w:rsidRDefault="00615374" w:rsidP="00615374">
      <w:pPr>
        <w:pStyle w:val="ListParagraph"/>
        <w:numPr>
          <w:ilvl w:val="0"/>
          <w:numId w:val="11"/>
        </w:numPr>
        <w:jc w:val="both"/>
        <w:rPr>
          <w:rFonts w:ascii="Times New Roman" w:hAnsi="Times New Roman" w:cs="Times New Roman"/>
          <w:sz w:val="20"/>
          <w:szCs w:val="20"/>
          <w:lang w:val="en"/>
        </w:rPr>
      </w:pPr>
      <w:r>
        <w:rPr>
          <w:rFonts w:ascii="Times New Roman" w:hAnsi="Times New Roman" w:cs="Times New Roman"/>
          <w:sz w:val="20"/>
          <w:szCs w:val="20"/>
          <w:lang w:val="en"/>
        </w:rPr>
        <w:t>TBD</w:t>
      </w:r>
      <w:r w:rsidRPr="00615374">
        <w:rPr>
          <w:rFonts w:ascii="Times New Roman" w:hAnsi="Times New Roman" w:cs="Times New Roman"/>
          <w:sz w:val="20"/>
          <w:szCs w:val="20"/>
          <w:lang w:val="en"/>
        </w:rPr>
        <w:t>: When are rating variables or rating plans too granular? How is granularity handled during the development of the model and during the selection of rate relativities file in a rating plan supported by a model?</w:t>
      </w:r>
    </w:p>
    <w:p w14:paraId="75A553A8" w14:textId="0454ED56" w:rsidR="00615374" w:rsidRPr="00615374" w:rsidRDefault="00615374" w:rsidP="00615374">
      <w:pPr>
        <w:pStyle w:val="ListParagraph"/>
        <w:numPr>
          <w:ilvl w:val="0"/>
          <w:numId w:val="11"/>
        </w:numPr>
        <w:jc w:val="both"/>
        <w:rPr>
          <w:rFonts w:ascii="Times New Roman" w:hAnsi="Times New Roman" w:cs="Times New Roman"/>
          <w:sz w:val="20"/>
          <w:szCs w:val="20"/>
          <w:lang w:val="en"/>
        </w:rPr>
      </w:pPr>
      <w:r>
        <w:rPr>
          <w:rFonts w:ascii="Times New Roman" w:hAnsi="Times New Roman" w:cs="Times New Roman"/>
          <w:sz w:val="20"/>
          <w:szCs w:val="20"/>
          <w:lang w:val="en"/>
        </w:rPr>
        <w:t>TBD</w:t>
      </w:r>
      <w:r w:rsidRPr="00615374">
        <w:rPr>
          <w:rFonts w:ascii="Times New Roman" w:hAnsi="Times New Roman" w:cs="Times New Roman"/>
          <w:sz w:val="20"/>
          <w:szCs w:val="20"/>
          <w:lang w:val="en"/>
        </w:rPr>
        <w:t>: Discuss the scientific mindset of open inquiry and its relevance to the best practice white paper.</w:t>
      </w:r>
    </w:p>
    <w:p w14:paraId="628752F5" w14:textId="21D2C539" w:rsidR="00615374" w:rsidRPr="00615374" w:rsidRDefault="00615374" w:rsidP="00615374">
      <w:pPr>
        <w:pStyle w:val="ListParagraph"/>
        <w:numPr>
          <w:ilvl w:val="0"/>
          <w:numId w:val="11"/>
        </w:numPr>
        <w:jc w:val="both"/>
        <w:rPr>
          <w:rFonts w:ascii="Times New Roman" w:hAnsi="Times New Roman" w:cs="Times New Roman"/>
          <w:sz w:val="20"/>
          <w:szCs w:val="20"/>
          <w:lang w:val="en"/>
        </w:rPr>
      </w:pPr>
      <w:r>
        <w:rPr>
          <w:rFonts w:ascii="Times New Roman" w:hAnsi="Times New Roman" w:cs="Times New Roman"/>
          <w:sz w:val="20"/>
          <w:szCs w:val="20"/>
          <w:lang w:val="en"/>
        </w:rPr>
        <w:t>TBD</w:t>
      </w:r>
      <w:r w:rsidRPr="00615374">
        <w:rPr>
          <w:rFonts w:ascii="Times New Roman" w:hAnsi="Times New Roman" w:cs="Times New Roman"/>
          <w:sz w:val="20"/>
          <w:szCs w:val="20"/>
          <w:lang w:val="en"/>
        </w:rPr>
        <w:t>: Discuss correlation vs causality in general and in relation to ASOP 12.</w:t>
      </w:r>
    </w:p>
    <w:p w14:paraId="7C8675D0" w14:textId="46F5B079" w:rsidR="00615374" w:rsidRPr="00615374" w:rsidRDefault="00615374" w:rsidP="00615374">
      <w:pPr>
        <w:pStyle w:val="ListParagraph"/>
        <w:numPr>
          <w:ilvl w:val="0"/>
          <w:numId w:val="11"/>
        </w:numPr>
        <w:jc w:val="both"/>
        <w:rPr>
          <w:rFonts w:ascii="Times New Roman" w:hAnsi="Times New Roman" w:cs="Times New Roman"/>
          <w:sz w:val="20"/>
          <w:szCs w:val="20"/>
          <w:lang w:val="en"/>
        </w:rPr>
      </w:pPr>
      <w:r>
        <w:rPr>
          <w:rFonts w:ascii="Times New Roman" w:hAnsi="Times New Roman" w:cs="Times New Roman"/>
          <w:sz w:val="20"/>
          <w:szCs w:val="20"/>
          <w:lang w:val="en"/>
        </w:rPr>
        <w:t>TBD</w:t>
      </w:r>
      <w:r w:rsidRPr="00615374">
        <w:rPr>
          <w:rFonts w:ascii="Times New Roman" w:hAnsi="Times New Roman" w:cs="Times New Roman"/>
          <w:sz w:val="20"/>
          <w:szCs w:val="20"/>
          <w:lang w:val="en"/>
        </w:rPr>
        <w:t>: Will following guidance provided in this white paper increase or pressure state regulatory budgets adversely?</w:t>
      </w:r>
    </w:p>
    <w:p w14:paraId="4D62B395" w14:textId="2A61C6A6" w:rsidR="00615374" w:rsidRPr="00615374" w:rsidRDefault="00615374" w:rsidP="00615374">
      <w:pPr>
        <w:pStyle w:val="ListParagraph"/>
        <w:numPr>
          <w:ilvl w:val="0"/>
          <w:numId w:val="11"/>
        </w:numPr>
        <w:jc w:val="both"/>
        <w:rPr>
          <w:rFonts w:ascii="Times New Roman" w:hAnsi="Times New Roman" w:cs="Times New Roman"/>
          <w:sz w:val="20"/>
          <w:szCs w:val="20"/>
          <w:lang w:val="en"/>
        </w:rPr>
      </w:pPr>
      <w:r>
        <w:rPr>
          <w:rFonts w:ascii="Times New Roman" w:hAnsi="Times New Roman" w:cs="Times New Roman"/>
          <w:sz w:val="20"/>
          <w:szCs w:val="20"/>
          <w:lang w:val="en"/>
        </w:rPr>
        <w:t>TBD</w:t>
      </w:r>
      <w:r w:rsidRPr="00615374">
        <w:rPr>
          <w:rFonts w:ascii="Times New Roman" w:hAnsi="Times New Roman" w:cs="Times New Roman"/>
          <w:sz w:val="20"/>
          <w:szCs w:val="20"/>
          <w:lang w:val="en"/>
        </w:rPr>
        <w:t>: Discussion of data mining being in conflict with standard scientific model and increase in "false positives."</w:t>
      </w:r>
    </w:p>
    <w:p w14:paraId="5E904141" w14:textId="1A6C92CE" w:rsidR="00615374" w:rsidRPr="00615374" w:rsidRDefault="00615374" w:rsidP="00615374">
      <w:pPr>
        <w:pStyle w:val="ListParagraph"/>
        <w:numPr>
          <w:ilvl w:val="0"/>
          <w:numId w:val="11"/>
        </w:numPr>
        <w:jc w:val="both"/>
        <w:rPr>
          <w:rFonts w:ascii="Times New Roman" w:hAnsi="Times New Roman" w:cs="Times New Roman"/>
          <w:sz w:val="20"/>
          <w:szCs w:val="20"/>
          <w:lang w:val="en"/>
        </w:rPr>
      </w:pPr>
      <w:r>
        <w:rPr>
          <w:rFonts w:ascii="Times New Roman" w:hAnsi="Times New Roman" w:cs="Times New Roman"/>
          <w:sz w:val="20"/>
          <w:szCs w:val="20"/>
          <w:lang w:val="en"/>
        </w:rPr>
        <w:t>TBD</w:t>
      </w:r>
      <w:r w:rsidRPr="00615374">
        <w:rPr>
          <w:rFonts w:ascii="Times New Roman" w:hAnsi="Times New Roman" w:cs="Times New Roman"/>
          <w:sz w:val="20"/>
          <w:szCs w:val="20"/>
          <w:lang w:val="en"/>
        </w:rPr>
        <w:t>: Explain how the insurer will help educate consumers to mitigate their risk.</w:t>
      </w:r>
    </w:p>
    <w:p w14:paraId="5F244A8E" w14:textId="65F24AA5" w:rsidR="00615374" w:rsidRPr="00615374" w:rsidRDefault="00615374" w:rsidP="00615374">
      <w:pPr>
        <w:pStyle w:val="ListParagraph"/>
        <w:numPr>
          <w:ilvl w:val="0"/>
          <w:numId w:val="11"/>
        </w:numPr>
        <w:jc w:val="both"/>
        <w:rPr>
          <w:rFonts w:ascii="Times New Roman" w:hAnsi="Times New Roman" w:cs="Times New Roman"/>
          <w:sz w:val="20"/>
          <w:szCs w:val="20"/>
          <w:lang w:val="en"/>
        </w:rPr>
      </w:pPr>
      <w:r>
        <w:rPr>
          <w:rFonts w:ascii="Times New Roman" w:hAnsi="Times New Roman" w:cs="Times New Roman"/>
          <w:sz w:val="20"/>
          <w:szCs w:val="20"/>
          <w:lang w:val="en"/>
        </w:rPr>
        <w:t>TBD</w:t>
      </w:r>
      <w:r w:rsidRPr="00615374">
        <w:rPr>
          <w:rFonts w:ascii="Times New Roman" w:hAnsi="Times New Roman" w:cs="Times New Roman"/>
          <w:sz w:val="20"/>
          <w:szCs w:val="20"/>
          <w:lang w:val="en"/>
        </w:rPr>
        <w:t>: Identify sources to be used at "point of sale" to place individual risks within the matrix of rating system classifications. How can a consumer verify their own "point-of-sale" data and correct any errors?</w:t>
      </w:r>
    </w:p>
    <w:p w14:paraId="0E4D11AA" w14:textId="00536C37" w:rsidR="00615374" w:rsidRPr="00615374" w:rsidRDefault="00615374" w:rsidP="00615374">
      <w:pPr>
        <w:pStyle w:val="ListParagraph"/>
        <w:numPr>
          <w:ilvl w:val="0"/>
          <w:numId w:val="11"/>
        </w:numPr>
        <w:jc w:val="both"/>
        <w:rPr>
          <w:rFonts w:ascii="Times New Roman" w:hAnsi="Times New Roman" w:cs="Times New Roman"/>
          <w:sz w:val="20"/>
          <w:szCs w:val="20"/>
          <w:lang w:val="en"/>
        </w:rPr>
      </w:pPr>
      <w:r>
        <w:rPr>
          <w:rFonts w:ascii="Times New Roman" w:hAnsi="Times New Roman" w:cs="Times New Roman"/>
          <w:sz w:val="20"/>
          <w:szCs w:val="20"/>
          <w:lang w:val="en"/>
        </w:rPr>
        <w:t>TBD</w:t>
      </w:r>
      <w:r w:rsidRPr="00615374">
        <w:rPr>
          <w:rFonts w:ascii="Times New Roman" w:hAnsi="Times New Roman" w:cs="Times New Roman"/>
          <w:sz w:val="20"/>
          <w:szCs w:val="20"/>
          <w:lang w:val="en"/>
        </w:rPr>
        <w:t>: Discuss cost to filing company and state to have expertise and resources adequate to document and review all knowledge elements identified in this white paper.</w:t>
      </w:r>
    </w:p>
    <w:p w14:paraId="66F888BC" w14:textId="7F4C1E94" w:rsidR="00823A3A" w:rsidRPr="00937B31" w:rsidRDefault="00615374" w:rsidP="00615374">
      <w:pPr>
        <w:pStyle w:val="ListParagraph"/>
        <w:numPr>
          <w:ilvl w:val="0"/>
          <w:numId w:val="11"/>
        </w:numPr>
        <w:jc w:val="both"/>
        <w:rPr>
          <w:rFonts w:ascii="Times New Roman" w:hAnsi="Times New Roman" w:cs="Times New Roman"/>
          <w:sz w:val="20"/>
          <w:szCs w:val="20"/>
          <w:lang w:val="en"/>
        </w:rPr>
      </w:pPr>
      <w:r>
        <w:rPr>
          <w:rFonts w:ascii="Times New Roman" w:hAnsi="Times New Roman" w:cs="Times New Roman"/>
          <w:sz w:val="20"/>
          <w:szCs w:val="20"/>
          <w:lang w:val="en"/>
        </w:rPr>
        <w:t xml:space="preserve">Other </w:t>
      </w:r>
      <w:r w:rsidR="00FC1A70" w:rsidRPr="00937B31">
        <w:rPr>
          <w:rFonts w:ascii="Times New Roman" w:hAnsi="Times New Roman" w:cs="Times New Roman"/>
          <w:sz w:val="20"/>
          <w:szCs w:val="20"/>
          <w:lang w:val="en"/>
        </w:rPr>
        <w:t>TBD</w:t>
      </w:r>
      <w:r>
        <w:rPr>
          <w:rFonts w:ascii="Times New Roman" w:hAnsi="Times New Roman" w:cs="Times New Roman"/>
          <w:sz w:val="20"/>
          <w:szCs w:val="20"/>
          <w:lang w:val="en"/>
        </w:rPr>
        <w:t>s</w:t>
      </w:r>
    </w:p>
    <w:p w14:paraId="70AE79A4" w14:textId="4AD6BA55" w:rsidR="004471CC" w:rsidRPr="00937B31" w:rsidRDefault="004471CC" w:rsidP="00ED744F">
      <w:pPr>
        <w:pStyle w:val="Heading1"/>
        <w:jc w:val="both"/>
        <w:rPr>
          <w:rFonts w:cs="Times New Roman"/>
          <w:b w:val="0"/>
          <w:lang w:val="en"/>
        </w:rPr>
      </w:pPr>
      <w:bookmarkStart w:id="11" w:name="_Toc8388757"/>
      <w:r w:rsidRPr="00937B31">
        <w:rPr>
          <w:rFonts w:cs="Times New Roman"/>
          <w:lang w:val="en"/>
        </w:rPr>
        <w:t xml:space="preserve">Recommendations </w:t>
      </w:r>
      <w:r w:rsidR="00FF6720" w:rsidRPr="00937B31">
        <w:rPr>
          <w:rFonts w:cs="Times New Roman"/>
          <w:lang w:val="en"/>
        </w:rPr>
        <w:t xml:space="preserve">Going </w:t>
      </w:r>
      <w:r w:rsidR="00FF6720" w:rsidRPr="00937B31">
        <w:rPr>
          <w:rFonts w:cs="Times New Roman"/>
        </w:rPr>
        <w:t>Forward</w:t>
      </w:r>
      <w:bookmarkEnd w:id="11"/>
    </w:p>
    <w:p w14:paraId="74715284" w14:textId="48B811A9" w:rsidR="00615374" w:rsidRPr="00615374" w:rsidRDefault="00615374" w:rsidP="00615374">
      <w:pPr>
        <w:jc w:val="both"/>
        <w:rPr>
          <w:rFonts w:ascii="Times New Roman" w:hAnsi="Times New Roman" w:cs="Times New Roman"/>
          <w:lang w:val="en"/>
        </w:rPr>
      </w:pPr>
      <w:r>
        <w:rPr>
          <w:rFonts w:ascii="Times New Roman" w:hAnsi="Times New Roman" w:cs="Times New Roman"/>
          <w:lang w:val="en"/>
        </w:rPr>
        <w:t>The following are examples of topics that may be included in the recommendations:</w:t>
      </w:r>
    </w:p>
    <w:p w14:paraId="28B293C6" w14:textId="393D018D" w:rsidR="00615374" w:rsidRPr="00615374" w:rsidRDefault="00615374" w:rsidP="00615374">
      <w:pPr>
        <w:pStyle w:val="ListParagraph"/>
        <w:numPr>
          <w:ilvl w:val="0"/>
          <w:numId w:val="11"/>
        </w:numPr>
        <w:jc w:val="both"/>
        <w:rPr>
          <w:rFonts w:ascii="Times New Roman" w:hAnsi="Times New Roman" w:cs="Times New Roman"/>
          <w:lang w:val="en"/>
        </w:rPr>
      </w:pPr>
      <w:r>
        <w:rPr>
          <w:rFonts w:ascii="Times New Roman" w:hAnsi="Times New Roman" w:cs="Times New Roman"/>
          <w:sz w:val="20"/>
          <w:szCs w:val="20"/>
          <w:lang w:val="en"/>
        </w:rPr>
        <w:t>TBD</w:t>
      </w:r>
      <w:r w:rsidRPr="00615374">
        <w:rPr>
          <w:rFonts w:ascii="Times New Roman" w:hAnsi="Times New Roman" w:cs="Times New Roman"/>
          <w:sz w:val="20"/>
          <w:szCs w:val="20"/>
          <w:lang w:val="en"/>
        </w:rPr>
        <w:t xml:space="preserve">: </w:t>
      </w:r>
      <w:r w:rsidRPr="00615374">
        <w:rPr>
          <w:rFonts w:ascii="Times New Roman" w:hAnsi="Times New Roman" w:cs="Times New Roman"/>
          <w:lang w:val="en"/>
        </w:rPr>
        <w:t>Discuss confidentiality as it relates to filings submitted via SERFF</w:t>
      </w:r>
    </w:p>
    <w:p w14:paraId="65DBCE45" w14:textId="72DDBC68" w:rsidR="00615374" w:rsidRPr="00615374" w:rsidRDefault="00615374" w:rsidP="00615374">
      <w:pPr>
        <w:pStyle w:val="ListParagraph"/>
        <w:numPr>
          <w:ilvl w:val="0"/>
          <w:numId w:val="11"/>
        </w:numPr>
        <w:jc w:val="both"/>
        <w:rPr>
          <w:rFonts w:ascii="Times New Roman" w:hAnsi="Times New Roman" w:cs="Times New Roman"/>
          <w:lang w:val="en"/>
        </w:rPr>
      </w:pPr>
      <w:r>
        <w:rPr>
          <w:rFonts w:ascii="Times New Roman" w:hAnsi="Times New Roman" w:cs="Times New Roman"/>
          <w:sz w:val="20"/>
          <w:szCs w:val="20"/>
          <w:lang w:val="en"/>
        </w:rPr>
        <w:t>TBD</w:t>
      </w:r>
      <w:r w:rsidRPr="00615374">
        <w:rPr>
          <w:rFonts w:ascii="Times New Roman" w:hAnsi="Times New Roman" w:cs="Times New Roman"/>
          <w:sz w:val="20"/>
          <w:szCs w:val="20"/>
          <w:lang w:val="en"/>
        </w:rPr>
        <w:t xml:space="preserve">: </w:t>
      </w:r>
      <w:r w:rsidRPr="00615374">
        <w:rPr>
          <w:rFonts w:ascii="Times New Roman" w:hAnsi="Times New Roman" w:cs="Times New Roman"/>
          <w:lang w:val="en"/>
        </w:rPr>
        <w:t>Discuss confidentiality as it relates to state statutes and regulations.</w:t>
      </w:r>
    </w:p>
    <w:p w14:paraId="3C8527E0" w14:textId="545036AD" w:rsidR="00615374" w:rsidRPr="00615374" w:rsidRDefault="00615374" w:rsidP="00615374">
      <w:pPr>
        <w:pStyle w:val="ListParagraph"/>
        <w:numPr>
          <w:ilvl w:val="0"/>
          <w:numId w:val="11"/>
        </w:numPr>
        <w:jc w:val="both"/>
        <w:rPr>
          <w:rFonts w:ascii="Times New Roman" w:hAnsi="Times New Roman" w:cs="Times New Roman"/>
          <w:lang w:val="en"/>
        </w:rPr>
      </w:pPr>
      <w:r>
        <w:rPr>
          <w:rFonts w:ascii="Times New Roman" w:hAnsi="Times New Roman" w:cs="Times New Roman"/>
          <w:sz w:val="20"/>
          <w:szCs w:val="20"/>
          <w:lang w:val="en"/>
        </w:rPr>
        <w:t>TBD</w:t>
      </w:r>
      <w:r w:rsidRPr="00615374">
        <w:rPr>
          <w:rFonts w:ascii="Times New Roman" w:hAnsi="Times New Roman" w:cs="Times New Roman"/>
          <w:sz w:val="20"/>
          <w:szCs w:val="20"/>
          <w:lang w:val="en"/>
        </w:rPr>
        <w:t xml:space="preserve">: </w:t>
      </w:r>
      <w:r w:rsidRPr="00615374">
        <w:rPr>
          <w:rFonts w:ascii="Times New Roman" w:hAnsi="Times New Roman" w:cs="Times New Roman"/>
          <w:lang w:val="en"/>
        </w:rPr>
        <w:t>Discuss policyholder disclosure when complex predictive model underlies a rating plan.</w:t>
      </w:r>
    </w:p>
    <w:p w14:paraId="5B578B0C" w14:textId="1049ECF4" w:rsidR="00615374" w:rsidRPr="00615374" w:rsidRDefault="00615374" w:rsidP="00615374">
      <w:pPr>
        <w:pStyle w:val="ListParagraph"/>
        <w:numPr>
          <w:ilvl w:val="0"/>
          <w:numId w:val="11"/>
        </w:numPr>
        <w:jc w:val="both"/>
        <w:rPr>
          <w:rFonts w:ascii="Times New Roman" w:hAnsi="Times New Roman" w:cs="Times New Roman"/>
          <w:lang w:val="en"/>
        </w:rPr>
      </w:pPr>
      <w:r>
        <w:rPr>
          <w:rFonts w:ascii="Times New Roman" w:hAnsi="Times New Roman" w:cs="Times New Roman"/>
          <w:sz w:val="20"/>
          <w:szCs w:val="20"/>
          <w:lang w:val="en"/>
        </w:rPr>
        <w:t>TBD</w:t>
      </w:r>
      <w:r w:rsidRPr="00615374">
        <w:rPr>
          <w:rFonts w:ascii="Times New Roman" w:hAnsi="Times New Roman" w:cs="Times New Roman"/>
          <w:sz w:val="20"/>
          <w:szCs w:val="20"/>
          <w:lang w:val="en"/>
        </w:rPr>
        <w:t xml:space="preserve">: </w:t>
      </w:r>
      <w:r w:rsidRPr="00615374">
        <w:rPr>
          <w:rFonts w:ascii="Times New Roman" w:hAnsi="Times New Roman" w:cs="Times New Roman"/>
          <w:lang w:val="en"/>
        </w:rPr>
        <w:t>Discuss the need for NAIC to update and strengthen information-sharing platforms and protocols.</w:t>
      </w:r>
    </w:p>
    <w:p w14:paraId="487E40EC" w14:textId="1B6F23CC" w:rsidR="00615374" w:rsidRPr="00615374" w:rsidRDefault="00615374" w:rsidP="00615374">
      <w:pPr>
        <w:pStyle w:val="ListParagraph"/>
        <w:numPr>
          <w:ilvl w:val="0"/>
          <w:numId w:val="11"/>
        </w:numPr>
        <w:jc w:val="both"/>
        <w:rPr>
          <w:rFonts w:ascii="Times New Roman" w:hAnsi="Times New Roman" w:cs="Times New Roman"/>
          <w:lang w:val="en"/>
        </w:rPr>
      </w:pPr>
      <w:r>
        <w:rPr>
          <w:rFonts w:ascii="Times New Roman" w:hAnsi="Times New Roman" w:cs="Times New Roman"/>
          <w:sz w:val="20"/>
          <w:szCs w:val="20"/>
          <w:lang w:val="en"/>
        </w:rPr>
        <w:t>TBD</w:t>
      </w:r>
      <w:r w:rsidRPr="00615374">
        <w:rPr>
          <w:rFonts w:ascii="Times New Roman" w:hAnsi="Times New Roman" w:cs="Times New Roman"/>
          <w:sz w:val="20"/>
          <w:szCs w:val="20"/>
          <w:lang w:val="en"/>
        </w:rPr>
        <w:t xml:space="preserve">: </w:t>
      </w:r>
      <w:r w:rsidRPr="00615374">
        <w:rPr>
          <w:rFonts w:ascii="Times New Roman" w:hAnsi="Times New Roman" w:cs="Times New Roman"/>
          <w:lang w:val="en"/>
        </w:rPr>
        <w:t>Determine the means available to a consumer to correct or contest individual data input values that may be in error.</w:t>
      </w:r>
    </w:p>
    <w:p w14:paraId="2E8D775A" w14:textId="52402BE0" w:rsidR="00615374" w:rsidRPr="00615374" w:rsidRDefault="00615374" w:rsidP="00615374">
      <w:pPr>
        <w:pStyle w:val="ListParagraph"/>
        <w:numPr>
          <w:ilvl w:val="0"/>
          <w:numId w:val="11"/>
        </w:numPr>
        <w:jc w:val="both"/>
        <w:rPr>
          <w:rFonts w:ascii="Times New Roman" w:hAnsi="Times New Roman" w:cs="Times New Roman"/>
          <w:lang w:val="en"/>
        </w:rPr>
      </w:pPr>
      <w:r>
        <w:rPr>
          <w:rFonts w:ascii="Times New Roman" w:hAnsi="Times New Roman" w:cs="Times New Roman"/>
          <w:sz w:val="20"/>
          <w:szCs w:val="20"/>
          <w:lang w:val="en"/>
        </w:rPr>
        <w:t>TBD</w:t>
      </w:r>
      <w:r w:rsidRPr="00615374">
        <w:rPr>
          <w:rFonts w:ascii="Times New Roman" w:hAnsi="Times New Roman" w:cs="Times New Roman"/>
          <w:sz w:val="20"/>
          <w:szCs w:val="20"/>
          <w:lang w:val="en"/>
        </w:rPr>
        <w:t xml:space="preserve">: </w:t>
      </w:r>
      <w:r w:rsidRPr="00615374">
        <w:rPr>
          <w:rFonts w:ascii="Times New Roman" w:hAnsi="Times New Roman" w:cs="Times New Roman"/>
          <w:lang w:val="en"/>
        </w:rPr>
        <w:t>Given an insurer’s rating plan relies on a predictive model and knowing all characteristics of a risk, discuss a regulator's ability/need to audit/calculate the risk’s premium without consultation with the insurer.</w:t>
      </w:r>
    </w:p>
    <w:p w14:paraId="12FDCDBD" w14:textId="5ED7FD53" w:rsidR="00FC1A70" w:rsidRPr="00937B31" w:rsidRDefault="00615374" w:rsidP="00615374">
      <w:pPr>
        <w:pStyle w:val="ListParagraph"/>
        <w:numPr>
          <w:ilvl w:val="0"/>
          <w:numId w:val="11"/>
        </w:numPr>
        <w:jc w:val="both"/>
        <w:rPr>
          <w:rFonts w:ascii="Times New Roman" w:hAnsi="Times New Roman" w:cs="Times New Roman"/>
          <w:lang w:val="en"/>
        </w:rPr>
      </w:pPr>
      <w:r>
        <w:rPr>
          <w:rFonts w:ascii="Times New Roman" w:hAnsi="Times New Roman" w:cs="Times New Roman"/>
          <w:sz w:val="20"/>
          <w:szCs w:val="20"/>
          <w:lang w:val="en"/>
        </w:rPr>
        <w:t xml:space="preserve">Other </w:t>
      </w:r>
      <w:r>
        <w:rPr>
          <w:rFonts w:ascii="Times New Roman" w:hAnsi="Times New Roman" w:cs="Times New Roman"/>
          <w:sz w:val="20"/>
          <w:szCs w:val="20"/>
          <w:lang w:val="en"/>
        </w:rPr>
        <w:t>TBD</w:t>
      </w:r>
      <w:r>
        <w:rPr>
          <w:rFonts w:ascii="Times New Roman" w:hAnsi="Times New Roman" w:cs="Times New Roman"/>
          <w:sz w:val="20"/>
          <w:szCs w:val="20"/>
          <w:lang w:val="en"/>
        </w:rPr>
        <w:t>s</w:t>
      </w:r>
    </w:p>
    <w:p w14:paraId="673F640E" w14:textId="46F72972" w:rsidR="00C200B7" w:rsidRPr="00937B31" w:rsidRDefault="00C200B7" w:rsidP="00ED744F">
      <w:pPr>
        <w:jc w:val="both"/>
        <w:rPr>
          <w:rFonts w:ascii="Times New Roman" w:hAnsi="Times New Roman" w:cs="Times New Roman"/>
          <w:lang w:val="en"/>
        </w:rPr>
      </w:pPr>
      <w:r w:rsidRPr="00937B31">
        <w:rPr>
          <w:rFonts w:ascii="Times New Roman" w:hAnsi="Times New Roman" w:cs="Times New Roman"/>
          <w:lang w:val="en"/>
        </w:rPr>
        <w:br w:type="page"/>
      </w:r>
    </w:p>
    <w:p w14:paraId="05EE4940" w14:textId="10051DB4" w:rsidR="008453A2" w:rsidRPr="00937B31" w:rsidRDefault="008453A2" w:rsidP="00ED744F">
      <w:pPr>
        <w:pStyle w:val="Heading1"/>
        <w:jc w:val="both"/>
        <w:rPr>
          <w:rFonts w:cs="Times New Roman"/>
          <w:szCs w:val="20"/>
          <w:lang w:val="en"/>
        </w:rPr>
      </w:pPr>
      <w:bookmarkStart w:id="12" w:name="_Toc8388758"/>
      <w:r w:rsidRPr="00937B31">
        <w:rPr>
          <w:rFonts w:cs="Times New Roman"/>
          <w:szCs w:val="20"/>
          <w:lang w:val="en"/>
        </w:rPr>
        <w:t>Appendix A</w:t>
      </w:r>
      <w:r w:rsidR="00EB62B5" w:rsidRPr="00937B31">
        <w:rPr>
          <w:rFonts w:cs="Times New Roman"/>
          <w:szCs w:val="20"/>
          <w:lang w:val="en"/>
        </w:rPr>
        <w:t xml:space="preserve"> – Best Practice Development</w:t>
      </w:r>
      <w:bookmarkEnd w:id="12"/>
    </w:p>
    <w:p w14:paraId="217CDFC3" w14:textId="77777777" w:rsidR="00FA31AE" w:rsidRPr="00937B31" w:rsidRDefault="006E10C2" w:rsidP="00ED744F">
      <w:pPr>
        <w:jc w:val="both"/>
        <w:rPr>
          <w:rFonts w:ascii="Times New Roman" w:hAnsi="Times New Roman" w:cs="Times New Roman"/>
          <w:sz w:val="20"/>
          <w:szCs w:val="20"/>
        </w:rPr>
      </w:pPr>
      <w:r w:rsidRPr="00937B31">
        <w:rPr>
          <w:rFonts w:ascii="Times New Roman" w:hAnsi="Times New Roman" w:cs="Times New Roman"/>
          <w:sz w:val="20"/>
          <w:szCs w:val="20"/>
        </w:rPr>
        <w:t>Best-</w:t>
      </w:r>
      <w:r w:rsidR="00FA31AE" w:rsidRPr="00937B31">
        <w:rPr>
          <w:rFonts w:ascii="Times New Roman" w:hAnsi="Times New Roman" w:cs="Times New Roman"/>
          <w:sz w:val="20"/>
          <w:szCs w:val="20"/>
        </w:rPr>
        <w:t>practices development is a method for reviewing public policy processes that have been effective in addressing particular issues and could be applied to a current problem. This process relies on the assumptions that top performance is a result of good practices and these practices may be adapted and emulated by others to improve results</w:t>
      </w:r>
      <w:r w:rsidR="00FA31AE" w:rsidRPr="00937B31">
        <w:rPr>
          <w:rStyle w:val="FootnoteReference"/>
          <w:rFonts w:ascii="Times New Roman" w:hAnsi="Times New Roman" w:cs="Times New Roman"/>
          <w:sz w:val="20"/>
          <w:szCs w:val="20"/>
        </w:rPr>
        <w:footnoteReference w:id="9"/>
      </w:r>
      <w:r w:rsidR="00FA31AE" w:rsidRPr="00937B31">
        <w:rPr>
          <w:rFonts w:ascii="Times New Roman" w:hAnsi="Times New Roman" w:cs="Times New Roman"/>
          <w:sz w:val="20"/>
          <w:szCs w:val="20"/>
        </w:rPr>
        <w:t xml:space="preserve">. </w:t>
      </w:r>
    </w:p>
    <w:p w14:paraId="4EA10891" w14:textId="3D079CFA" w:rsidR="00FA31AE" w:rsidRPr="00937B31" w:rsidRDefault="00FA31AE" w:rsidP="00ED744F">
      <w:pPr>
        <w:jc w:val="both"/>
        <w:rPr>
          <w:rFonts w:ascii="Times New Roman" w:hAnsi="Times New Roman" w:cs="Times New Roman"/>
          <w:sz w:val="20"/>
          <w:szCs w:val="20"/>
        </w:rPr>
      </w:pPr>
      <w:r w:rsidRPr="00937B31">
        <w:rPr>
          <w:rFonts w:ascii="Times New Roman" w:hAnsi="Times New Roman" w:cs="Times New Roman"/>
          <w:sz w:val="20"/>
          <w:szCs w:val="20"/>
        </w:rPr>
        <w:t>The term “best practice” can be a misleading one due to the slippery nature of the word “best”. When proceeding with policy research of this kind, it may be more helpful to frame the project as a way of identifying practices or processes that have worked exceptionally well and the underlying reasons for their success. This allows for a mix-and-match approach for making recommendations that might encompass pieces of many good practices</w:t>
      </w:r>
      <w:r w:rsidRPr="00937B31">
        <w:rPr>
          <w:rStyle w:val="FootnoteReference"/>
          <w:rFonts w:ascii="Times New Roman" w:hAnsi="Times New Roman" w:cs="Times New Roman"/>
          <w:sz w:val="20"/>
          <w:szCs w:val="20"/>
        </w:rPr>
        <w:footnoteReference w:id="10"/>
      </w:r>
      <w:r w:rsidRPr="00937B31">
        <w:rPr>
          <w:rFonts w:ascii="Times New Roman" w:hAnsi="Times New Roman" w:cs="Times New Roman"/>
          <w:sz w:val="20"/>
          <w:szCs w:val="20"/>
        </w:rPr>
        <w:t>.</w:t>
      </w:r>
    </w:p>
    <w:p w14:paraId="12D27C85" w14:textId="77777777" w:rsidR="00FA31AE" w:rsidRPr="00937B31" w:rsidRDefault="00FA31AE" w:rsidP="00ED744F">
      <w:pPr>
        <w:jc w:val="both"/>
        <w:rPr>
          <w:rFonts w:ascii="Times New Roman" w:hAnsi="Times New Roman" w:cs="Times New Roman"/>
          <w:sz w:val="20"/>
          <w:szCs w:val="20"/>
        </w:rPr>
      </w:pPr>
      <w:r w:rsidRPr="00937B31">
        <w:rPr>
          <w:rFonts w:ascii="Times New Roman" w:hAnsi="Times New Roman" w:cs="Times New Roman"/>
          <w:sz w:val="20"/>
          <w:szCs w:val="20"/>
        </w:rPr>
        <w:t>Researchers have found that successful best</w:t>
      </w:r>
      <w:r w:rsidR="00DE52AB" w:rsidRPr="00937B31">
        <w:rPr>
          <w:rFonts w:ascii="Times New Roman" w:hAnsi="Times New Roman" w:cs="Times New Roman"/>
          <w:sz w:val="20"/>
          <w:szCs w:val="20"/>
        </w:rPr>
        <w:t>-</w:t>
      </w:r>
      <w:r w:rsidRPr="00937B31">
        <w:rPr>
          <w:rFonts w:ascii="Times New Roman" w:hAnsi="Times New Roman" w:cs="Times New Roman"/>
          <w:sz w:val="20"/>
          <w:szCs w:val="20"/>
        </w:rPr>
        <w:t>practice analysis projects share five common phases:</w:t>
      </w:r>
    </w:p>
    <w:p w14:paraId="2FFFA5A0" w14:textId="77777777" w:rsidR="00FA31AE" w:rsidRPr="00937B31" w:rsidRDefault="00FA31AE" w:rsidP="00ED744F">
      <w:pPr>
        <w:pStyle w:val="Heading2"/>
        <w:jc w:val="both"/>
        <w:rPr>
          <w:rFonts w:cs="Times New Roman"/>
        </w:rPr>
      </w:pPr>
      <w:r w:rsidRPr="00937B31">
        <w:rPr>
          <w:rFonts w:cs="Times New Roman"/>
        </w:rPr>
        <w:t>Scope</w:t>
      </w:r>
    </w:p>
    <w:p w14:paraId="7D81C483" w14:textId="77777777" w:rsidR="00FA31AE" w:rsidRPr="00937B31" w:rsidRDefault="00FA31AE" w:rsidP="00ED744F">
      <w:pPr>
        <w:ind w:left="360"/>
        <w:jc w:val="both"/>
        <w:rPr>
          <w:rFonts w:ascii="Times New Roman" w:hAnsi="Times New Roman" w:cs="Times New Roman"/>
          <w:sz w:val="20"/>
          <w:szCs w:val="20"/>
        </w:rPr>
      </w:pPr>
      <w:r w:rsidRPr="00937B31">
        <w:rPr>
          <w:rFonts w:ascii="Times New Roman" w:hAnsi="Times New Roman" w:cs="Times New Roman"/>
          <w:sz w:val="20"/>
          <w:szCs w:val="20"/>
        </w:rPr>
        <w:t>The focus of an effective analysis is narrow, precise</w:t>
      </w:r>
      <w:r w:rsidR="00F83418" w:rsidRPr="00937B31">
        <w:rPr>
          <w:rFonts w:ascii="Times New Roman" w:hAnsi="Times New Roman" w:cs="Times New Roman"/>
          <w:sz w:val="20"/>
          <w:szCs w:val="20"/>
        </w:rPr>
        <w:t xml:space="preserve"> and</w:t>
      </w:r>
      <w:r w:rsidRPr="00937B31">
        <w:rPr>
          <w:rFonts w:ascii="Times New Roman" w:hAnsi="Times New Roman" w:cs="Times New Roman"/>
          <w:sz w:val="20"/>
          <w:szCs w:val="20"/>
        </w:rPr>
        <w:t xml:space="preserve"> clearly articulated to stakeholders. A project with a broader focus becomes unwieldy and impractical. Furthermore, Bardach urges the importance of realistic expectations in order to avoid improperly attributing results to a best practice without taking into account internal validity problems. </w:t>
      </w:r>
    </w:p>
    <w:p w14:paraId="765CCA2D" w14:textId="77777777" w:rsidR="00FA31AE" w:rsidRPr="00937B31" w:rsidRDefault="00FA31AE" w:rsidP="00ED744F">
      <w:pPr>
        <w:pStyle w:val="Heading2"/>
        <w:jc w:val="both"/>
        <w:rPr>
          <w:rFonts w:cs="Times New Roman"/>
          <w:szCs w:val="20"/>
        </w:rPr>
      </w:pPr>
      <w:r w:rsidRPr="00937B31">
        <w:rPr>
          <w:rFonts w:cs="Times New Roman"/>
          <w:szCs w:val="20"/>
        </w:rPr>
        <w:t>Identify Top Performers</w:t>
      </w:r>
    </w:p>
    <w:p w14:paraId="60C51276" w14:textId="77777777" w:rsidR="00FA31AE" w:rsidRPr="00937B31" w:rsidRDefault="00FA31AE" w:rsidP="00ED744F">
      <w:pPr>
        <w:ind w:left="360"/>
        <w:jc w:val="both"/>
        <w:rPr>
          <w:rFonts w:ascii="Times New Roman" w:hAnsi="Times New Roman" w:cs="Times New Roman"/>
          <w:sz w:val="20"/>
          <w:szCs w:val="20"/>
        </w:rPr>
      </w:pPr>
      <w:r w:rsidRPr="00937B31">
        <w:rPr>
          <w:rFonts w:ascii="Times New Roman" w:hAnsi="Times New Roman" w:cs="Times New Roman"/>
          <w:sz w:val="20"/>
          <w:szCs w:val="20"/>
        </w:rPr>
        <w:t>Identify outstanding performers in this area to partner with and learn from. In this phase, it is key to recall that a best practice is a tangible behavior or process designed to solve a problem or achieve a goal (i.e. reviewing predictive models contributes to insurance rates that are not unfairly discriminatory). Therefore, top performers are those who are particularly effective at solving a specific problem or regularly achieve desired results in the area of focus.</w:t>
      </w:r>
    </w:p>
    <w:p w14:paraId="03622B49" w14:textId="77777777" w:rsidR="00FA31AE" w:rsidRPr="00937B31" w:rsidRDefault="00FA31AE" w:rsidP="00ED744F">
      <w:pPr>
        <w:pStyle w:val="Heading2"/>
        <w:jc w:val="both"/>
        <w:rPr>
          <w:rFonts w:cs="Times New Roman"/>
          <w:szCs w:val="20"/>
        </w:rPr>
      </w:pPr>
      <w:r w:rsidRPr="00937B31">
        <w:rPr>
          <w:rFonts w:cs="Times New Roman"/>
          <w:szCs w:val="20"/>
        </w:rPr>
        <w:t>Analyze Best Practices</w:t>
      </w:r>
    </w:p>
    <w:p w14:paraId="68235101" w14:textId="77777777" w:rsidR="00FA31AE" w:rsidRPr="00937B31" w:rsidRDefault="00FA31AE" w:rsidP="00ED744F">
      <w:pPr>
        <w:ind w:left="360"/>
        <w:jc w:val="both"/>
        <w:rPr>
          <w:rFonts w:ascii="Times New Roman" w:hAnsi="Times New Roman" w:cs="Times New Roman"/>
          <w:sz w:val="20"/>
          <w:szCs w:val="20"/>
        </w:rPr>
      </w:pPr>
      <w:r w:rsidRPr="00937B31">
        <w:rPr>
          <w:rFonts w:ascii="Times New Roman" w:hAnsi="Times New Roman" w:cs="Times New Roman"/>
          <w:sz w:val="20"/>
          <w:szCs w:val="20"/>
        </w:rPr>
        <w:t>Once successful practices are identified, analysts will begin to observe, gather information</w:t>
      </w:r>
      <w:r w:rsidR="00F83418" w:rsidRPr="00937B31">
        <w:rPr>
          <w:rFonts w:ascii="Times New Roman" w:hAnsi="Times New Roman" w:cs="Times New Roman"/>
          <w:sz w:val="20"/>
          <w:szCs w:val="20"/>
        </w:rPr>
        <w:t xml:space="preserve"> and</w:t>
      </w:r>
      <w:r w:rsidRPr="00937B31">
        <w:rPr>
          <w:rFonts w:ascii="Times New Roman" w:hAnsi="Times New Roman" w:cs="Times New Roman"/>
          <w:sz w:val="20"/>
          <w:szCs w:val="20"/>
        </w:rPr>
        <w:t xml:space="preserve"> identify the distinctive elements that contribute to their superior performance. Bardach suggests it is important at this stage to distill the successful elements of the process down to their most essential idea. This allows for flexibility once the practice is adapted for a new organization or location.</w:t>
      </w:r>
    </w:p>
    <w:p w14:paraId="2DE78A20" w14:textId="77777777" w:rsidR="00FA31AE" w:rsidRPr="00937B31" w:rsidRDefault="00FA31AE" w:rsidP="00ED744F">
      <w:pPr>
        <w:pStyle w:val="Heading2"/>
        <w:jc w:val="both"/>
        <w:rPr>
          <w:rFonts w:cs="Times New Roman"/>
          <w:szCs w:val="20"/>
        </w:rPr>
      </w:pPr>
      <w:r w:rsidRPr="00937B31">
        <w:rPr>
          <w:rFonts w:cs="Times New Roman"/>
          <w:szCs w:val="20"/>
        </w:rPr>
        <w:t>Adapt</w:t>
      </w:r>
    </w:p>
    <w:p w14:paraId="26AAC3A5" w14:textId="77777777" w:rsidR="00FA31AE" w:rsidRPr="00937B31" w:rsidRDefault="00FA31AE" w:rsidP="00ED744F">
      <w:pPr>
        <w:ind w:left="360"/>
        <w:jc w:val="both"/>
        <w:rPr>
          <w:rFonts w:ascii="Times New Roman" w:hAnsi="Times New Roman" w:cs="Times New Roman"/>
          <w:sz w:val="20"/>
          <w:szCs w:val="20"/>
        </w:rPr>
      </w:pPr>
      <w:r w:rsidRPr="00937B31">
        <w:rPr>
          <w:rFonts w:ascii="Times New Roman" w:hAnsi="Times New Roman" w:cs="Times New Roman"/>
          <w:sz w:val="20"/>
          <w:szCs w:val="20"/>
        </w:rPr>
        <w:t>Analyze and adapt the core elements of the practice for application in a new environment. This may require changing some aspects to account for organizational or environmental differences while retaining the foundational concept or idea. This is also the time to identify potential vulnerabilities of the new practice and build in safeguards to minimize risk.</w:t>
      </w:r>
    </w:p>
    <w:p w14:paraId="00205881" w14:textId="77777777" w:rsidR="00FA31AE" w:rsidRPr="00937B31" w:rsidRDefault="00FA31AE" w:rsidP="00ED744F">
      <w:pPr>
        <w:pStyle w:val="Heading2"/>
        <w:jc w:val="both"/>
        <w:rPr>
          <w:rFonts w:cs="Times New Roman"/>
          <w:szCs w:val="20"/>
        </w:rPr>
      </w:pPr>
      <w:r w:rsidRPr="00937B31">
        <w:rPr>
          <w:rFonts w:cs="Times New Roman"/>
          <w:szCs w:val="20"/>
        </w:rPr>
        <w:t>Implementation and evaluation</w:t>
      </w:r>
    </w:p>
    <w:p w14:paraId="73EFEBE1" w14:textId="77777777" w:rsidR="00984D76" w:rsidRPr="00937B31" w:rsidRDefault="00FA31AE" w:rsidP="00ED744F">
      <w:pPr>
        <w:ind w:left="360"/>
        <w:jc w:val="both"/>
        <w:rPr>
          <w:rFonts w:ascii="Times New Roman" w:hAnsi="Times New Roman" w:cs="Times New Roman"/>
          <w:sz w:val="20"/>
          <w:szCs w:val="20"/>
        </w:rPr>
      </w:pPr>
      <w:r w:rsidRPr="00937B31">
        <w:rPr>
          <w:rFonts w:ascii="Times New Roman" w:hAnsi="Times New Roman" w:cs="Times New Roman"/>
          <w:sz w:val="20"/>
          <w:szCs w:val="20"/>
        </w:rPr>
        <w:t>The final step is to implement the new process and carefully monitor the results. It may be necessary to make adjustments, so it is likely prudent to allow time and resources for this. Once implementation is complete, continued evaluation is important to ensure the practice remains effective.</w:t>
      </w:r>
    </w:p>
    <w:p w14:paraId="56391E95" w14:textId="77777777" w:rsidR="00984D76" w:rsidRPr="00937B31" w:rsidRDefault="00984D76" w:rsidP="00ED744F">
      <w:pPr>
        <w:jc w:val="both"/>
        <w:rPr>
          <w:rFonts w:ascii="Times New Roman" w:hAnsi="Times New Roman" w:cs="Times New Roman"/>
          <w:sz w:val="20"/>
          <w:szCs w:val="20"/>
        </w:rPr>
      </w:pPr>
      <w:r w:rsidRPr="00937B31">
        <w:rPr>
          <w:rFonts w:ascii="Times New Roman" w:hAnsi="Times New Roman" w:cs="Times New Roman"/>
          <w:sz w:val="20"/>
          <w:szCs w:val="20"/>
        </w:rPr>
        <w:br w:type="page"/>
      </w:r>
    </w:p>
    <w:p w14:paraId="68572E7E" w14:textId="1BA9DACE" w:rsidR="00984D76" w:rsidRPr="00937B31" w:rsidRDefault="00984D76" w:rsidP="00ED744F">
      <w:pPr>
        <w:pStyle w:val="Heading1"/>
        <w:jc w:val="both"/>
        <w:rPr>
          <w:rFonts w:cs="Times New Roman"/>
          <w:szCs w:val="20"/>
          <w:lang w:val="en"/>
        </w:rPr>
      </w:pPr>
      <w:bookmarkStart w:id="13" w:name="_Toc8388759"/>
      <w:r w:rsidRPr="00937B31">
        <w:rPr>
          <w:rFonts w:cs="Times New Roman"/>
          <w:szCs w:val="20"/>
          <w:lang w:val="en"/>
        </w:rPr>
        <w:t>Appendix B - - Glossary of Terms</w:t>
      </w:r>
      <w:bookmarkEnd w:id="13"/>
    </w:p>
    <w:p w14:paraId="44CFA059" w14:textId="77777777" w:rsidR="00FF4ADC" w:rsidRDefault="00FF4ADC" w:rsidP="00FF4ADC">
      <w:pPr>
        <w:jc w:val="both"/>
        <w:rPr>
          <w:rFonts w:ascii="Times New Roman" w:hAnsi="Times New Roman" w:cs="Times New Roman"/>
          <w:sz w:val="20"/>
          <w:szCs w:val="20"/>
        </w:rPr>
      </w:pPr>
      <w:r>
        <w:rPr>
          <w:rFonts w:ascii="Times New Roman" w:hAnsi="Times New Roman" w:cs="Times New Roman"/>
          <w:sz w:val="20"/>
          <w:szCs w:val="20"/>
        </w:rPr>
        <w:t>A</w:t>
      </w:r>
      <w:r w:rsidRPr="00615374">
        <w:rPr>
          <w:rFonts w:ascii="Times New Roman" w:hAnsi="Times New Roman" w:cs="Times New Roman"/>
          <w:sz w:val="20"/>
          <w:szCs w:val="20"/>
        </w:rPr>
        <w:t xml:space="preserve">djusting </w:t>
      </w:r>
      <w:r>
        <w:rPr>
          <w:rFonts w:ascii="Times New Roman" w:hAnsi="Times New Roman" w:cs="Times New Roman"/>
          <w:sz w:val="20"/>
          <w:szCs w:val="20"/>
        </w:rPr>
        <w:t>D</w:t>
      </w:r>
      <w:r w:rsidRPr="00615374">
        <w:rPr>
          <w:rFonts w:ascii="Times New Roman" w:hAnsi="Times New Roman" w:cs="Times New Roman"/>
          <w:sz w:val="20"/>
          <w:szCs w:val="20"/>
        </w:rPr>
        <w:t>ata</w:t>
      </w:r>
      <w:r>
        <w:rPr>
          <w:rFonts w:ascii="Times New Roman" w:hAnsi="Times New Roman" w:cs="Times New Roman"/>
          <w:sz w:val="20"/>
          <w:szCs w:val="20"/>
        </w:rPr>
        <w:t xml:space="preserve"> - TBD</w:t>
      </w:r>
    </w:p>
    <w:p w14:paraId="416F7483" w14:textId="34948CAB" w:rsidR="00FF4ADC" w:rsidRPr="00937B31" w:rsidRDefault="00FF4ADC" w:rsidP="00FF4ADC">
      <w:pPr>
        <w:jc w:val="both"/>
        <w:rPr>
          <w:rFonts w:ascii="Times New Roman" w:hAnsi="Times New Roman" w:cs="Times New Roman"/>
          <w:sz w:val="20"/>
          <w:szCs w:val="20"/>
          <w:lang w:val="en"/>
        </w:rPr>
      </w:pPr>
      <w:r>
        <w:rPr>
          <w:rFonts w:ascii="Times New Roman" w:hAnsi="Times New Roman" w:cs="Times New Roman"/>
          <w:sz w:val="20"/>
          <w:szCs w:val="20"/>
          <w:lang w:val="en"/>
        </w:rPr>
        <w:t>C</w:t>
      </w:r>
      <w:r w:rsidRPr="00937B31">
        <w:rPr>
          <w:rFonts w:ascii="Times New Roman" w:hAnsi="Times New Roman" w:cs="Times New Roman"/>
          <w:sz w:val="20"/>
          <w:szCs w:val="20"/>
          <w:lang w:val="en"/>
        </w:rPr>
        <w:t xml:space="preserve">ontrol </w:t>
      </w:r>
      <w:r>
        <w:rPr>
          <w:rFonts w:ascii="Times New Roman" w:hAnsi="Times New Roman" w:cs="Times New Roman"/>
          <w:sz w:val="20"/>
          <w:szCs w:val="20"/>
          <w:lang w:val="en"/>
        </w:rPr>
        <w:t>F</w:t>
      </w:r>
      <w:r w:rsidRPr="00937B31">
        <w:rPr>
          <w:rFonts w:ascii="Times New Roman" w:hAnsi="Times New Roman" w:cs="Times New Roman"/>
          <w:sz w:val="20"/>
          <w:szCs w:val="20"/>
          <w:lang w:val="en"/>
        </w:rPr>
        <w:t>actor</w:t>
      </w:r>
      <w:r>
        <w:rPr>
          <w:rFonts w:ascii="Times New Roman" w:hAnsi="Times New Roman" w:cs="Times New Roman"/>
          <w:sz w:val="20"/>
          <w:szCs w:val="20"/>
          <w:lang w:val="en"/>
        </w:rPr>
        <w:t xml:space="preserve"> - TBD</w:t>
      </w:r>
    </w:p>
    <w:p w14:paraId="223E2E64" w14:textId="77777777" w:rsidR="00FF4ADC" w:rsidRPr="00615374" w:rsidRDefault="00FF4ADC" w:rsidP="00FF4ADC">
      <w:pPr>
        <w:jc w:val="both"/>
        <w:rPr>
          <w:rFonts w:ascii="Times New Roman" w:hAnsi="Times New Roman" w:cs="Times New Roman"/>
          <w:sz w:val="20"/>
          <w:szCs w:val="20"/>
        </w:rPr>
      </w:pPr>
      <w:r>
        <w:rPr>
          <w:rFonts w:ascii="Times New Roman" w:hAnsi="Times New Roman" w:cs="Times New Roman"/>
          <w:sz w:val="20"/>
          <w:szCs w:val="20"/>
        </w:rPr>
        <w:t>D</w:t>
      </w:r>
      <w:r w:rsidRPr="00615374">
        <w:rPr>
          <w:rFonts w:ascii="Times New Roman" w:hAnsi="Times New Roman" w:cs="Times New Roman"/>
          <w:sz w:val="20"/>
          <w:szCs w:val="20"/>
        </w:rPr>
        <w:t>ata source</w:t>
      </w:r>
      <w:r>
        <w:rPr>
          <w:rFonts w:ascii="Times New Roman" w:hAnsi="Times New Roman" w:cs="Times New Roman"/>
          <w:sz w:val="20"/>
          <w:szCs w:val="20"/>
        </w:rPr>
        <w:t xml:space="preserve"> - TBD</w:t>
      </w:r>
    </w:p>
    <w:p w14:paraId="2A3C6AB5" w14:textId="77777777" w:rsidR="00FF4ADC" w:rsidRPr="00615374" w:rsidRDefault="00FF4ADC" w:rsidP="00FF4ADC">
      <w:pPr>
        <w:jc w:val="both"/>
        <w:rPr>
          <w:rFonts w:ascii="Times New Roman" w:hAnsi="Times New Roman" w:cs="Times New Roman"/>
          <w:sz w:val="20"/>
          <w:szCs w:val="20"/>
        </w:rPr>
      </w:pPr>
      <w:r>
        <w:rPr>
          <w:rFonts w:ascii="Times New Roman" w:hAnsi="Times New Roman" w:cs="Times New Roman"/>
          <w:sz w:val="20"/>
          <w:szCs w:val="20"/>
        </w:rPr>
        <w:t>D</w:t>
      </w:r>
      <w:r w:rsidRPr="00615374">
        <w:rPr>
          <w:rFonts w:ascii="Times New Roman" w:hAnsi="Times New Roman" w:cs="Times New Roman"/>
          <w:sz w:val="20"/>
          <w:szCs w:val="20"/>
        </w:rPr>
        <w:t>ouble-lift chart</w:t>
      </w:r>
      <w:r>
        <w:rPr>
          <w:rFonts w:ascii="Times New Roman" w:hAnsi="Times New Roman" w:cs="Times New Roman"/>
          <w:sz w:val="20"/>
          <w:szCs w:val="20"/>
        </w:rPr>
        <w:t xml:space="preserve"> - TBD</w:t>
      </w:r>
    </w:p>
    <w:p w14:paraId="13AC8CE0" w14:textId="77777777" w:rsidR="00FF4ADC" w:rsidRPr="00937B31" w:rsidRDefault="00FF4ADC" w:rsidP="00FF4ADC">
      <w:pPr>
        <w:jc w:val="both"/>
        <w:rPr>
          <w:rFonts w:ascii="Times New Roman" w:hAnsi="Times New Roman" w:cs="Times New Roman"/>
          <w:sz w:val="20"/>
          <w:szCs w:val="20"/>
        </w:rPr>
      </w:pPr>
      <w:r w:rsidRPr="00937B31">
        <w:rPr>
          <w:rFonts w:ascii="Times New Roman" w:hAnsi="Times New Roman" w:cs="Times New Roman"/>
          <w:sz w:val="20"/>
          <w:szCs w:val="20"/>
        </w:rPr>
        <w:t>Exponential Family - TBD</w:t>
      </w:r>
    </w:p>
    <w:p w14:paraId="7F86E96B" w14:textId="77777777" w:rsidR="00FF4ADC" w:rsidRPr="00937B31" w:rsidRDefault="00FF4ADC" w:rsidP="00FF4ADC">
      <w:pPr>
        <w:jc w:val="both"/>
        <w:rPr>
          <w:rFonts w:ascii="Times New Roman" w:hAnsi="Times New Roman" w:cs="Times New Roman"/>
          <w:sz w:val="20"/>
          <w:szCs w:val="20"/>
        </w:rPr>
      </w:pPr>
      <w:r w:rsidRPr="00937B31">
        <w:rPr>
          <w:rFonts w:ascii="Times New Roman" w:hAnsi="Times New Roman" w:cs="Times New Roman"/>
          <w:sz w:val="20"/>
          <w:szCs w:val="20"/>
        </w:rPr>
        <w:t>Fair Credit Reporting Act – The Fair Credit Reporting Act (FCRA), 15 U.S.C. § 1681 (FCRA) is U.S. Federal Government legislation enacted to promote the accuracy, fairness and privacy of consumer information contained in the files of consumer reporting agencies. It was intended to protect consumers from the willful and/or negligent inclusion of inaccurate information in their credit reports. To that end, the FCRA regulates the collection, dissemination and use of consumer information, including consumer credit information.</w:t>
      </w:r>
      <w:r w:rsidRPr="00937B31">
        <w:rPr>
          <w:rStyle w:val="FootnoteReference"/>
          <w:rFonts w:ascii="Times New Roman" w:hAnsi="Times New Roman" w:cs="Times New Roman"/>
          <w:sz w:val="20"/>
          <w:szCs w:val="20"/>
        </w:rPr>
        <w:footnoteReference w:id="11"/>
      </w:r>
      <w:r w:rsidRPr="00937B31">
        <w:rPr>
          <w:rFonts w:ascii="Times New Roman" w:hAnsi="Times New Roman" w:cs="Times New Roman"/>
          <w:sz w:val="20"/>
          <w:szCs w:val="20"/>
        </w:rPr>
        <w:t xml:space="preserve"> Together with the Fair Debt Collection Practices Act (FDCPA), the FCRA forms the foundation of consumer rights law in the United States. It was originally passed in 1970 and is enforced by the US Federal Trade Commission, the Consumer Financial Protection Bureau and private litigants.</w:t>
      </w:r>
    </w:p>
    <w:p w14:paraId="2DF5997E" w14:textId="77777777" w:rsidR="00FF4ADC" w:rsidRPr="00937B31" w:rsidRDefault="00FF4ADC" w:rsidP="00FF4ADC">
      <w:pPr>
        <w:jc w:val="both"/>
        <w:rPr>
          <w:rFonts w:ascii="Times New Roman" w:hAnsi="Times New Roman" w:cs="Times New Roman"/>
          <w:sz w:val="20"/>
          <w:szCs w:val="20"/>
        </w:rPr>
      </w:pPr>
      <w:r w:rsidRPr="00937B31">
        <w:rPr>
          <w:rFonts w:ascii="Times New Roman" w:hAnsi="Times New Roman" w:cs="Times New Roman"/>
          <w:sz w:val="20"/>
          <w:szCs w:val="20"/>
        </w:rPr>
        <w:t>Generalized Linear Model - TBD</w:t>
      </w:r>
    </w:p>
    <w:p w14:paraId="3EF6B314" w14:textId="77777777" w:rsidR="00FF4ADC" w:rsidRPr="00937B31" w:rsidRDefault="00FF4ADC" w:rsidP="00FF4ADC">
      <w:pPr>
        <w:jc w:val="both"/>
        <w:rPr>
          <w:rFonts w:ascii="Times New Roman" w:hAnsi="Times New Roman" w:cs="Times New Roman"/>
          <w:sz w:val="20"/>
          <w:szCs w:val="20"/>
        </w:rPr>
      </w:pPr>
      <w:r w:rsidRPr="00937B31">
        <w:rPr>
          <w:rFonts w:ascii="Times New Roman" w:hAnsi="Times New Roman" w:cs="Times New Roman"/>
          <w:sz w:val="20"/>
          <w:szCs w:val="20"/>
        </w:rPr>
        <w:t xml:space="preserve">Geodemographic - Geodemographic segmentation (or analysis) is a multivariate statistical classification technique for discovering whether the individuals of a population fall into different groups by making quantitative comparisons of multiple characteristics with the assumption that the differences within any group should be less than the differences between groups. Geodemographic segmentation is based on two principles: </w:t>
      </w:r>
    </w:p>
    <w:p w14:paraId="156FA7FA" w14:textId="11877822" w:rsidR="00FF4ADC" w:rsidRPr="00937B31" w:rsidRDefault="00FF4ADC" w:rsidP="00FF4ADC">
      <w:pPr>
        <w:jc w:val="both"/>
        <w:rPr>
          <w:rFonts w:ascii="Times New Roman" w:hAnsi="Times New Roman" w:cs="Times New Roman"/>
          <w:sz w:val="20"/>
          <w:szCs w:val="20"/>
        </w:rPr>
      </w:pPr>
      <w:r w:rsidRPr="00937B31">
        <w:rPr>
          <w:rFonts w:ascii="Times New Roman" w:hAnsi="Times New Roman" w:cs="Times New Roman"/>
          <w:sz w:val="20"/>
          <w:szCs w:val="20"/>
        </w:rPr>
        <w:t>Home Insurance – TBD</w:t>
      </w:r>
    </w:p>
    <w:p w14:paraId="03B6450F" w14:textId="610ECE0A" w:rsidR="00FF4ADC" w:rsidRPr="00615374" w:rsidRDefault="00FF4ADC" w:rsidP="00FF4ADC">
      <w:pPr>
        <w:jc w:val="both"/>
        <w:rPr>
          <w:rFonts w:ascii="Times New Roman" w:hAnsi="Times New Roman" w:cs="Times New Roman"/>
          <w:sz w:val="20"/>
          <w:szCs w:val="20"/>
        </w:rPr>
      </w:pPr>
      <w:r>
        <w:rPr>
          <w:rFonts w:ascii="Times New Roman" w:hAnsi="Times New Roman" w:cs="Times New Roman"/>
          <w:sz w:val="20"/>
          <w:szCs w:val="20"/>
        </w:rPr>
        <w:t>I</w:t>
      </w:r>
      <w:r w:rsidRPr="00615374">
        <w:rPr>
          <w:rFonts w:ascii="Times New Roman" w:hAnsi="Times New Roman" w:cs="Times New Roman"/>
          <w:sz w:val="20"/>
          <w:szCs w:val="20"/>
        </w:rPr>
        <w:t xml:space="preserve">nsurance </w:t>
      </w:r>
      <w:r>
        <w:rPr>
          <w:rFonts w:ascii="Times New Roman" w:hAnsi="Times New Roman" w:cs="Times New Roman"/>
          <w:sz w:val="20"/>
          <w:szCs w:val="20"/>
        </w:rPr>
        <w:t>D</w:t>
      </w:r>
      <w:r w:rsidRPr="00615374">
        <w:rPr>
          <w:rFonts w:ascii="Times New Roman" w:hAnsi="Times New Roman" w:cs="Times New Roman"/>
          <w:sz w:val="20"/>
          <w:szCs w:val="20"/>
        </w:rPr>
        <w:t>ata</w:t>
      </w:r>
      <w:r>
        <w:rPr>
          <w:rFonts w:ascii="Times New Roman" w:hAnsi="Times New Roman" w:cs="Times New Roman"/>
          <w:sz w:val="20"/>
          <w:szCs w:val="20"/>
        </w:rPr>
        <w:t xml:space="preserve"> - TBD</w:t>
      </w:r>
    </w:p>
    <w:p w14:paraId="799399A4" w14:textId="77777777" w:rsidR="00FF4ADC" w:rsidRPr="00937B31" w:rsidRDefault="00FF4ADC" w:rsidP="00FF4ADC">
      <w:pPr>
        <w:jc w:val="both"/>
        <w:rPr>
          <w:rFonts w:ascii="Times New Roman" w:hAnsi="Times New Roman" w:cs="Times New Roman"/>
          <w:sz w:val="20"/>
          <w:szCs w:val="20"/>
        </w:rPr>
      </w:pPr>
      <w:r w:rsidRPr="00937B31">
        <w:rPr>
          <w:rFonts w:ascii="Times New Roman" w:hAnsi="Times New Roman" w:cs="Times New Roman"/>
          <w:sz w:val="20"/>
          <w:szCs w:val="20"/>
        </w:rPr>
        <w:t>Linear Predictor - TBD</w:t>
      </w:r>
    </w:p>
    <w:p w14:paraId="2E7A0EDB" w14:textId="77777777" w:rsidR="00FF4ADC" w:rsidRPr="00937B31" w:rsidRDefault="00FF4ADC" w:rsidP="00FF4ADC">
      <w:pPr>
        <w:jc w:val="both"/>
        <w:rPr>
          <w:rFonts w:ascii="Times New Roman" w:hAnsi="Times New Roman" w:cs="Times New Roman"/>
          <w:sz w:val="20"/>
          <w:szCs w:val="20"/>
        </w:rPr>
      </w:pPr>
      <w:r w:rsidRPr="00937B31">
        <w:rPr>
          <w:rFonts w:ascii="Times New Roman" w:hAnsi="Times New Roman" w:cs="Times New Roman"/>
          <w:sz w:val="20"/>
          <w:szCs w:val="20"/>
        </w:rPr>
        <w:t>Link Function - TBD</w:t>
      </w:r>
    </w:p>
    <w:p w14:paraId="69C5B377" w14:textId="34B0728F" w:rsidR="00FF4ADC" w:rsidRPr="00615374" w:rsidRDefault="00FF4ADC" w:rsidP="00FF4ADC">
      <w:pPr>
        <w:jc w:val="both"/>
        <w:rPr>
          <w:rFonts w:ascii="Times New Roman" w:hAnsi="Times New Roman" w:cs="Times New Roman"/>
          <w:sz w:val="20"/>
          <w:szCs w:val="20"/>
        </w:rPr>
      </w:pPr>
      <w:r>
        <w:rPr>
          <w:rFonts w:ascii="Times New Roman" w:hAnsi="Times New Roman" w:cs="Times New Roman"/>
          <w:sz w:val="20"/>
          <w:szCs w:val="20"/>
        </w:rPr>
        <w:t>N</w:t>
      </w:r>
      <w:r w:rsidRPr="00615374">
        <w:rPr>
          <w:rFonts w:ascii="Times New Roman" w:hAnsi="Times New Roman" w:cs="Times New Roman"/>
          <w:sz w:val="20"/>
          <w:szCs w:val="20"/>
        </w:rPr>
        <w:t>on-</w:t>
      </w:r>
      <w:r>
        <w:rPr>
          <w:rFonts w:ascii="Times New Roman" w:hAnsi="Times New Roman" w:cs="Times New Roman"/>
          <w:sz w:val="20"/>
          <w:szCs w:val="20"/>
        </w:rPr>
        <w:t>I</w:t>
      </w:r>
      <w:r w:rsidRPr="00615374">
        <w:rPr>
          <w:rFonts w:ascii="Times New Roman" w:hAnsi="Times New Roman" w:cs="Times New Roman"/>
          <w:sz w:val="20"/>
          <w:szCs w:val="20"/>
        </w:rPr>
        <w:t xml:space="preserve">nsurance </w:t>
      </w:r>
      <w:r>
        <w:rPr>
          <w:rFonts w:ascii="Times New Roman" w:hAnsi="Times New Roman" w:cs="Times New Roman"/>
          <w:sz w:val="20"/>
          <w:szCs w:val="20"/>
        </w:rPr>
        <w:t>D</w:t>
      </w:r>
      <w:r w:rsidRPr="00615374">
        <w:rPr>
          <w:rFonts w:ascii="Times New Roman" w:hAnsi="Times New Roman" w:cs="Times New Roman"/>
          <w:sz w:val="20"/>
          <w:szCs w:val="20"/>
        </w:rPr>
        <w:t>ata</w:t>
      </w:r>
      <w:r>
        <w:rPr>
          <w:rFonts w:ascii="Times New Roman" w:hAnsi="Times New Roman" w:cs="Times New Roman"/>
          <w:sz w:val="20"/>
          <w:szCs w:val="20"/>
        </w:rPr>
        <w:t xml:space="preserve"> - TBD</w:t>
      </w:r>
    </w:p>
    <w:p w14:paraId="73633654" w14:textId="4D2D677B" w:rsidR="00FF4ADC" w:rsidRDefault="00FF4ADC" w:rsidP="00FF4ADC">
      <w:pPr>
        <w:jc w:val="both"/>
        <w:rPr>
          <w:rFonts w:ascii="Times New Roman" w:hAnsi="Times New Roman" w:cs="Times New Roman"/>
          <w:sz w:val="20"/>
          <w:szCs w:val="20"/>
          <w:lang w:val="en"/>
        </w:rPr>
      </w:pPr>
      <w:r w:rsidRPr="00937B31">
        <w:rPr>
          <w:rFonts w:ascii="Times New Roman" w:hAnsi="Times New Roman" w:cs="Times New Roman"/>
          <w:sz w:val="20"/>
          <w:szCs w:val="20"/>
          <w:lang w:val="en"/>
        </w:rPr>
        <w:t xml:space="preserve">Offset </w:t>
      </w:r>
      <w:r>
        <w:rPr>
          <w:rFonts w:ascii="Times New Roman" w:hAnsi="Times New Roman" w:cs="Times New Roman"/>
          <w:sz w:val="20"/>
          <w:szCs w:val="20"/>
          <w:lang w:val="en"/>
        </w:rPr>
        <w:t>Factor</w:t>
      </w:r>
      <w:r>
        <w:rPr>
          <w:rFonts w:ascii="Times New Roman" w:hAnsi="Times New Roman" w:cs="Times New Roman"/>
          <w:sz w:val="20"/>
          <w:szCs w:val="20"/>
          <w:lang w:val="en"/>
        </w:rPr>
        <w:t>–</w:t>
      </w:r>
      <w:r w:rsidRPr="00937B31">
        <w:rPr>
          <w:rFonts w:ascii="Times New Roman" w:hAnsi="Times New Roman" w:cs="Times New Roman"/>
          <w:sz w:val="20"/>
          <w:szCs w:val="20"/>
          <w:lang w:val="en"/>
        </w:rPr>
        <w:t xml:space="preserve"> TBD</w:t>
      </w:r>
    </w:p>
    <w:p w14:paraId="69F9F0B3" w14:textId="77777777" w:rsidR="00FF4ADC" w:rsidRPr="00937B31" w:rsidRDefault="00FF4ADC" w:rsidP="00FF4ADC">
      <w:pPr>
        <w:jc w:val="both"/>
        <w:rPr>
          <w:rFonts w:ascii="Times New Roman" w:hAnsi="Times New Roman" w:cs="Times New Roman"/>
          <w:sz w:val="20"/>
          <w:szCs w:val="20"/>
        </w:rPr>
      </w:pPr>
      <w:r w:rsidRPr="00937B31">
        <w:rPr>
          <w:rFonts w:ascii="Times New Roman" w:hAnsi="Times New Roman" w:cs="Times New Roman"/>
          <w:sz w:val="20"/>
          <w:szCs w:val="20"/>
        </w:rPr>
        <w:t>Overfitting - TBD</w:t>
      </w:r>
    </w:p>
    <w:p w14:paraId="34940421" w14:textId="77777777" w:rsidR="00FF4ADC" w:rsidRPr="00937B31" w:rsidRDefault="00FF4ADC" w:rsidP="00FF4ADC">
      <w:pPr>
        <w:pStyle w:val="ListParagraph"/>
        <w:numPr>
          <w:ilvl w:val="0"/>
          <w:numId w:val="10"/>
        </w:numPr>
        <w:jc w:val="both"/>
        <w:rPr>
          <w:rFonts w:ascii="Times New Roman" w:hAnsi="Times New Roman" w:cs="Times New Roman"/>
          <w:sz w:val="20"/>
          <w:szCs w:val="20"/>
        </w:rPr>
      </w:pPr>
      <w:r w:rsidRPr="00937B31">
        <w:rPr>
          <w:rFonts w:ascii="Times New Roman" w:hAnsi="Times New Roman" w:cs="Times New Roman"/>
          <w:sz w:val="20"/>
          <w:szCs w:val="20"/>
        </w:rPr>
        <w:t>People who live in the same neighborhood are more likely to have similar characteristics than are two people chosen at random.</w:t>
      </w:r>
    </w:p>
    <w:p w14:paraId="2D6F3E8E" w14:textId="77777777" w:rsidR="00FF4ADC" w:rsidRPr="00937B31" w:rsidRDefault="00FF4ADC" w:rsidP="00FF4ADC">
      <w:pPr>
        <w:pStyle w:val="ListParagraph"/>
        <w:numPr>
          <w:ilvl w:val="0"/>
          <w:numId w:val="10"/>
        </w:numPr>
        <w:jc w:val="both"/>
        <w:rPr>
          <w:rFonts w:ascii="Times New Roman" w:hAnsi="Times New Roman" w:cs="Times New Roman"/>
          <w:sz w:val="20"/>
          <w:szCs w:val="20"/>
        </w:rPr>
      </w:pPr>
      <w:r w:rsidRPr="00937B31">
        <w:rPr>
          <w:rFonts w:ascii="Times New Roman" w:hAnsi="Times New Roman" w:cs="Times New Roman"/>
          <w:sz w:val="20"/>
          <w:szCs w:val="20"/>
        </w:rPr>
        <w:t>Neighborhoods can be categorized in terms of the characteristics of the population that they contain. Any two neighborhoods can be placed in the same category, i.e., they contain similar types of people, even though they are widely separated.</w:t>
      </w:r>
    </w:p>
    <w:p w14:paraId="1FB2AA12" w14:textId="4439B4C2" w:rsidR="00FF4ADC" w:rsidRPr="00937B31" w:rsidRDefault="00FF4ADC" w:rsidP="00FF4ADC">
      <w:pPr>
        <w:pStyle w:val="CommentText"/>
        <w:jc w:val="both"/>
        <w:rPr>
          <w:rFonts w:ascii="Times New Roman" w:hAnsi="Times New Roman" w:cs="Times New Roman"/>
        </w:rPr>
      </w:pPr>
      <w:r w:rsidRPr="00937B31">
        <w:rPr>
          <w:rFonts w:ascii="Times New Roman" w:eastAsia="Times New Roman" w:hAnsi="Times New Roman" w:cs="Times New Roman"/>
          <w:color w:val="000000"/>
        </w:rPr>
        <w:t xml:space="preserve">PCA </w:t>
      </w:r>
      <w:r>
        <w:rPr>
          <w:rFonts w:ascii="Times New Roman" w:eastAsia="Times New Roman" w:hAnsi="Times New Roman" w:cs="Times New Roman"/>
          <w:color w:val="000000"/>
        </w:rPr>
        <w:t>A</w:t>
      </w:r>
      <w:r w:rsidRPr="00937B31">
        <w:rPr>
          <w:rFonts w:ascii="Times New Roman" w:eastAsia="Times New Roman" w:hAnsi="Times New Roman" w:cs="Times New Roman"/>
          <w:color w:val="000000"/>
        </w:rPr>
        <w:t>pproach (Principal Component Analysis) –</w:t>
      </w:r>
      <w:r w:rsidRPr="00937B31">
        <w:rPr>
          <w:rFonts w:ascii="Times New Roman" w:hAnsi="Times New Roman" w:cs="Times New Roman"/>
        </w:rPr>
        <w:t>The method create</w:t>
      </w:r>
      <w:r>
        <w:rPr>
          <w:rFonts w:ascii="Times New Roman" w:hAnsi="Times New Roman" w:cs="Times New Roman"/>
        </w:rPr>
        <w:t>s</w:t>
      </w:r>
      <w:r w:rsidRPr="00937B31">
        <w:rPr>
          <w:rFonts w:ascii="Times New Roman" w:hAnsi="Times New Roman" w:cs="Times New Roman"/>
        </w:rPr>
        <w:t xml:space="preserve"> multiple new variables from correlated groups of predictors. Those new variables exhibit little or no correlation between them—thereby making them potentially more useful in a GLM. A PCA in a filing can be described as “a GLM within a GLM.” One of the more common applications of PCA is geodemographic analysis, where many attributes are used to modify territorial differentials on, for example, a census block level.</w:t>
      </w:r>
    </w:p>
    <w:p w14:paraId="7BAEE47A" w14:textId="77777777" w:rsidR="00FF4ADC" w:rsidRPr="00937B31" w:rsidRDefault="00FF4ADC" w:rsidP="00FF4ADC">
      <w:pPr>
        <w:jc w:val="both"/>
        <w:rPr>
          <w:rFonts w:ascii="Times New Roman" w:hAnsi="Times New Roman" w:cs="Times New Roman"/>
          <w:sz w:val="20"/>
          <w:szCs w:val="20"/>
        </w:rPr>
      </w:pPr>
      <w:r w:rsidRPr="00937B31">
        <w:rPr>
          <w:rFonts w:ascii="Times New Roman" w:hAnsi="Times New Roman" w:cs="Times New Roman"/>
          <w:sz w:val="20"/>
          <w:szCs w:val="20"/>
        </w:rPr>
        <w:t>Private Passenger Automobile Insurance – TBD</w:t>
      </w:r>
    </w:p>
    <w:p w14:paraId="4757BFE3" w14:textId="77777777" w:rsidR="00984D76" w:rsidRPr="00937B31" w:rsidRDefault="00984D76" w:rsidP="00ED744F">
      <w:pPr>
        <w:jc w:val="both"/>
        <w:rPr>
          <w:rFonts w:ascii="Times New Roman" w:hAnsi="Times New Roman" w:cs="Times New Roman"/>
          <w:sz w:val="20"/>
          <w:szCs w:val="20"/>
        </w:rPr>
      </w:pPr>
      <w:r w:rsidRPr="00937B31">
        <w:rPr>
          <w:rFonts w:ascii="Times New Roman" w:hAnsi="Times New Roman" w:cs="Times New Roman"/>
          <w:sz w:val="20"/>
          <w:szCs w:val="20"/>
        </w:rPr>
        <w:t>Probability Distribution - TBD</w:t>
      </w:r>
    </w:p>
    <w:p w14:paraId="739FA4BA" w14:textId="5FB5B234" w:rsidR="004B23B6" w:rsidRPr="00937B31" w:rsidRDefault="004B23B6" w:rsidP="00ED744F">
      <w:pPr>
        <w:jc w:val="both"/>
        <w:rPr>
          <w:rFonts w:ascii="Times New Roman" w:hAnsi="Times New Roman" w:cs="Times New Roman"/>
          <w:sz w:val="20"/>
          <w:szCs w:val="20"/>
        </w:rPr>
      </w:pPr>
      <w:r w:rsidRPr="00937B31">
        <w:rPr>
          <w:rFonts w:ascii="Times New Roman" w:hAnsi="Times New Roman" w:cs="Times New Roman"/>
          <w:sz w:val="20"/>
          <w:szCs w:val="20"/>
        </w:rPr>
        <w:t xml:space="preserve">Rating </w:t>
      </w:r>
      <w:r w:rsidR="00FF4ADC">
        <w:rPr>
          <w:rFonts w:ascii="Times New Roman" w:hAnsi="Times New Roman" w:cs="Times New Roman"/>
          <w:sz w:val="20"/>
          <w:szCs w:val="20"/>
        </w:rPr>
        <w:t>A</w:t>
      </w:r>
      <w:r w:rsidRPr="00937B31">
        <w:rPr>
          <w:rFonts w:ascii="Times New Roman" w:hAnsi="Times New Roman" w:cs="Times New Roman"/>
          <w:sz w:val="20"/>
          <w:szCs w:val="20"/>
        </w:rPr>
        <w:t>lgorithm – TBD</w:t>
      </w:r>
    </w:p>
    <w:p w14:paraId="4E7F5640" w14:textId="2C6909AF" w:rsidR="004B23B6" w:rsidRPr="00937B31" w:rsidRDefault="004B23B6" w:rsidP="00ED744F">
      <w:pPr>
        <w:jc w:val="both"/>
        <w:rPr>
          <w:rFonts w:ascii="Times New Roman" w:hAnsi="Times New Roman" w:cs="Times New Roman"/>
          <w:sz w:val="20"/>
          <w:szCs w:val="20"/>
        </w:rPr>
      </w:pPr>
      <w:r w:rsidRPr="00937B31">
        <w:rPr>
          <w:rFonts w:ascii="Times New Roman" w:hAnsi="Times New Roman" w:cs="Times New Roman"/>
          <w:sz w:val="20"/>
          <w:szCs w:val="20"/>
        </w:rPr>
        <w:t xml:space="preserve">Rating </w:t>
      </w:r>
      <w:r w:rsidR="00FF4ADC">
        <w:rPr>
          <w:rFonts w:ascii="Times New Roman" w:hAnsi="Times New Roman" w:cs="Times New Roman"/>
          <w:sz w:val="20"/>
          <w:szCs w:val="20"/>
        </w:rPr>
        <w:t>P</w:t>
      </w:r>
      <w:r w:rsidRPr="00937B31">
        <w:rPr>
          <w:rFonts w:ascii="Times New Roman" w:hAnsi="Times New Roman" w:cs="Times New Roman"/>
          <w:sz w:val="20"/>
          <w:szCs w:val="20"/>
        </w:rPr>
        <w:t>lan – TBD</w:t>
      </w:r>
    </w:p>
    <w:p w14:paraId="061CB7A2" w14:textId="77154A4D" w:rsidR="004B23B6" w:rsidRPr="00937B31" w:rsidRDefault="004B23B6" w:rsidP="00ED744F">
      <w:pPr>
        <w:jc w:val="both"/>
        <w:rPr>
          <w:rFonts w:ascii="Times New Roman" w:hAnsi="Times New Roman" w:cs="Times New Roman"/>
          <w:sz w:val="20"/>
          <w:szCs w:val="20"/>
        </w:rPr>
      </w:pPr>
      <w:r w:rsidRPr="00937B31">
        <w:rPr>
          <w:rFonts w:ascii="Times New Roman" w:hAnsi="Times New Roman" w:cs="Times New Roman"/>
          <w:sz w:val="20"/>
          <w:szCs w:val="20"/>
        </w:rPr>
        <w:t xml:space="preserve">Rating </w:t>
      </w:r>
      <w:r w:rsidR="00FF4ADC">
        <w:rPr>
          <w:rFonts w:ascii="Times New Roman" w:hAnsi="Times New Roman" w:cs="Times New Roman"/>
          <w:sz w:val="20"/>
          <w:szCs w:val="20"/>
        </w:rPr>
        <w:t>S</w:t>
      </w:r>
      <w:r w:rsidRPr="00937B31">
        <w:rPr>
          <w:rFonts w:ascii="Times New Roman" w:hAnsi="Times New Roman" w:cs="Times New Roman"/>
          <w:sz w:val="20"/>
          <w:szCs w:val="20"/>
        </w:rPr>
        <w:t>ystem – TBD</w:t>
      </w:r>
    </w:p>
    <w:p w14:paraId="29C5998F" w14:textId="77777777" w:rsidR="00FF4ADC" w:rsidRPr="00615374" w:rsidRDefault="00FF4ADC" w:rsidP="00FF4ADC">
      <w:pPr>
        <w:jc w:val="both"/>
        <w:rPr>
          <w:rFonts w:ascii="Times New Roman" w:hAnsi="Times New Roman" w:cs="Times New Roman"/>
          <w:sz w:val="20"/>
          <w:szCs w:val="20"/>
        </w:rPr>
      </w:pPr>
      <w:r>
        <w:rPr>
          <w:rFonts w:ascii="Times New Roman" w:hAnsi="Times New Roman" w:cs="Times New Roman"/>
          <w:sz w:val="20"/>
          <w:szCs w:val="20"/>
        </w:rPr>
        <w:t>S</w:t>
      </w:r>
      <w:r w:rsidRPr="00615374">
        <w:rPr>
          <w:rFonts w:ascii="Times New Roman" w:hAnsi="Times New Roman" w:cs="Times New Roman"/>
          <w:sz w:val="20"/>
          <w:szCs w:val="20"/>
        </w:rPr>
        <w:t>crubbing data</w:t>
      </w:r>
      <w:r>
        <w:rPr>
          <w:rFonts w:ascii="Times New Roman" w:hAnsi="Times New Roman" w:cs="Times New Roman"/>
          <w:sz w:val="20"/>
          <w:szCs w:val="20"/>
        </w:rPr>
        <w:t xml:space="preserve"> - TBD</w:t>
      </w:r>
    </w:p>
    <w:p w14:paraId="7918B202" w14:textId="499DD3DB" w:rsidR="00FF4ADC" w:rsidRPr="00615374" w:rsidRDefault="00FF4ADC" w:rsidP="00FF4ADC">
      <w:pPr>
        <w:jc w:val="both"/>
        <w:rPr>
          <w:rFonts w:ascii="Times New Roman" w:hAnsi="Times New Roman" w:cs="Times New Roman"/>
          <w:sz w:val="20"/>
          <w:szCs w:val="20"/>
        </w:rPr>
      </w:pPr>
      <w:r>
        <w:rPr>
          <w:rFonts w:ascii="Times New Roman" w:hAnsi="Times New Roman" w:cs="Times New Roman"/>
          <w:sz w:val="20"/>
          <w:szCs w:val="20"/>
        </w:rPr>
        <w:t>Sub-</w:t>
      </w:r>
      <w:r>
        <w:rPr>
          <w:rFonts w:ascii="Times New Roman" w:hAnsi="Times New Roman" w:cs="Times New Roman"/>
          <w:sz w:val="20"/>
          <w:szCs w:val="20"/>
        </w:rPr>
        <w:t>M</w:t>
      </w:r>
      <w:r>
        <w:rPr>
          <w:rFonts w:ascii="Times New Roman" w:hAnsi="Times New Roman" w:cs="Times New Roman"/>
          <w:sz w:val="20"/>
          <w:szCs w:val="20"/>
        </w:rPr>
        <w:t xml:space="preserve">odel - </w:t>
      </w:r>
      <w:r w:rsidRPr="00615374">
        <w:rPr>
          <w:rFonts w:ascii="Times New Roman" w:hAnsi="Times New Roman" w:cs="Times New Roman"/>
          <w:sz w:val="20"/>
          <w:szCs w:val="20"/>
        </w:rPr>
        <w:t>any model that provides input into another model.</w:t>
      </w:r>
    </w:p>
    <w:p w14:paraId="7211C11A" w14:textId="77777777" w:rsidR="00FF4ADC" w:rsidRPr="00937B31" w:rsidRDefault="00FF4ADC" w:rsidP="00FF4ADC">
      <w:pPr>
        <w:jc w:val="both"/>
        <w:rPr>
          <w:rFonts w:ascii="Times New Roman" w:hAnsi="Times New Roman" w:cs="Times New Roman"/>
          <w:sz w:val="20"/>
          <w:szCs w:val="20"/>
        </w:rPr>
      </w:pPr>
      <w:r w:rsidRPr="00937B31">
        <w:rPr>
          <w:rFonts w:ascii="Times New Roman" w:hAnsi="Times New Roman" w:cs="Times New Roman"/>
          <w:sz w:val="20"/>
          <w:szCs w:val="20"/>
        </w:rPr>
        <w:t>Univariate Model - TBD</w:t>
      </w:r>
    </w:p>
    <w:p w14:paraId="109D0F89" w14:textId="68B04E1A" w:rsidR="00984D76" w:rsidRPr="00937B31" w:rsidRDefault="00984D76" w:rsidP="00615374">
      <w:pPr>
        <w:jc w:val="both"/>
        <w:rPr>
          <w:rFonts w:ascii="Times New Roman" w:hAnsi="Times New Roman" w:cs="Times New Roman"/>
          <w:sz w:val="20"/>
          <w:szCs w:val="20"/>
        </w:rPr>
      </w:pPr>
      <w:r w:rsidRPr="00937B31">
        <w:rPr>
          <w:rFonts w:ascii="Times New Roman" w:hAnsi="Times New Roman" w:cs="Times New Roman"/>
          <w:sz w:val="20"/>
          <w:szCs w:val="20"/>
        </w:rPr>
        <w:t>Etc.</w:t>
      </w:r>
    </w:p>
    <w:p w14:paraId="7469C5C5" w14:textId="77777777" w:rsidR="004764FE" w:rsidRPr="00937B31" w:rsidRDefault="004764FE" w:rsidP="00ED744F">
      <w:pPr>
        <w:jc w:val="both"/>
        <w:rPr>
          <w:rFonts w:ascii="Times New Roman" w:hAnsi="Times New Roman" w:cs="Times New Roman"/>
          <w:sz w:val="20"/>
          <w:szCs w:val="20"/>
        </w:rPr>
      </w:pPr>
      <w:r w:rsidRPr="00937B31">
        <w:rPr>
          <w:rFonts w:ascii="Times New Roman" w:hAnsi="Times New Roman" w:cs="Times New Roman"/>
          <w:sz w:val="20"/>
          <w:szCs w:val="20"/>
        </w:rPr>
        <w:br w:type="page"/>
      </w:r>
    </w:p>
    <w:p w14:paraId="18D50FF4" w14:textId="1431CDBA" w:rsidR="00C2471B" w:rsidRPr="00937B31" w:rsidRDefault="004764FE" w:rsidP="00ED744F">
      <w:pPr>
        <w:pStyle w:val="Heading1"/>
        <w:jc w:val="both"/>
        <w:rPr>
          <w:rFonts w:cs="Times New Roman"/>
          <w:szCs w:val="20"/>
          <w:lang w:val="en"/>
        </w:rPr>
      </w:pPr>
      <w:bookmarkStart w:id="14" w:name="_Toc8388760"/>
      <w:r w:rsidRPr="00937B31">
        <w:rPr>
          <w:rFonts w:cs="Times New Roman"/>
          <w:szCs w:val="20"/>
          <w:lang w:val="en"/>
        </w:rPr>
        <w:t>Appendix C – Sample Rate-Disruption Template</w:t>
      </w:r>
      <w:bookmarkEnd w:id="14"/>
    </w:p>
    <w:p w14:paraId="40D1C102" w14:textId="77777777" w:rsidR="00C2471B" w:rsidRPr="00937B31" w:rsidRDefault="003255D0" w:rsidP="00ED744F">
      <w:pPr>
        <w:ind w:left="-90"/>
        <w:jc w:val="both"/>
        <w:rPr>
          <w:rFonts w:ascii="Times New Roman" w:hAnsi="Times New Roman" w:cs="Times New Roman"/>
          <w:sz w:val="20"/>
          <w:szCs w:val="20"/>
          <w:lang w:val="en"/>
        </w:rPr>
      </w:pPr>
      <w:bookmarkStart w:id="15" w:name="Rate_Disruption_-_SERFF_Filled-Out_Sampl"/>
      <w:bookmarkEnd w:id="15"/>
      <w:r w:rsidRPr="00937B31">
        <w:rPr>
          <w:rFonts w:ascii="Times New Roman" w:hAnsi="Times New Roman" w:cs="Times New Roman"/>
          <w:noProof/>
          <w:sz w:val="20"/>
          <w:szCs w:val="20"/>
        </w:rPr>
        <w:drawing>
          <wp:inline distT="0" distB="0" distL="0" distR="0" wp14:anchorId="03110BD0" wp14:editId="3FFED473">
            <wp:extent cx="6457591" cy="4588510"/>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9048" cy="4589545"/>
                    </a:xfrm>
                    <a:prstGeom prst="rect">
                      <a:avLst/>
                    </a:prstGeom>
                    <a:ln>
                      <a:noFill/>
                    </a:ln>
                    <a:effectLst/>
                  </pic:spPr>
                </pic:pic>
              </a:graphicData>
            </a:graphic>
          </wp:inline>
        </w:drawing>
      </w:r>
    </w:p>
    <w:p w14:paraId="49E63A80" w14:textId="77777777" w:rsidR="00F76298" w:rsidRPr="00937B31" w:rsidRDefault="003255D0" w:rsidP="00ED744F">
      <w:pPr>
        <w:jc w:val="both"/>
        <w:rPr>
          <w:rFonts w:ascii="Times New Roman" w:hAnsi="Times New Roman" w:cs="Times New Roman"/>
          <w:sz w:val="20"/>
          <w:szCs w:val="20"/>
          <w:lang w:val="en"/>
        </w:rPr>
      </w:pPr>
      <w:r w:rsidRPr="00937B31">
        <w:rPr>
          <w:rFonts w:ascii="Times New Roman" w:hAnsi="Times New Roman" w:cs="Times New Roman"/>
          <w:noProof/>
          <w:sz w:val="20"/>
          <w:szCs w:val="20"/>
        </w:rPr>
        <w:drawing>
          <wp:inline distT="0" distB="0" distL="0" distR="0" wp14:anchorId="2E2907DD" wp14:editId="771F69B8">
            <wp:extent cx="6457950" cy="26098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5F1300" w14:textId="77777777" w:rsidR="00F76298" w:rsidRPr="00937B31" w:rsidRDefault="00F76298" w:rsidP="00ED744F">
      <w:pPr>
        <w:jc w:val="both"/>
        <w:rPr>
          <w:rFonts w:ascii="Times New Roman" w:hAnsi="Times New Roman" w:cs="Times New Roman"/>
          <w:sz w:val="20"/>
          <w:szCs w:val="20"/>
          <w:lang w:val="en"/>
        </w:rPr>
      </w:pPr>
    </w:p>
    <w:p w14:paraId="7A6899F3" w14:textId="77777777" w:rsidR="00ED744F" w:rsidRPr="00937B31" w:rsidRDefault="003255D0" w:rsidP="00ED744F">
      <w:pPr>
        <w:jc w:val="both"/>
        <w:rPr>
          <w:rFonts w:ascii="Times New Roman" w:hAnsi="Times New Roman" w:cs="Times New Roman"/>
          <w:sz w:val="20"/>
          <w:szCs w:val="20"/>
          <w:lang w:val="en"/>
        </w:rPr>
      </w:pPr>
      <w:r w:rsidRPr="00937B31">
        <w:rPr>
          <w:rFonts w:ascii="Times New Roman" w:hAnsi="Times New Roman" w:cs="Times New Roman"/>
          <w:noProof/>
          <w:sz w:val="20"/>
          <w:szCs w:val="20"/>
        </w:rPr>
        <w:drawing>
          <wp:inline distT="0" distB="0" distL="0" distR="0" wp14:anchorId="0B27C024" wp14:editId="0F02E824">
            <wp:extent cx="6438900" cy="27813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9E6ECE6" w14:textId="77777777" w:rsidR="00F76298" w:rsidRPr="00937B31" w:rsidRDefault="003255D0" w:rsidP="00ED744F">
      <w:pPr>
        <w:jc w:val="both"/>
        <w:rPr>
          <w:rFonts w:ascii="Times New Roman" w:hAnsi="Times New Roman" w:cs="Times New Roman"/>
          <w:sz w:val="20"/>
          <w:szCs w:val="20"/>
          <w:lang w:val="en"/>
        </w:rPr>
      </w:pPr>
      <w:r w:rsidRPr="00937B31">
        <w:rPr>
          <w:rFonts w:ascii="Times New Roman" w:hAnsi="Times New Roman" w:cs="Times New Roman"/>
          <w:noProof/>
          <w:sz w:val="20"/>
          <w:szCs w:val="20"/>
        </w:rPr>
        <w:drawing>
          <wp:inline distT="0" distB="0" distL="0" distR="0" wp14:anchorId="7D90765B" wp14:editId="2A1973A0">
            <wp:extent cx="6438900" cy="5330063"/>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0337" cy="5356086"/>
                    </a:xfrm>
                    <a:prstGeom prst="rect">
                      <a:avLst/>
                    </a:prstGeom>
                    <a:noFill/>
                    <a:ln>
                      <a:noFill/>
                    </a:ln>
                  </pic:spPr>
                </pic:pic>
              </a:graphicData>
            </a:graphic>
          </wp:inline>
        </w:drawing>
      </w:r>
    </w:p>
    <w:p w14:paraId="4B1B0381" w14:textId="77777777" w:rsidR="006F3871" w:rsidRPr="00937B31" w:rsidRDefault="006F3871" w:rsidP="00ED744F">
      <w:pPr>
        <w:jc w:val="both"/>
        <w:rPr>
          <w:rFonts w:ascii="Times New Roman" w:hAnsi="Times New Roman" w:cs="Times New Roman"/>
          <w:sz w:val="20"/>
          <w:szCs w:val="20"/>
          <w:lang w:val="en"/>
        </w:rPr>
      </w:pPr>
    </w:p>
    <w:p w14:paraId="66623E6F" w14:textId="77777777" w:rsidR="006F3871" w:rsidRPr="00937B31" w:rsidRDefault="004E2076" w:rsidP="00ED744F">
      <w:pPr>
        <w:jc w:val="both"/>
        <w:rPr>
          <w:rFonts w:ascii="Times New Roman" w:hAnsi="Times New Roman" w:cs="Times New Roman"/>
          <w:sz w:val="20"/>
          <w:szCs w:val="20"/>
          <w:lang w:val="en"/>
        </w:rPr>
      </w:pPr>
      <w:r w:rsidRPr="00937B31">
        <w:rPr>
          <w:rFonts w:ascii="Times New Roman" w:hAnsi="Times New Roman" w:cs="Times New Roman"/>
          <w:noProof/>
          <w:sz w:val="20"/>
          <w:szCs w:val="20"/>
        </w:rPr>
        <w:drawing>
          <wp:inline distT="0" distB="0" distL="0" distR="0" wp14:anchorId="2D7590A0" wp14:editId="123A1941">
            <wp:extent cx="6448632" cy="5276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31688" cy="5344814"/>
                    </a:xfrm>
                    <a:prstGeom prst="rect">
                      <a:avLst/>
                    </a:prstGeom>
                    <a:noFill/>
                    <a:ln>
                      <a:noFill/>
                    </a:ln>
                  </pic:spPr>
                </pic:pic>
              </a:graphicData>
            </a:graphic>
          </wp:inline>
        </w:drawing>
      </w:r>
    </w:p>
    <w:p w14:paraId="6202089B" w14:textId="43228963" w:rsidR="00C27F7D" w:rsidRDefault="00C27F7D" w:rsidP="00ED744F">
      <w:pPr>
        <w:keepNext/>
        <w:keepLines/>
        <w:spacing w:before="240" w:after="0"/>
        <w:jc w:val="both"/>
        <w:outlineLvl w:val="0"/>
        <w:rPr>
          <w:rFonts w:ascii="Times New Roman" w:hAnsi="Times New Roman" w:cs="Times New Roman"/>
          <w:sz w:val="20"/>
          <w:szCs w:val="20"/>
          <w:lang w:val="en"/>
        </w:rPr>
      </w:pPr>
    </w:p>
    <w:p w14:paraId="1EFD649F" w14:textId="77777777" w:rsidR="00D4336B" w:rsidRPr="00937B31" w:rsidRDefault="00D4336B" w:rsidP="00ED744F">
      <w:pPr>
        <w:keepNext/>
        <w:keepLines/>
        <w:spacing w:before="240" w:after="0"/>
        <w:jc w:val="both"/>
        <w:outlineLvl w:val="0"/>
        <w:rPr>
          <w:rFonts w:ascii="Times New Roman" w:hAnsi="Times New Roman" w:cs="Times New Roman"/>
          <w:sz w:val="20"/>
          <w:szCs w:val="20"/>
          <w:lang w:val="en"/>
        </w:rPr>
      </w:pPr>
    </w:p>
    <w:p w14:paraId="11588A86" w14:textId="780B9DB4" w:rsidR="00C27F7D" w:rsidRPr="00937B31" w:rsidRDefault="00C27F7D" w:rsidP="00C27F7D">
      <w:pPr>
        <w:pStyle w:val="Heading1"/>
        <w:rPr>
          <w:rFonts w:cs="Times New Roman"/>
          <w:szCs w:val="20"/>
          <w:lang w:val="en"/>
        </w:rPr>
      </w:pPr>
      <w:bookmarkStart w:id="16" w:name="_Toc8388761"/>
      <w:r w:rsidRPr="00937B31">
        <w:rPr>
          <w:rFonts w:cs="Times New Roman"/>
        </w:rPr>
        <w:t>Appendix D – Information Needed by Regulator Mapped into Best Practices</w:t>
      </w:r>
      <w:bookmarkEnd w:id="16"/>
    </w:p>
    <w:p w14:paraId="76F00322" w14:textId="0F93F754" w:rsidR="00C27F7D" w:rsidRPr="00937B31" w:rsidRDefault="00615374" w:rsidP="00C27F7D">
      <w:pPr>
        <w:spacing w:after="0" w:line="360" w:lineRule="auto"/>
        <w:rPr>
          <w:rFonts w:ascii="Times New Roman" w:hAnsi="Times New Roman" w:cs="Times New Roman"/>
          <w:sz w:val="24"/>
          <w:szCs w:val="24"/>
        </w:rPr>
      </w:pPr>
      <w:r>
        <w:rPr>
          <w:rFonts w:ascii="Times New Roman" w:hAnsi="Times New Roman" w:cs="Times New Roman"/>
          <w:sz w:val="24"/>
          <w:szCs w:val="24"/>
        </w:rPr>
        <w:t>TBD</w:t>
      </w:r>
    </w:p>
    <w:p w14:paraId="18FA4480" w14:textId="77777777" w:rsidR="00C27F7D" w:rsidRPr="00937B31" w:rsidRDefault="00C27F7D" w:rsidP="00C27F7D">
      <w:pPr>
        <w:pStyle w:val="Heading1"/>
        <w:rPr>
          <w:rFonts w:cs="Times New Roman"/>
          <w:szCs w:val="20"/>
          <w:lang w:val="en"/>
        </w:rPr>
      </w:pPr>
      <w:bookmarkStart w:id="17" w:name="_Toc8388762"/>
      <w:r w:rsidRPr="00937B31">
        <w:rPr>
          <w:rFonts w:cs="Times New Roman"/>
        </w:rPr>
        <w:t>Appendix E – References</w:t>
      </w:r>
      <w:bookmarkEnd w:id="17"/>
    </w:p>
    <w:p w14:paraId="6BA7AA5E" w14:textId="1D50928F" w:rsidR="006520F9" w:rsidRPr="00937B31" w:rsidRDefault="00615374" w:rsidP="00C27F7D">
      <w:pPr>
        <w:spacing w:line="360" w:lineRule="auto"/>
        <w:contextualSpacing/>
        <w:jc w:val="both"/>
        <w:rPr>
          <w:rFonts w:ascii="Times New Roman" w:hAnsi="Times New Roman" w:cs="Times New Roman"/>
          <w:sz w:val="20"/>
          <w:szCs w:val="20"/>
          <w:lang w:val="en"/>
        </w:rPr>
      </w:pPr>
      <w:r>
        <w:rPr>
          <w:rFonts w:ascii="Times New Roman" w:hAnsi="Times New Roman" w:cs="Times New Roman"/>
          <w:sz w:val="20"/>
          <w:szCs w:val="20"/>
          <w:lang w:val="en"/>
        </w:rPr>
        <w:t>TBD</w:t>
      </w:r>
    </w:p>
    <w:sectPr w:rsidR="006520F9" w:rsidRPr="00937B31" w:rsidSect="00E73CA0">
      <w:headerReference w:type="default" r:id="rId13"/>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BD2BC" w14:textId="77777777" w:rsidR="00232EB1" w:rsidRDefault="00232EB1" w:rsidP="00261807">
      <w:pPr>
        <w:spacing w:after="0" w:line="240" w:lineRule="auto"/>
      </w:pPr>
      <w:r>
        <w:separator/>
      </w:r>
    </w:p>
  </w:endnote>
  <w:endnote w:type="continuationSeparator" w:id="0">
    <w:p w14:paraId="418DA519" w14:textId="77777777" w:rsidR="00232EB1" w:rsidRDefault="00232EB1" w:rsidP="0026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96441" w14:textId="54AAA565" w:rsidR="00232EB1" w:rsidRPr="00E73CA0" w:rsidRDefault="00232EB1" w:rsidP="00E73CA0">
    <w:pPr>
      <w:pStyle w:val="Footer"/>
      <w:tabs>
        <w:tab w:val="clear" w:pos="4680"/>
        <w:tab w:val="center" w:pos="5040"/>
      </w:tabs>
      <w:rPr>
        <w:rFonts w:ascii="Times New Roman" w:hAnsi="Times New Roman" w:cs="Times New Roman"/>
        <w:sz w:val="20"/>
      </w:rPr>
    </w:pPr>
    <w:r>
      <w:rPr>
        <w:rFonts w:ascii="Times New Roman" w:hAnsi="Times New Roman" w:cs="Times New Roman"/>
        <w:sz w:val="20"/>
      </w:rPr>
      <w:t>© 201</w:t>
    </w:r>
    <w:r w:rsidR="00615374">
      <w:rPr>
        <w:rFonts w:ascii="Times New Roman" w:hAnsi="Times New Roman" w:cs="Times New Roman"/>
        <w:sz w:val="20"/>
      </w:rPr>
      <w:t>9</w:t>
    </w:r>
    <w:r>
      <w:rPr>
        <w:rFonts w:ascii="Times New Roman" w:hAnsi="Times New Roman" w:cs="Times New Roman"/>
        <w:sz w:val="20"/>
      </w:rPr>
      <w:t xml:space="preserve"> National Association of Insurance Commissioners</w:t>
    </w:r>
    <w:r>
      <w:rPr>
        <w:rFonts w:ascii="Times New Roman" w:hAnsi="Times New Roman" w:cs="Times New Roman"/>
        <w:sz w:val="20"/>
      </w:rPr>
      <w:tab/>
    </w:r>
    <w:r w:rsidRPr="00E73CA0">
      <w:rPr>
        <w:rFonts w:ascii="Times New Roman" w:hAnsi="Times New Roman" w:cs="Times New Roman"/>
        <w:sz w:val="20"/>
      </w:rPr>
      <w:fldChar w:fldCharType="begin"/>
    </w:r>
    <w:r w:rsidRPr="00E73CA0">
      <w:rPr>
        <w:rFonts w:ascii="Times New Roman" w:hAnsi="Times New Roman" w:cs="Times New Roman"/>
        <w:sz w:val="20"/>
      </w:rPr>
      <w:instrText xml:space="preserve"> PAGE   \* MERGEFORMAT </w:instrText>
    </w:r>
    <w:r w:rsidRPr="00E73CA0">
      <w:rPr>
        <w:rFonts w:ascii="Times New Roman" w:hAnsi="Times New Roman" w:cs="Times New Roman"/>
        <w:sz w:val="20"/>
      </w:rPr>
      <w:fldChar w:fldCharType="separate"/>
    </w:r>
    <w:r w:rsidR="00C94535">
      <w:rPr>
        <w:rFonts w:ascii="Times New Roman" w:hAnsi="Times New Roman" w:cs="Times New Roman"/>
        <w:noProof/>
        <w:sz w:val="20"/>
      </w:rPr>
      <w:t>12</w:t>
    </w:r>
    <w:r w:rsidRPr="00E73CA0">
      <w:rPr>
        <w:rFonts w:ascii="Times New Roman" w:hAnsi="Times New Roman" w:cs="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E6DC0" w14:textId="77777777" w:rsidR="00232EB1" w:rsidRDefault="00232EB1" w:rsidP="00261807">
      <w:pPr>
        <w:spacing w:after="0" w:line="240" w:lineRule="auto"/>
      </w:pPr>
      <w:r>
        <w:separator/>
      </w:r>
    </w:p>
  </w:footnote>
  <w:footnote w:type="continuationSeparator" w:id="0">
    <w:p w14:paraId="7ADF3227" w14:textId="77777777" w:rsidR="00232EB1" w:rsidRDefault="00232EB1" w:rsidP="00261807">
      <w:pPr>
        <w:spacing w:after="0" w:line="240" w:lineRule="auto"/>
      </w:pPr>
      <w:r>
        <w:continuationSeparator/>
      </w:r>
    </w:p>
  </w:footnote>
  <w:footnote w:id="1">
    <w:p w14:paraId="54A47EA4" w14:textId="3FAF1D69" w:rsidR="00232EB1" w:rsidRPr="001632F0" w:rsidRDefault="00232EB1">
      <w:pPr>
        <w:pStyle w:val="FootnoteText"/>
        <w:rPr>
          <w:rFonts w:ascii="Times New Roman" w:hAnsi="Times New Roman" w:cs="Times New Roman"/>
          <w:sz w:val="18"/>
        </w:rPr>
      </w:pPr>
      <w:r>
        <w:rPr>
          <w:rStyle w:val="FootnoteReference"/>
        </w:rPr>
        <w:footnoteRef/>
      </w:r>
      <w:r>
        <w:t xml:space="preserve"> </w:t>
      </w:r>
      <w:r w:rsidRPr="001632F0">
        <w:rPr>
          <w:rFonts w:ascii="Times New Roman" w:hAnsi="Times New Roman" w:cs="Times New Roman"/>
          <w:sz w:val="18"/>
        </w:rPr>
        <w:t>In this paper, reference</w:t>
      </w:r>
      <w:r>
        <w:rPr>
          <w:rFonts w:ascii="Times New Roman" w:hAnsi="Times New Roman" w:cs="Times New Roman"/>
          <w:sz w:val="18"/>
        </w:rPr>
        <w:t>s</w:t>
      </w:r>
      <w:r w:rsidRPr="001632F0">
        <w:rPr>
          <w:rFonts w:ascii="Times New Roman" w:hAnsi="Times New Roman" w:cs="Times New Roman"/>
          <w:sz w:val="18"/>
        </w:rPr>
        <w:t xml:space="preserve"> to “model” or “predictive model” are the same as “complex predictive model” unless qualified.</w:t>
      </w:r>
    </w:p>
  </w:footnote>
  <w:footnote w:id="2">
    <w:p w14:paraId="459B4447" w14:textId="77777777" w:rsidR="00232EB1" w:rsidRPr="001632F0" w:rsidRDefault="00232EB1" w:rsidP="002E0CD7">
      <w:pPr>
        <w:pStyle w:val="FootnoteText"/>
        <w:ind w:left="180" w:hanging="180"/>
        <w:rPr>
          <w:rFonts w:ascii="Times New Roman" w:hAnsi="Times New Roman" w:cs="Times New Roman"/>
          <w:sz w:val="18"/>
        </w:rPr>
      </w:pPr>
      <w:r w:rsidRPr="001632F0">
        <w:rPr>
          <w:rStyle w:val="FootnoteReference"/>
          <w:rFonts w:ascii="Times New Roman" w:hAnsi="Times New Roman" w:cs="Times New Roman"/>
          <w:sz w:val="18"/>
        </w:rPr>
        <w:footnoteRef/>
      </w:r>
      <w:r w:rsidRPr="001632F0">
        <w:rPr>
          <w:rFonts w:ascii="Times New Roman" w:hAnsi="Times New Roman" w:cs="Times New Roman"/>
          <w:sz w:val="18"/>
        </w:rPr>
        <w:t xml:space="preserve"> Bardach, E. and Patashnik, E. (2016.) </w:t>
      </w:r>
      <w:r w:rsidRPr="001632F0">
        <w:rPr>
          <w:rFonts w:ascii="Times New Roman" w:hAnsi="Times New Roman" w:cs="Times New Roman"/>
          <w:i/>
          <w:sz w:val="18"/>
        </w:rPr>
        <w:t xml:space="preserve">A Practical Guide for Policy Analysis, The Eightfold Path to More Effective Problem Solving. </w:t>
      </w:r>
      <w:r w:rsidRPr="001632F0">
        <w:rPr>
          <w:rFonts w:ascii="Times New Roman" w:hAnsi="Times New Roman" w:cs="Times New Roman"/>
          <w:sz w:val="18"/>
        </w:rPr>
        <w:t xml:space="preserve">Thousand Oaks, CA: CQ Press. See Appendix A for an overview of Bardach’s best-practice analysis. </w:t>
      </w:r>
    </w:p>
  </w:footnote>
  <w:footnote w:id="3">
    <w:p w14:paraId="70972471" w14:textId="77777777" w:rsidR="00232EB1" w:rsidRPr="001632F0" w:rsidRDefault="00232EB1" w:rsidP="008453A2">
      <w:pPr>
        <w:pStyle w:val="FootnoteText"/>
        <w:ind w:left="180" w:hanging="180"/>
        <w:rPr>
          <w:rFonts w:ascii="Times New Roman" w:hAnsi="Times New Roman" w:cs="Times New Roman"/>
          <w:sz w:val="18"/>
        </w:rPr>
      </w:pPr>
      <w:r w:rsidRPr="001632F0">
        <w:rPr>
          <w:rStyle w:val="FootnoteReference"/>
          <w:rFonts w:ascii="Times New Roman" w:hAnsi="Times New Roman" w:cs="Times New Roman"/>
          <w:sz w:val="18"/>
        </w:rPr>
        <w:footnoteRef/>
      </w:r>
      <w:r w:rsidRPr="001632F0">
        <w:rPr>
          <w:rFonts w:ascii="Times New Roman" w:hAnsi="Times New Roman" w:cs="Times New Roman"/>
          <w:sz w:val="18"/>
        </w:rPr>
        <w:t xml:space="preserve"> Bogan, C.E. and English, M.J. (1994). Benchmarking for Best Practices: Winning Through Innovative Adaptation. New York: McGraw-Hill.</w:t>
      </w:r>
    </w:p>
  </w:footnote>
  <w:footnote w:id="4">
    <w:p w14:paraId="715DFC48" w14:textId="2149170F" w:rsidR="00232EB1" w:rsidRPr="001632F0" w:rsidRDefault="00232EB1" w:rsidP="00480D51">
      <w:pPr>
        <w:pStyle w:val="FootnoteText"/>
        <w:ind w:left="90" w:hanging="90"/>
        <w:rPr>
          <w:rFonts w:ascii="Times New Roman" w:hAnsi="Times New Roman" w:cs="Times New Roman"/>
          <w:sz w:val="18"/>
        </w:rPr>
      </w:pPr>
      <w:r w:rsidRPr="001632F0">
        <w:rPr>
          <w:rStyle w:val="FootnoteReference"/>
          <w:rFonts w:ascii="Times New Roman" w:hAnsi="Times New Roman" w:cs="Times New Roman"/>
          <w:sz w:val="18"/>
        </w:rPr>
        <w:footnoteRef/>
      </w:r>
      <w:r w:rsidRPr="001632F0">
        <w:rPr>
          <w:rFonts w:ascii="Times New Roman" w:hAnsi="Times New Roman" w:cs="Times New Roman"/>
          <w:sz w:val="18"/>
        </w:rPr>
        <w:t xml:space="preserve"> A more thorough exploration of different predictive models </w:t>
      </w:r>
      <w:proofErr w:type="gramStart"/>
      <w:r w:rsidRPr="001632F0">
        <w:rPr>
          <w:rFonts w:ascii="Times New Roman" w:hAnsi="Times New Roman" w:cs="Times New Roman"/>
          <w:sz w:val="18"/>
        </w:rPr>
        <w:t>will be found</w:t>
      </w:r>
      <w:proofErr w:type="gramEnd"/>
      <w:r w:rsidRPr="001632F0">
        <w:rPr>
          <w:rFonts w:ascii="Times New Roman" w:hAnsi="Times New Roman" w:cs="Times New Roman"/>
          <w:sz w:val="18"/>
        </w:rPr>
        <w:t xml:space="preserve"> in many statistics’ books, including Geisser, </w:t>
      </w:r>
      <w:r w:rsidR="00981E2C" w:rsidRPr="001632F0">
        <w:rPr>
          <w:rFonts w:ascii="Times New Roman" w:hAnsi="Times New Roman" w:cs="Times New Roman"/>
          <w:sz w:val="18"/>
        </w:rPr>
        <w:t>Seymour (</w:t>
      </w:r>
      <w:r w:rsidRPr="001632F0">
        <w:rPr>
          <w:rFonts w:ascii="Times New Roman" w:hAnsi="Times New Roman" w:cs="Times New Roman"/>
          <w:sz w:val="18"/>
        </w:rPr>
        <w:t xml:space="preserve">September 2016). </w:t>
      </w:r>
      <w:r w:rsidRPr="001632F0">
        <w:rPr>
          <w:rFonts w:ascii="Times New Roman" w:hAnsi="Times New Roman" w:cs="Times New Roman"/>
          <w:i/>
          <w:sz w:val="18"/>
        </w:rPr>
        <w:t>Predictive Inference: An Introduction</w:t>
      </w:r>
      <w:r w:rsidRPr="001632F0">
        <w:rPr>
          <w:rFonts w:ascii="Times New Roman" w:hAnsi="Times New Roman" w:cs="Times New Roman"/>
          <w:sz w:val="18"/>
        </w:rPr>
        <w:t>. New York: Chapman &amp; Hall.</w:t>
      </w:r>
    </w:p>
  </w:footnote>
  <w:footnote w:id="5">
    <w:p w14:paraId="3DA45276" w14:textId="77777777" w:rsidR="00232EB1" w:rsidRPr="003F67F3" w:rsidRDefault="00232EB1" w:rsidP="00480D51">
      <w:pPr>
        <w:pStyle w:val="FootnoteText"/>
        <w:ind w:left="90" w:hanging="90"/>
      </w:pPr>
      <w:r w:rsidRPr="001632F0">
        <w:rPr>
          <w:rStyle w:val="FootnoteReference"/>
          <w:rFonts w:ascii="Times New Roman" w:hAnsi="Times New Roman" w:cs="Times New Roman"/>
          <w:sz w:val="18"/>
        </w:rPr>
        <w:footnoteRef/>
      </w:r>
      <w:r w:rsidRPr="001632F0">
        <w:rPr>
          <w:rFonts w:ascii="Times New Roman" w:hAnsi="Times New Roman" w:cs="Times New Roman"/>
          <w:sz w:val="18"/>
        </w:rPr>
        <w:t xml:space="preserve"> The generalized linear model (GLM) is a flexible family of models that are unified under a single method. Types of GLM include logistic regression, Poisson regression, gamma regression and multinomial regression</w:t>
      </w:r>
      <w:r w:rsidRPr="003F67F3">
        <w:t>.</w:t>
      </w:r>
    </w:p>
  </w:footnote>
  <w:footnote w:id="6">
    <w:p w14:paraId="63FC5FE4" w14:textId="77777777" w:rsidR="00232EB1" w:rsidRPr="00F14581" w:rsidRDefault="00232EB1">
      <w:pPr>
        <w:pStyle w:val="FootnoteText"/>
        <w:rPr>
          <w:rFonts w:ascii="Times New Roman" w:hAnsi="Times New Roman" w:cs="Times New Roman"/>
          <w:sz w:val="16"/>
        </w:rPr>
      </w:pPr>
      <w:r>
        <w:rPr>
          <w:rStyle w:val="FootnoteReference"/>
        </w:rPr>
        <w:footnoteRef/>
      </w:r>
      <w:r>
        <w:t xml:space="preserve"> </w:t>
      </w:r>
      <w:r w:rsidRPr="00F14581">
        <w:rPr>
          <w:rFonts w:ascii="Times New Roman" w:hAnsi="Times New Roman" w:cs="Times New Roman"/>
          <w:sz w:val="16"/>
        </w:rPr>
        <w:t>More information on model elements can be found in most statistics’ books.</w:t>
      </w:r>
    </w:p>
  </w:footnote>
  <w:footnote w:id="7">
    <w:p w14:paraId="63F7A4AA" w14:textId="77777777" w:rsidR="00232EB1" w:rsidRPr="00F14581" w:rsidRDefault="00232EB1" w:rsidP="008453A2">
      <w:pPr>
        <w:pStyle w:val="FootnoteText"/>
        <w:ind w:left="180" w:hanging="180"/>
        <w:rPr>
          <w:rFonts w:ascii="Times New Roman" w:hAnsi="Times New Roman" w:cs="Times New Roman"/>
          <w:sz w:val="16"/>
        </w:rPr>
      </w:pPr>
      <w:r w:rsidRPr="00F14581">
        <w:rPr>
          <w:rStyle w:val="FootnoteReference"/>
          <w:rFonts w:ascii="Times New Roman" w:hAnsi="Times New Roman" w:cs="Times New Roman"/>
          <w:sz w:val="16"/>
        </w:rPr>
        <w:footnoteRef/>
      </w:r>
      <w:r w:rsidRPr="00F14581">
        <w:rPr>
          <w:rFonts w:ascii="Times New Roman" w:hAnsi="Times New Roman" w:cs="Times New Roman"/>
          <w:sz w:val="16"/>
        </w:rPr>
        <w:t xml:space="preserve"> Minutes of the Big Data (EX) Working Group, March 9, 2018: https://secure.naic.org/secure/minutes/2018_spring/ex_it_tf.pdf?59</w:t>
      </w:r>
    </w:p>
  </w:footnote>
  <w:footnote w:id="8">
    <w:p w14:paraId="2E74EABF" w14:textId="77777777" w:rsidR="00232EB1" w:rsidRDefault="00232EB1" w:rsidP="008453A2">
      <w:pPr>
        <w:pStyle w:val="FootnoteText"/>
        <w:ind w:left="180" w:hanging="180"/>
      </w:pPr>
      <w:r w:rsidRPr="00F14581">
        <w:rPr>
          <w:rStyle w:val="FootnoteReference"/>
          <w:rFonts w:ascii="Times New Roman" w:hAnsi="Times New Roman" w:cs="Times New Roman"/>
          <w:sz w:val="16"/>
        </w:rPr>
        <w:footnoteRef/>
      </w:r>
      <w:r w:rsidRPr="00F14581">
        <w:rPr>
          <w:rFonts w:ascii="Times New Roman" w:hAnsi="Times New Roman" w:cs="Times New Roman"/>
          <w:sz w:val="16"/>
        </w:rPr>
        <w:t xml:space="preserve"> All comments received by the end of January were posted to the NAIC website March 12 for review.</w:t>
      </w:r>
    </w:p>
  </w:footnote>
  <w:footnote w:id="9">
    <w:p w14:paraId="565E64D2" w14:textId="77777777" w:rsidR="00232EB1" w:rsidRPr="001D1A5A" w:rsidRDefault="00232EB1" w:rsidP="00FA31AE">
      <w:pPr>
        <w:pStyle w:val="FootnoteText"/>
        <w:rPr>
          <w:rFonts w:ascii="Times New Roman" w:hAnsi="Times New Roman" w:cs="Times New Roman"/>
          <w:sz w:val="16"/>
        </w:rPr>
      </w:pPr>
      <w:r w:rsidRPr="001D1A5A">
        <w:rPr>
          <w:rStyle w:val="FootnoteReference"/>
          <w:rFonts w:ascii="Times New Roman" w:hAnsi="Times New Roman" w:cs="Times New Roman"/>
          <w:sz w:val="16"/>
        </w:rPr>
        <w:footnoteRef/>
      </w:r>
      <w:r w:rsidRPr="001D1A5A">
        <w:rPr>
          <w:rFonts w:ascii="Times New Roman" w:hAnsi="Times New Roman" w:cs="Times New Roman"/>
          <w:sz w:val="16"/>
        </w:rPr>
        <w:t xml:space="preserve"> Ammons, D. N. and Roenigk, D. J. 2014. Benchmarking and Interorganizational Learning in Local Government. </w:t>
      </w:r>
      <w:r w:rsidRPr="001D1A5A">
        <w:rPr>
          <w:rFonts w:ascii="Times New Roman" w:hAnsi="Times New Roman" w:cs="Times New Roman"/>
          <w:i/>
          <w:sz w:val="16"/>
        </w:rPr>
        <w:t xml:space="preserve">Journal of Public Administration Research and Theory, </w:t>
      </w:r>
      <w:r w:rsidRPr="001D1A5A">
        <w:rPr>
          <w:rFonts w:ascii="Times New Roman" w:hAnsi="Times New Roman" w:cs="Times New Roman"/>
          <w:sz w:val="16"/>
        </w:rPr>
        <w:t>Volume 25, Issue 1. P 309-335. https://doi.org/10.1093/jopart/muu014</w:t>
      </w:r>
    </w:p>
  </w:footnote>
  <w:footnote w:id="10">
    <w:p w14:paraId="7E4EB868" w14:textId="77777777" w:rsidR="00232EB1" w:rsidRPr="00C85463" w:rsidRDefault="00232EB1" w:rsidP="00FA31AE">
      <w:pPr>
        <w:pStyle w:val="FootnoteText"/>
      </w:pPr>
      <w:r w:rsidRPr="001D1A5A">
        <w:rPr>
          <w:rStyle w:val="FootnoteReference"/>
          <w:rFonts w:ascii="Times New Roman" w:hAnsi="Times New Roman" w:cs="Times New Roman"/>
          <w:sz w:val="16"/>
        </w:rPr>
        <w:footnoteRef/>
      </w:r>
      <w:r w:rsidRPr="001D1A5A">
        <w:rPr>
          <w:rFonts w:ascii="Times New Roman" w:hAnsi="Times New Roman" w:cs="Times New Roman"/>
          <w:sz w:val="16"/>
        </w:rPr>
        <w:t xml:space="preserve"> Bardach, E. and Patashnik, E. 2016. </w:t>
      </w:r>
      <w:r w:rsidRPr="001D1A5A">
        <w:rPr>
          <w:rFonts w:ascii="Times New Roman" w:hAnsi="Times New Roman" w:cs="Times New Roman"/>
          <w:i/>
          <w:sz w:val="16"/>
        </w:rPr>
        <w:t>A Practical Guide for Policy Analysis: The Eightfold Path to More Effective Problem Solving.</w:t>
      </w:r>
      <w:r w:rsidRPr="001D1A5A">
        <w:rPr>
          <w:rFonts w:ascii="Times New Roman" w:hAnsi="Times New Roman" w:cs="Times New Roman"/>
          <w:sz w:val="16"/>
        </w:rPr>
        <w:t xml:space="preserve"> Thousand Oaks, CA. CQ Press.</w:t>
      </w:r>
    </w:p>
  </w:footnote>
  <w:footnote w:id="11">
    <w:p w14:paraId="75B5AC7F" w14:textId="77777777" w:rsidR="00FF4ADC" w:rsidRPr="00ED744F" w:rsidRDefault="00FF4ADC" w:rsidP="00FF4ADC">
      <w:pPr>
        <w:pStyle w:val="FootnoteText"/>
        <w:ind w:left="180" w:hanging="180"/>
        <w:rPr>
          <w:rFonts w:ascii="Times New Roman" w:hAnsi="Times New Roman" w:cs="Times New Roman"/>
          <w:sz w:val="16"/>
        </w:rPr>
      </w:pPr>
      <w:r w:rsidRPr="00ED744F">
        <w:rPr>
          <w:rStyle w:val="FootnoteReference"/>
          <w:rFonts w:ascii="Times New Roman" w:hAnsi="Times New Roman" w:cs="Times New Roman"/>
          <w:sz w:val="16"/>
        </w:rPr>
        <w:footnoteRef/>
      </w:r>
      <w:r w:rsidRPr="00ED744F">
        <w:rPr>
          <w:rFonts w:ascii="Times New Roman" w:hAnsi="Times New Roman" w:cs="Times New Roman"/>
          <w:sz w:val="16"/>
        </w:rPr>
        <w:t xml:space="preserve"> Dlabay, Les R.; Burrow, James L.; Brad, Brad (2009). Intro to Business. Mason, Ohio: South-Western Cengage Learning. p. 471. ISBN 978-0-538-44561-0.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93F12" w14:textId="3D27F91F" w:rsidR="00232EB1" w:rsidRDefault="00232EB1">
    <w:pPr>
      <w:pStyle w:val="Header"/>
      <w:rPr>
        <w:rFonts w:ascii="Times New Roman" w:hAnsi="Times New Roman" w:cs="Times New Roman"/>
        <w:sz w:val="20"/>
      </w:rPr>
    </w:pPr>
    <w:r>
      <w:rPr>
        <w:rFonts w:ascii="Times New Roman" w:hAnsi="Times New Roman" w:cs="Times New Roman"/>
        <w:sz w:val="20"/>
      </w:rPr>
      <w:t xml:space="preserve">Draft: </w:t>
    </w:r>
    <w:r w:rsidR="00615374">
      <w:rPr>
        <w:rFonts w:ascii="Times New Roman" w:hAnsi="Times New Roman" w:cs="Times New Roman"/>
        <w:sz w:val="20"/>
      </w:rPr>
      <w:t>5/14/2019</w:t>
    </w:r>
  </w:p>
  <w:p w14:paraId="0DE55335" w14:textId="77777777" w:rsidR="00232EB1" w:rsidRDefault="00232EB1">
    <w:pPr>
      <w:pStyle w:val="Header"/>
      <w:rPr>
        <w:rFonts w:ascii="Times New Roman" w:hAnsi="Times New Roman" w:cs="Times New Roman"/>
        <w:sz w:val="20"/>
      </w:rPr>
    </w:pPr>
    <w:r>
      <w:rPr>
        <w:rFonts w:ascii="Times New Roman" w:hAnsi="Times New Roman" w:cs="Times New Roman"/>
        <w:sz w:val="20"/>
      </w:rPr>
      <w:t>As adopted by the Casualty Actuarial and Statistical (C) Task Force on XX/XX/XX</w:t>
    </w:r>
  </w:p>
  <w:p w14:paraId="31B5DE8A" w14:textId="77777777" w:rsidR="00232EB1" w:rsidRPr="00E73CA0" w:rsidRDefault="00232EB1">
    <w:pPr>
      <w:pStyle w:val="Header"/>
      <w:rPr>
        <w:rFonts w:ascii="Times New Roman" w:hAnsi="Times New Roman" w:cs="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3A"/>
    <w:multiLevelType w:val="hybridMultilevel"/>
    <w:tmpl w:val="2B70E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51A33"/>
    <w:multiLevelType w:val="hybridMultilevel"/>
    <w:tmpl w:val="B45EF3EA"/>
    <w:lvl w:ilvl="0" w:tplc="7ECCE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967A4"/>
    <w:multiLevelType w:val="hybridMultilevel"/>
    <w:tmpl w:val="1A3E3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27640"/>
    <w:multiLevelType w:val="hybridMultilevel"/>
    <w:tmpl w:val="9856AC3E"/>
    <w:lvl w:ilvl="0" w:tplc="6DB06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95357"/>
    <w:multiLevelType w:val="hybridMultilevel"/>
    <w:tmpl w:val="2B7E0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A6BF9"/>
    <w:multiLevelType w:val="multilevel"/>
    <w:tmpl w:val="45BA8156"/>
    <w:lvl w:ilvl="0">
      <w:start w:val="1"/>
      <w:numFmt w:val="upperRoman"/>
      <w:lvlText w:val="%1."/>
      <w:lvlJc w:val="left"/>
      <w:pPr>
        <w:ind w:left="0" w:firstLine="0"/>
      </w:pPr>
    </w:lvl>
    <w:lvl w:ilvl="1">
      <w:start w:val="1"/>
      <w:numFmt w:val="upperLetter"/>
      <w:lvlText w:val="%2."/>
      <w:lvlJc w:val="left"/>
      <w:pPr>
        <w:ind w:left="720" w:firstLine="0"/>
      </w:pPr>
      <w:rPr>
        <w:b w:val="0"/>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0DA23484"/>
    <w:multiLevelType w:val="hybridMultilevel"/>
    <w:tmpl w:val="C6240F5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14F3B"/>
    <w:multiLevelType w:val="hybridMultilevel"/>
    <w:tmpl w:val="409C0BF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8E52A7"/>
    <w:multiLevelType w:val="hybridMultilevel"/>
    <w:tmpl w:val="4956C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A4DDA"/>
    <w:multiLevelType w:val="hybridMultilevel"/>
    <w:tmpl w:val="3F7A8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07D64"/>
    <w:multiLevelType w:val="hybridMultilevel"/>
    <w:tmpl w:val="89002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3C1F29"/>
    <w:multiLevelType w:val="hybridMultilevel"/>
    <w:tmpl w:val="5DEA3C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8B019E"/>
    <w:multiLevelType w:val="hybridMultilevel"/>
    <w:tmpl w:val="5A62D8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BC2E76"/>
    <w:multiLevelType w:val="hybridMultilevel"/>
    <w:tmpl w:val="45428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EC6FA6"/>
    <w:multiLevelType w:val="hybridMultilevel"/>
    <w:tmpl w:val="3DEE49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505098"/>
    <w:multiLevelType w:val="hybridMultilevel"/>
    <w:tmpl w:val="8A4C1970"/>
    <w:lvl w:ilvl="0" w:tplc="04090013">
      <w:start w:val="1"/>
      <w:numFmt w:val="upp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1D9920E2"/>
    <w:multiLevelType w:val="hybridMultilevel"/>
    <w:tmpl w:val="409C0BF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F6219D4"/>
    <w:multiLevelType w:val="hybridMultilevel"/>
    <w:tmpl w:val="4956C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A00A90"/>
    <w:multiLevelType w:val="multilevel"/>
    <w:tmpl w:val="82B4B264"/>
    <w:lvl w:ilvl="0">
      <w:start w:val="1"/>
      <w:numFmt w:val="upperRoman"/>
      <w:pStyle w:val="Heading1"/>
      <w:lvlText w:val="%1."/>
      <w:lvlJc w:val="left"/>
      <w:pPr>
        <w:ind w:left="0" w:firstLine="0"/>
      </w:pPr>
      <w:rPr>
        <w:b/>
      </w:rPr>
    </w:lvl>
    <w:lvl w:ilvl="1">
      <w:start w:val="1"/>
      <w:numFmt w:val="upperLetter"/>
      <w:pStyle w:val="Heading2"/>
      <w:lvlText w:val="%2."/>
      <w:lvlJc w:val="left"/>
      <w:pPr>
        <w:ind w:left="720" w:firstLine="0"/>
      </w:pPr>
      <w:rPr>
        <w:b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2FB56D60"/>
    <w:multiLevelType w:val="hybridMultilevel"/>
    <w:tmpl w:val="4956C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534AB5"/>
    <w:multiLevelType w:val="hybridMultilevel"/>
    <w:tmpl w:val="DC287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932AA2"/>
    <w:multiLevelType w:val="hybridMultilevel"/>
    <w:tmpl w:val="AD785384"/>
    <w:lvl w:ilvl="0" w:tplc="59D4AED4">
      <w:start w:val="1"/>
      <w:numFmt w:val="low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66BA0"/>
    <w:multiLevelType w:val="hybridMultilevel"/>
    <w:tmpl w:val="714CDBC0"/>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DE1D23"/>
    <w:multiLevelType w:val="hybridMultilevel"/>
    <w:tmpl w:val="012A0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887222"/>
    <w:multiLevelType w:val="hybridMultilevel"/>
    <w:tmpl w:val="26A62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7BA7"/>
    <w:multiLevelType w:val="hybridMultilevel"/>
    <w:tmpl w:val="8A4C1970"/>
    <w:lvl w:ilvl="0" w:tplc="04090013">
      <w:start w:val="1"/>
      <w:numFmt w:val="upp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51B6AC3"/>
    <w:multiLevelType w:val="hybridMultilevel"/>
    <w:tmpl w:val="01FA4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079A9"/>
    <w:multiLevelType w:val="hybridMultilevel"/>
    <w:tmpl w:val="506A7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3A0ECE"/>
    <w:multiLevelType w:val="hybridMultilevel"/>
    <w:tmpl w:val="7F3A50EC"/>
    <w:lvl w:ilvl="0" w:tplc="04090013">
      <w:start w:val="1"/>
      <w:numFmt w:val="upp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0FA4295"/>
    <w:multiLevelType w:val="hybridMultilevel"/>
    <w:tmpl w:val="DC287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BA5A8D"/>
    <w:multiLevelType w:val="hybridMultilevel"/>
    <w:tmpl w:val="3FB2EA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061F49"/>
    <w:multiLevelType w:val="hybridMultilevel"/>
    <w:tmpl w:val="D3D89AF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DA4E51"/>
    <w:multiLevelType w:val="hybridMultilevel"/>
    <w:tmpl w:val="82D22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2A338E"/>
    <w:multiLevelType w:val="hybridMultilevel"/>
    <w:tmpl w:val="1A3E3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9C6197"/>
    <w:multiLevelType w:val="hybridMultilevel"/>
    <w:tmpl w:val="51F8F5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7A18D0"/>
    <w:multiLevelType w:val="hybridMultilevel"/>
    <w:tmpl w:val="325EC5A6"/>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D24D0C"/>
    <w:multiLevelType w:val="hybridMultilevel"/>
    <w:tmpl w:val="409C0BF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BD92E2D"/>
    <w:multiLevelType w:val="hybridMultilevel"/>
    <w:tmpl w:val="409C0BF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535995"/>
    <w:multiLevelType w:val="hybridMultilevel"/>
    <w:tmpl w:val="409C0BF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5976579"/>
    <w:multiLevelType w:val="hybridMultilevel"/>
    <w:tmpl w:val="294A4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0D52B8"/>
    <w:multiLevelType w:val="hybridMultilevel"/>
    <w:tmpl w:val="116A7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0448BC"/>
    <w:multiLevelType w:val="hybridMultilevel"/>
    <w:tmpl w:val="1A3E3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4A3086"/>
    <w:multiLevelType w:val="hybridMultilevel"/>
    <w:tmpl w:val="6696E78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B5D6D78"/>
    <w:multiLevelType w:val="hybridMultilevel"/>
    <w:tmpl w:val="C5EA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754BF4"/>
    <w:multiLevelType w:val="multilevel"/>
    <w:tmpl w:val="45BA8156"/>
    <w:lvl w:ilvl="0">
      <w:start w:val="1"/>
      <w:numFmt w:val="upperRoman"/>
      <w:lvlText w:val="%1."/>
      <w:lvlJc w:val="left"/>
      <w:pPr>
        <w:ind w:left="0" w:firstLine="0"/>
      </w:pPr>
    </w:lvl>
    <w:lvl w:ilvl="1">
      <w:start w:val="1"/>
      <w:numFmt w:val="upperLetter"/>
      <w:lvlText w:val="%2."/>
      <w:lvlJc w:val="left"/>
      <w:pPr>
        <w:ind w:left="720" w:firstLine="0"/>
      </w:pPr>
      <w:rPr>
        <w:b w:val="0"/>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5" w15:restartNumberingAfterBreak="0">
    <w:nsid w:val="7DF27C32"/>
    <w:multiLevelType w:val="hybridMultilevel"/>
    <w:tmpl w:val="1A3E3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0"/>
  </w:num>
  <w:num w:numId="3">
    <w:abstractNumId w:val="34"/>
  </w:num>
  <w:num w:numId="4">
    <w:abstractNumId w:val="13"/>
  </w:num>
  <w:num w:numId="5">
    <w:abstractNumId w:val="45"/>
  </w:num>
  <w:num w:numId="6">
    <w:abstractNumId w:val="3"/>
  </w:num>
  <w:num w:numId="7">
    <w:abstractNumId w:val="17"/>
  </w:num>
  <w:num w:numId="8">
    <w:abstractNumId w:val="21"/>
  </w:num>
  <w:num w:numId="9">
    <w:abstractNumId w:val="37"/>
  </w:num>
  <w:num w:numId="10">
    <w:abstractNumId w:val="26"/>
  </w:num>
  <w:num w:numId="11">
    <w:abstractNumId w:val="9"/>
  </w:num>
  <w:num w:numId="12">
    <w:abstractNumId w:val="32"/>
  </w:num>
  <w:num w:numId="13">
    <w:abstractNumId w:val="33"/>
  </w:num>
  <w:num w:numId="14">
    <w:abstractNumId w:val="28"/>
  </w:num>
  <w:num w:numId="15">
    <w:abstractNumId w:val="38"/>
  </w:num>
  <w:num w:numId="16">
    <w:abstractNumId w:val="7"/>
  </w:num>
  <w:num w:numId="17">
    <w:abstractNumId w:val="15"/>
  </w:num>
  <w:num w:numId="18">
    <w:abstractNumId w:val="2"/>
  </w:num>
  <w:num w:numId="19">
    <w:abstractNumId w:val="16"/>
  </w:num>
  <w:num w:numId="20">
    <w:abstractNumId w:val="8"/>
  </w:num>
  <w:num w:numId="21">
    <w:abstractNumId w:val="25"/>
  </w:num>
  <w:num w:numId="22">
    <w:abstractNumId w:val="41"/>
  </w:num>
  <w:num w:numId="23">
    <w:abstractNumId w:val="36"/>
  </w:num>
  <w:num w:numId="24">
    <w:abstractNumId w:val="19"/>
  </w:num>
  <w:num w:numId="25">
    <w:abstractNumId w:val="24"/>
  </w:num>
  <w:num w:numId="26">
    <w:abstractNumId w:val="22"/>
  </w:num>
  <w:num w:numId="27">
    <w:abstractNumId w:val="42"/>
  </w:num>
  <w:num w:numId="28">
    <w:abstractNumId w:val="6"/>
  </w:num>
  <w:num w:numId="29">
    <w:abstractNumId w:val="27"/>
  </w:num>
  <w:num w:numId="30">
    <w:abstractNumId w:val="20"/>
  </w:num>
  <w:num w:numId="31">
    <w:abstractNumId w:val="39"/>
  </w:num>
  <w:num w:numId="32">
    <w:abstractNumId w:val="35"/>
  </w:num>
  <w:num w:numId="33">
    <w:abstractNumId w:val="10"/>
  </w:num>
  <w:num w:numId="34">
    <w:abstractNumId w:val="14"/>
  </w:num>
  <w:num w:numId="35">
    <w:abstractNumId w:val="29"/>
  </w:num>
  <w:num w:numId="36">
    <w:abstractNumId w:val="43"/>
  </w:num>
  <w:num w:numId="37">
    <w:abstractNumId w:val="18"/>
  </w:num>
  <w:num w:numId="38">
    <w:abstractNumId w:val="11"/>
  </w:num>
  <w:num w:numId="39">
    <w:abstractNumId w:val="44"/>
  </w:num>
  <w:num w:numId="40">
    <w:abstractNumId w:val="5"/>
  </w:num>
  <w:num w:numId="41">
    <w:abstractNumId w:val="30"/>
  </w:num>
  <w:num w:numId="42">
    <w:abstractNumId w:val="0"/>
  </w:num>
  <w:num w:numId="43">
    <w:abstractNumId w:val="1"/>
  </w:num>
  <w:num w:numId="44">
    <w:abstractNumId w:val="23"/>
  </w:num>
  <w:num w:numId="45">
    <w:abstractNumId w:val="31"/>
  </w:num>
  <w:num w:numId="4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B7"/>
    <w:rsid w:val="00000A7C"/>
    <w:rsid w:val="0000104F"/>
    <w:rsid w:val="0000218B"/>
    <w:rsid w:val="00002974"/>
    <w:rsid w:val="0000604B"/>
    <w:rsid w:val="000060B1"/>
    <w:rsid w:val="000077F4"/>
    <w:rsid w:val="00010CAB"/>
    <w:rsid w:val="0001505C"/>
    <w:rsid w:val="00020B9E"/>
    <w:rsid w:val="00020C34"/>
    <w:rsid w:val="00021421"/>
    <w:rsid w:val="00021773"/>
    <w:rsid w:val="00030D3E"/>
    <w:rsid w:val="0004374B"/>
    <w:rsid w:val="000555F2"/>
    <w:rsid w:val="00066FAC"/>
    <w:rsid w:val="000717A3"/>
    <w:rsid w:val="00071BE0"/>
    <w:rsid w:val="000733FD"/>
    <w:rsid w:val="000747EF"/>
    <w:rsid w:val="00087669"/>
    <w:rsid w:val="00093289"/>
    <w:rsid w:val="00095503"/>
    <w:rsid w:val="00096EB0"/>
    <w:rsid w:val="000A2413"/>
    <w:rsid w:val="000A2B3B"/>
    <w:rsid w:val="000A32B9"/>
    <w:rsid w:val="000A4023"/>
    <w:rsid w:val="000B0A76"/>
    <w:rsid w:val="000B68E9"/>
    <w:rsid w:val="000C1F01"/>
    <w:rsid w:val="000C74AD"/>
    <w:rsid w:val="000D30F1"/>
    <w:rsid w:val="000D374E"/>
    <w:rsid w:val="000D43C6"/>
    <w:rsid w:val="000D6FD5"/>
    <w:rsid w:val="000D7711"/>
    <w:rsid w:val="000E110F"/>
    <w:rsid w:val="000E5752"/>
    <w:rsid w:val="000E6407"/>
    <w:rsid w:val="000E710D"/>
    <w:rsid w:val="000E75C1"/>
    <w:rsid w:val="000F1AB0"/>
    <w:rsid w:val="000F24CB"/>
    <w:rsid w:val="000F3895"/>
    <w:rsid w:val="000F5BD9"/>
    <w:rsid w:val="00102E55"/>
    <w:rsid w:val="001041CD"/>
    <w:rsid w:val="001049A1"/>
    <w:rsid w:val="001079BD"/>
    <w:rsid w:val="001128AA"/>
    <w:rsid w:val="001136C0"/>
    <w:rsid w:val="00114558"/>
    <w:rsid w:val="0011475E"/>
    <w:rsid w:val="00115E87"/>
    <w:rsid w:val="00123129"/>
    <w:rsid w:val="00125044"/>
    <w:rsid w:val="00131FC4"/>
    <w:rsid w:val="00132464"/>
    <w:rsid w:val="00135FB4"/>
    <w:rsid w:val="0014195E"/>
    <w:rsid w:val="0014296A"/>
    <w:rsid w:val="00144650"/>
    <w:rsid w:val="001457AE"/>
    <w:rsid w:val="00146957"/>
    <w:rsid w:val="0015001C"/>
    <w:rsid w:val="00151E1F"/>
    <w:rsid w:val="0015296E"/>
    <w:rsid w:val="001578AC"/>
    <w:rsid w:val="00160651"/>
    <w:rsid w:val="00162739"/>
    <w:rsid w:val="001632F0"/>
    <w:rsid w:val="00167CC3"/>
    <w:rsid w:val="001737AD"/>
    <w:rsid w:val="0017555C"/>
    <w:rsid w:val="00182D54"/>
    <w:rsid w:val="00183952"/>
    <w:rsid w:val="0019219B"/>
    <w:rsid w:val="00194204"/>
    <w:rsid w:val="00194963"/>
    <w:rsid w:val="00194FE2"/>
    <w:rsid w:val="00196D82"/>
    <w:rsid w:val="001978C0"/>
    <w:rsid w:val="00197C80"/>
    <w:rsid w:val="001A0E00"/>
    <w:rsid w:val="001A25E6"/>
    <w:rsid w:val="001A6587"/>
    <w:rsid w:val="001B57ED"/>
    <w:rsid w:val="001B77C4"/>
    <w:rsid w:val="001C41C3"/>
    <w:rsid w:val="001C50E3"/>
    <w:rsid w:val="001D1A5A"/>
    <w:rsid w:val="001D3576"/>
    <w:rsid w:val="001D7F13"/>
    <w:rsid w:val="001E14F9"/>
    <w:rsid w:val="001E6F24"/>
    <w:rsid w:val="001F35DD"/>
    <w:rsid w:val="001F45E1"/>
    <w:rsid w:val="001F5110"/>
    <w:rsid w:val="001F7E89"/>
    <w:rsid w:val="00203421"/>
    <w:rsid w:val="002038EA"/>
    <w:rsid w:val="00205D2E"/>
    <w:rsid w:val="0020650C"/>
    <w:rsid w:val="002229F1"/>
    <w:rsid w:val="002235BD"/>
    <w:rsid w:val="00223680"/>
    <w:rsid w:val="00223C29"/>
    <w:rsid w:val="002258AB"/>
    <w:rsid w:val="00232EB1"/>
    <w:rsid w:val="0023376C"/>
    <w:rsid w:val="002369BA"/>
    <w:rsid w:val="00237ADE"/>
    <w:rsid w:val="002412B5"/>
    <w:rsid w:val="00244560"/>
    <w:rsid w:val="00247C12"/>
    <w:rsid w:val="00247FBB"/>
    <w:rsid w:val="00253321"/>
    <w:rsid w:val="00254A8A"/>
    <w:rsid w:val="002551D8"/>
    <w:rsid w:val="00261807"/>
    <w:rsid w:val="00266410"/>
    <w:rsid w:val="00282728"/>
    <w:rsid w:val="00282BEF"/>
    <w:rsid w:val="00284744"/>
    <w:rsid w:val="00287231"/>
    <w:rsid w:val="002900CE"/>
    <w:rsid w:val="00294AAB"/>
    <w:rsid w:val="00294D86"/>
    <w:rsid w:val="00295825"/>
    <w:rsid w:val="002A29AD"/>
    <w:rsid w:val="002A6534"/>
    <w:rsid w:val="002A6B16"/>
    <w:rsid w:val="002B7DBC"/>
    <w:rsid w:val="002C1F30"/>
    <w:rsid w:val="002C330F"/>
    <w:rsid w:val="002C4C38"/>
    <w:rsid w:val="002C53D4"/>
    <w:rsid w:val="002D67C2"/>
    <w:rsid w:val="002D6AFD"/>
    <w:rsid w:val="002E0322"/>
    <w:rsid w:val="002E0CD7"/>
    <w:rsid w:val="002E16C6"/>
    <w:rsid w:val="002F32F8"/>
    <w:rsid w:val="002F69BB"/>
    <w:rsid w:val="00300266"/>
    <w:rsid w:val="003049D9"/>
    <w:rsid w:val="003065FD"/>
    <w:rsid w:val="003213F0"/>
    <w:rsid w:val="0032342A"/>
    <w:rsid w:val="003235EC"/>
    <w:rsid w:val="00323B8E"/>
    <w:rsid w:val="003255D0"/>
    <w:rsid w:val="00325B94"/>
    <w:rsid w:val="0034231E"/>
    <w:rsid w:val="003434F3"/>
    <w:rsid w:val="00343584"/>
    <w:rsid w:val="00350728"/>
    <w:rsid w:val="003523F4"/>
    <w:rsid w:val="003574D7"/>
    <w:rsid w:val="003603AE"/>
    <w:rsid w:val="0036477B"/>
    <w:rsid w:val="00365CDF"/>
    <w:rsid w:val="00372760"/>
    <w:rsid w:val="00374067"/>
    <w:rsid w:val="00385644"/>
    <w:rsid w:val="00386540"/>
    <w:rsid w:val="00394F24"/>
    <w:rsid w:val="003A6296"/>
    <w:rsid w:val="003A7E5F"/>
    <w:rsid w:val="003C5D4F"/>
    <w:rsid w:val="003C7EA7"/>
    <w:rsid w:val="003D0238"/>
    <w:rsid w:val="003D1585"/>
    <w:rsid w:val="003D7C3B"/>
    <w:rsid w:val="003E1129"/>
    <w:rsid w:val="003E2CFD"/>
    <w:rsid w:val="003E5F0B"/>
    <w:rsid w:val="003E7429"/>
    <w:rsid w:val="003F042E"/>
    <w:rsid w:val="003F67F3"/>
    <w:rsid w:val="00401B05"/>
    <w:rsid w:val="00402FDF"/>
    <w:rsid w:val="00405F95"/>
    <w:rsid w:val="00405FE6"/>
    <w:rsid w:val="00407D40"/>
    <w:rsid w:val="00410A92"/>
    <w:rsid w:val="004114C2"/>
    <w:rsid w:val="00411A5B"/>
    <w:rsid w:val="004123DE"/>
    <w:rsid w:val="0041710A"/>
    <w:rsid w:val="00417B07"/>
    <w:rsid w:val="004257BC"/>
    <w:rsid w:val="00433BCD"/>
    <w:rsid w:val="004344F0"/>
    <w:rsid w:val="00440036"/>
    <w:rsid w:val="004400B2"/>
    <w:rsid w:val="00442438"/>
    <w:rsid w:val="00443CE7"/>
    <w:rsid w:val="004471CC"/>
    <w:rsid w:val="004472B4"/>
    <w:rsid w:val="004509AF"/>
    <w:rsid w:val="0045518E"/>
    <w:rsid w:val="00456E7D"/>
    <w:rsid w:val="0045774A"/>
    <w:rsid w:val="00460DCC"/>
    <w:rsid w:val="00462E01"/>
    <w:rsid w:val="00466D02"/>
    <w:rsid w:val="00467E7F"/>
    <w:rsid w:val="00470275"/>
    <w:rsid w:val="00470A36"/>
    <w:rsid w:val="00471420"/>
    <w:rsid w:val="00471D8E"/>
    <w:rsid w:val="004733B1"/>
    <w:rsid w:val="00473BF8"/>
    <w:rsid w:val="004764FE"/>
    <w:rsid w:val="00477D93"/>
    <w:rsid w:val="00480D51"/>
    <w:rsid w:val="00483472"/>
    <w:rsid w:val="00483D41"/>
    <w:rsid w:val="00491688"/>
    <w:rsid w:val="004931A4"/>
    <w:rsid w:val="00495A7E"/>
    <w:rsid w:val="00496092"/>
    <w:rsid w:val="00496CBE"/>
    <w:rsid w:val="004A2CDD"/>
    <w:rsid w:val="004A32B8"/>
    <w:rsid w:val="004A7E3D"/>
    <w:rsid w:val="004B1690"/>
    <w:rsid w:val="004B23B6"/>
    <w:rsid w:val="004B35FC"/>
    <w:rsid w:val="004B3B56"/>
    <w:rsid w:val="004C310C"/>
    <w:rsid w:val="004C5F48"/>
    <w:rsid w:val="004C5F76"/>
    <w:rsid w:val="004D0C50"/>
    <w:rsid w:val="004D6283"/>
    <w:rsid w:val="004E2076"/>
    <w:rsid w:val="004E27B7"/>
    <w:rsid w:val="004E300E"/>
    <w:rsid w:val="004E585A"/>
    <w:rsid w:val="004F3783"/>
    <w:rsid w:val="004F6723"/>
    <w:rsid w:val="005004B7"/>
    <w:rsid w:val="00500C1D"/>
    <w:rsid w:val="0050408D"/>
    <w:rsid w:val="0050489D"/>
    <w:rsid w:val="00504A48"/>
    <w:rsid w:val="00506F26"/>
    <w:rsid w:val="0051065E"/>
    <w:rsid w:val="0051085C"/>
    <w:rsid w:val="0051148D"/>
    <w:rsid w:val="0051155C"/>
    <w:rsid w:val="005168F5"/>
    <w:rsid w:val="0053122C"/>
    <w:rsid w:val="00531242"/>
    <w:rsid w:val="00535CA6"/>
    <w:rsid w:val="005418C3"/>
    <w:rsid w:val="00544DCB"/>
    <w:rsid w:val="00551B54"/>
    <w:rsid w:val="00553C8E"/>
    <w:rsid w:val="005577D8"/>
    <w:rsid w:val="00565D1C"/>
    <w:rsid w:val="005663C2"/>
    <w:rsid w:val="00567FD2"/>
    <w:rsid w:val="00574BCD"/>
    <w:rsid w:val="0057502E"/>
    <w:rsid w:val="00577590"/>
    <w:rsid w:val="005778E4"/>
    <w:rsid w:val="00592F31"/>
    <w:rsid w:val="005942B0"/>
    <w:rsid w:val="005946C7"/>
    <w:rsid w:val="005A5642"/>
    <w:rsid w:val="005A56A8"/>
    <w:rsid w:val="005A57DF"/>
    <w:rsid w:val="005A5F2E"/>
    <w:rsid w:val="005A7064"/>
    <w:rsid w:val="005A723D"/>
    <w:rsid w:val="005B68E5"/>
    <w:rsid w:val="005C479A"/>
    <w:rsid w:val="005C7B9D"/>
    <w:rsid w:val="005D15B1"/>
    <w:rsid w:val="005D1F4F"/>
    <w:rsid w:val="005D326D"/>
    <w:rsid w:val="005D71A7"/>
    <w:rsid w:val="005D7FDD"/>
    <w:rsid w:val="005E4D5E"/>
    <w:rsid w:val="005F05CB"/>
    <w:rsid w:val="005F0B2C"/>
    <w:rsid w:val="005F1061"/>
    <w:rsid w:val="005F3500"/>
    <w:rsid w:val="005F4DE2"/>
    <w:rsid w:val="005F5CBF"/>
    <w:rsid w:val="0060237B"/>
    <w:rsid w:val="0060539E"/>
    <w:rsid w:val="006057C2"/>
    <w:rsid w:val="0060700B"/>
    <w:rsid w:val="00607DA2"/>
    <w:rsid w:val="00610944"/>
    <w:rsid w:val="00615374"/>
    <w:rsid w:val="006155ED"/>
    <w:rsid w:val="00616438"/>
    <w:rsid w:val="00616CF0"/>
    <w:rsid w:val="00623A96"/>
    <w:rsid w:val="0062659D"/>
    <w:rsid w:val="00631D6A"/>
    <w:rsid w:val="00632D4E"/>
    <w:rsid w:val="0063567F"/>
    <w:rsid w:val="00635962"/>
    <w:rsid w:val="00643A43"/>
    <w:rsid w:val="00645650"/>
    <w:rsid w:val="006462A1"/>
    <w:rsid w:val="00646588"/>
    <w:rsid w:val="0064695D"/>
    <w:rsid w:val="006520F9"/>
    <w:rsid w:val="00657E35"/>
    <w:rsid w:val="0066014F"/>
    <w:rsid w:val="006604AE"/>
    <w:rsid w:val="00660B8A"/>
    <w:rsid w:val="006610C4"/>
    <w:rsid w:val="00663CF3"/>
    <w:rsid w:val="00667002"/>
    <w:rsid w:val="00667066"/>
    <w:rsid w:val="006721AA"/>
    <w:rsid w:val="00674D5F"/>
    <w:rsid w:val="0068083C"/>
    <w:rsid w:val="00680AFD"/>
    <w:rsid w:val="00690B69"/>
    <w:rsid w:val="006913A7"/>
    <w:rsid w:val="00692461"/>
    <w:rsid w:val="00693900"/>
    <w:rsid w:val="00695D82"/>
    <w:rsid w:val="00696517"/>
    <w:rsid w:val="006A04E0"/>
    <w:rsid w:val="006A6BE1"/>
    <w:rsid w:val="006C0471"/>
    <w:rsid w:val="006C6957"/>
    <w:rsid w:val="006D4BB8"/>
    <w:rsid w:val="006E06C2"/>
    <w:rsid w:val="006E0C70"/>
    <w:rsid w:val="006E10C2"/>
    <w:rsid w:val="006E35F3"/>
    <w:rsid w:val="006E69E7"/>
    <w:rsid w:val="006F2F6E"/>
    <w:rsid w:val="006F3871"/>
    <w:rsid w:val="007032FD"/>
    <w:rsid w:val="00716F8B"/>
    <w:rsid w:val="00723853"/>
    <w:rsid w:val="00723D48"/>
    <w:rsid w:val="00730712"/>
    <w:rsid w:val="00737A75"/>
    <w:rsid w:val="00740FB4"/>
    <w:rsid w:val="00741CF2"/>
    <w:rsid w:val="00751BC2"/>
    <w:rsid w:val="007536CE"/>
    <w:rsid w:val="00757029"/>
    <w:rsid w:val="007619A8"/>
    <w:rsid w:val="00763695"/>
    <w:rsid w:val="00776E52"/>
    <w:rsid w:val="00776F45"/>
    <w:rsid w:val="00782DB1"/>
    <w:rsid w:val="00790718"/>
    <w:rsid w:val="007929F9"/>
    <w:rsid w:val="00796C57"/>
    <w:rsid w:val="007A5975"/>
    <w:rsid w:val="007B5685"/>
    <w:rsid w:val="007C1610"/>
    <w:rsid w:val="007C7DC9"/>
    <w:rsid w:val="007D3DB7"/>
    <w:rsid w:val="007E6F32"/>
    <w:rsid w:val="007F03BB"/>
    <w:rsid w:val="007F30AE"/>
    <w:rsid w:val="007F3BA0"/>
    <w:rsid w:val="007F3CA8"/>
    <w:rsid w:val="007F4DFF"/>
    <w:rsid w:val="007F59D4"/>
    <w:rsid w:val="00805C73"/>
    <w:rsid w:val="008109BB"/>
    <w:rsid w:val="008119AC"/>
    <w:rsid w:val="00812E6D"/>
    <w:rsid w:val="00813C6E"/>
    <w:rsid w:val="00823A3A"/>
    <w:rsid w:val="00824543"/>
    <w:rsid w:val="008273B4"/>
    <w:rsid w:val="00837793"/>
    <w:rsid w:val="008416B5"/>
    <w:rsid w:val="00843841"/>
    <w:rsid w:val="008453A2"/>
    <w:rsid w:val="00846D46"/>
    <w:rsid w:val="008537BD"/>
    <w:rsid w:val="0085449E"/>
    <w:rsid w:val="008544F0"/>
    <w:rsid w:val="008546C4"/>
    <w:rsid w:val="00863A83"/>
    <w:rsid w:val="00864B17"/>
    <w:rsid w:val="00864FA4"/>
    <w:rsid w:val="00865606"/>
    <w:rsid w:val="0086622F"/>
    <w:rsid w:val="008666FC"/>
    <w:rsid w:val="00870574"/>
    <w:rsid w:val="00873B49"/>
    <w:rsid w:val="00882AE6"/>
    <w:rsid w:val="00885630"/>
    <w:rsid w:val="008911B7"/>
    <w:rsid w:val="00895403"/>
    <w:rsid w:val="008960E0"/>
    <w:rsid w:val="00897FD8"/>
    <w:rsid w:val="008A1669"/>
    <w:rsid w:val="008A1CA1"/>
    <w:rsid w:val="008A2E6F"/>
    <w:rsid w:val="008A3746"/>
    <w:rsid w:val="008A6891"/>
    <w:rsid w:val="008B390A"/>
    <w:rsid w:val="008B4554"/>
    <w:rsid w:val="008B612D"/>
    <w:rsid w:val="008B6DB1"/>
    <w:rsid w:val="008C1803"/>
    <w:rsid w:val="008C4A18"/>
    <w:rsid w:val="008C6FA6"/>
    <w:rsid w:val="008D05B3"/>
    <w:rsid w:val="008D3AD1"/>
    <w:rsid w:val="008D45C0"/>
    <w:rsid w:val="008D4F0D"/>
    <w:rsid w:val="008D72B8"/>
    <w:rsid w:val="008E322B"/>
    <w:rsid w:val="008E604E"/>
    <w:rsid w:val="008F28EB"/>
    <w:rsid w:val="008F34D0"/>
    <w:rsid w:val="008F62DA"/>
    <w:rsid w:val="008F6B22"/>
    <w:rsid w:val="008F7DA1"/>
    <w:rsid w:val="00902A0A"/>
    <w:rsid w:val="009052ED"/>
    <w:rsid w:val="0090751D"/>
    <w:rsid w:val="0091000F"/>
    <w:rsid w:val="009128CB"/>
    <w:rsid w:val="00912F77"/>
    <w:rsid w:val="00913A42"/>
    <w:rsid w:val="0091619E"/>
    <w:rsid w:val="00926EE6"/>
    <w:rsid w:val="00931FA7"/>
    <w:rsid w:val="009329D1"/>
    <w:rsid w:val="00937A04"/>
    <w:rsid w:val="00937B31"/>
    <w:rsid w:val="00941E85"/>
    <w:rsid w:val="00944969"/>
    <w:rsid w:val="00957DA1"/>
    <w:rsid w:val="00957E06"/>
    <w:rsid w:val="00962DC3"/>
    <w:rsid w:val="00967CE1"/>
    <w:rsid w:val="00970AE5"/>
    <w:rsid w:val="00973912"/>
    <w:rsid w:val="00974ECD"/>
    <w:rsid w:val="00975857"/>
    <w:rsid w:val="0097668B"/>
    <w:rsid w:val="009772AD"/>
    <w:rsid w:val="0097761D"/>
    <w:rsid w:val="00981E2C"/>
    <w:rsid w:val="00984D76"/>
    <w:rsid w:val="00990BD7"/>
    <w:rsid w:val="00991280"/>
    <w:rsid w:val="009937B2"/>
    <w:rsid w:val="00993858"/>
    <w:rsid w:val="00994B79"/>
    <w:rsid w:val="00997CC0"/>
    <w:rsid w:val="009A4C24"/>
    <w:rsid w:val="009B2918"/>
    <w:rsid w:val="009C15EC"/>
    <w:rsid w:val="009C793B"/>
    <w:rsid w:val="009C79AE"/>
    <w:rsid w:val="009D1AF0"/>
    <w:rsid w:val="009D221E"/>
    <w:rsid w:val="009D6339"/>
    <w:rsid w:val="009E1FD5"/>
    <w:rsid w:val="009E7C28"/>
    <w:rsid w:val="009F4C20"/>
    <w:rsid w:val="009F76B6"/>
    <w:rsid w:val="00A00825"/>
    <w:rsid w:val="00A032C6"/>
    <w:rsid w:val="00A034B8"/>
    <w:rsid w:val="00A10DA2"/>
    <w:rsid w:val="00A10F10"/>
    <w:rsid w:val="00A2349E"/>
    <w:rsid w:val="00A3039B"/>
    <w:rsid w:val="00A32B50"/>
    <w:rsid w:val="00A3415A"/>
    <w:rsid w:val="00A3513E"/>
    <w:rsid w:val="00A3764F"/>
    <w:rsid w:val="00A41C58"/>
    <w:rsid w:val="00A4554C"/>
    <w:rsid w:val="00A50602"/>
    <w:rsid w:val="00A55B6E"/>
    <w:rsid w:val="00A57734"/>
    <w:rsid w:val="00A605A5"/>
    <w:rsid w:val="00A61713"/>
    <w:rsid w:val="00A6605A"/>
    <w:rsid w:val="00A67B40"/>
    <w:rsid w:val="00A72A5C"/>
    <w:rsid w:val="00A74CE7"/>
    <w:rsid w:val="00A8054A"/>
    <w:rsid w:val="00A87026"/>
    <w:rsid w:val="00A87F89"/>
    <w:rsid w:val="00A9028C"/>
    <w:rsid w:val="00A91EAA"/>
    <w:rsid w:val="00A92540"/>
    <w:rsid w:val="00A92B8C"/>
    <w:rsid w:val="00A93979"/>
    <w:rsid w:val="00AA1693"/>
    <w:rsid w:val="00AA1CC9"/>
    <w:rsid w:val="00AA3C14"/>
    <w:rsid w:val="00AA63C7"/>
    <w:rsid w:val="00AA7DE8"/>
    <w:rsid w:val="00AC0D60"/>
    <w:rsid w:val="00AC0D9E"/>
    <w:rsid w:val="00AD1539"/>
    <w:rsid w:val="00AE3614"/>
    <w:rsid w:val="00AE7390"/>
    <w:rsid w:val="00AF0ADF"/>
    <w:rsid w:val="00AF3A36"/>
    <w:rsid w:val="00AF50C1"/>
    <w:rsid w:val="00AF6990"/>
    <w:rsid w:val="00AF6B7E"/>
    <w:rsid w:val="00B034F9"/>
    <w:rsid w:val="00B0497D"/>
    <w:rsid w:val="00B04A16"/>
    <w:rsid w:val="00B05B7C"/>
    <w:rsid w:val="00B1360D"/>
    <w:rsid w:val="00B17D98"/>
    <w:rsid w:val="00B26B60"/>
    <w:rsid w:val="00B35B04"/>
    <w:rsid w:val="00B3742D"/>
    <w:rsid w:val="00B50686"/>
    <w:rsid w:val="00B53102"/>
    <w:rsid w:val="00B5624C"/>
    <w:rsid w:val="00B562A8"/>
    <w:rsid w:val="00B57949"/>
    <w:rsid w:val="00B6206B"/>
    <w:rsid w:val="00B629A0"/>
    <w:rsid w:val="00B82CDD"/>
    <w:rsid w:val="00B82DE4"/>
    <w:rsid w:val="00B85F75"/>
    <w:rsid w:val="00B86C7A"/>
    <w:rsid w:val="00B876AC"/>
    <w:rsid w:val="00B87C5A"/>
    <w:rsid w:val="00B942A2"/>
    <w:rsid w:val="00BA12AB"/>
    <w:rsid w:val="00BA35E7"/>
    <w:rsid w:val="00BA4F4F"/>
    <w:rsid w:val="00BA5656"/>
    <w:rsid w:val="00BB0E35"/>
    <w:rsid w:val="00BB43F1"/>
    <w:rsid w:val="00BB5222"/>
    <w:rsid w:val="00BB670A"/>
    <w:rsid w:val="00BC4192"/>
    <w:rsid w:val="00BC6AD3"/>
    <w:rsid w:val="00BD0CCC"/>
    <w:rsid w:val="00BD410A"/>
    <w:rsid w:val="00BD589A"/>
    <w:rsid w:val="00BE5A3F"/>
    <w:rsid w:val="00BE6B1D"/>
    <w:rsid w:val="00BF351B"/>
    <w:rsid w:val="00C059A7"/>
    <w:rsid w:val="00C105DC"/>
    <w:rsid w:val="00C17278"/>
    <w:rsid w:val="00C1740B"/>
    <w:rsid w:val="00C200B7"/>
    <w:rsid w:val="00C2273E"/>
    <w:rsid w:val="00C2471B"/>
    <w:rsid w:val="00C2676F"/>
    <w:rsid w:val="00C27F7D"/>
    <w:rsid w:val="00C34F21"/>
    <w:rsid w:val="00C36035"/>
    <w:rsid w:val="00C379E1"/>
    <w:rsid w:val="00C414A6"/>
    <w:rsid w:val="00C43108"/>
    <w:rsid w:val="00C45BAE"/>
    <w:rsid w:val="00C468A7"/>
    <w:rsid w:val="00C52881"/>
    <w:rsid w:val="00C52C8D"/>
    <w:rsid w:val="00C538A8"/>
    <w:rsid w:val="00C55E88"/>
    <w:rsid w:val="00C62FEC"/>
    <w:rsid w:val="00C66DC8"/>
    <w:rsid w:val="00C7089E"/>
    <w:rsid w:val="00C70A47"/>
    <w:rsid w:val="00C72147"/>
    <w:rsid w:val="00C725C5"/>
    <w:rsid w:val="00C72CD2"/>
    <w:rsid w:val="00C75A86"/>
    <w:rsid w:val="00C87589"/>
    <w:rsid w:val="00C921F8"/>
    <w:rsid w:val="00C93799"/>
    <w:rsid w:val="00C9434B"/>
    <w:rsid w:val="00C94535"/>
    <w:rsid w:val="00CA0276"/>
    <w:rsid w:val="00CA39E9"/>
    <w:rsid w:val="00CA456A"/>
    <w:rsid w:val="00CA5EA1"/>
    <w:rsid w:val="00CA6EA9"/>
    <w:rsid w:val="00CA73ED"/>
    <w:rsid w:val="00CA7E0B"/>
    <w:rsid w:val="00CB5359"/>
    <w:rsid w:val="00CB5C26"/>
    <w:rsid w:val="00CB639D"/>
    <w:rsid w:val="00CC2D2A"/>
    <w:rsid w:val="00CC51AF"/>
    <w:rsid w:val="00CC6CB2"/>
    <w:rsid w:val="00CD01DA"/>
    <w:rsid w:val="00CD2E15"/>
    <w:rsid w:val="00CD3A0C"/>
    <w:rsid w:val="00CD5564"/>
    <w:rsid w:val="00CE0EC9"/>
    <w:rsid w:val="00CE2269"/>
    <w:rsid w:val="00CE357B"/>
    <w:rsid w:val="00CE4158"/>
    <w:rsid w:val="00CE56D8"/>
    <w:rsid w:val="00CE5EDE"/>
    <w:rsid w:val="00CF0F6C"/>
    <w:rsid w:val="00CF112B"/>
    <w:rsid w:val="00CF26AF"/>
    <w:rsid w:val="00CF2A3B"/>
    <w:rsid w:val="00D02653"/>
    <w:rsid w:val="00D05711"/>
    <w:rsid w:val="00D11111"/>
    <w:rsid w:val="00D1530A"/>
    <w:rsid w:val="00D206FE"/>
    <w:rsid w:val="00D20BBF"/>
    <w:rsid w:val="00D23E56"/>
    <w:rsid w:val="00D24E35"/>
    <w:rsid w:val="00D278A4"/>
    <w:rsid w:val="00D31D14"/>
    <w:rsid w:val="00D32C06"/>
    <w:rsid w:val="00D36563"/>
    <w:rsid w:val="00D4044A"/>
    <w:rsid w:val="00D4275D"/>
    <w:rsid w:val="00D4297D"/>
    <w:rsid w:val="00D4336B"/>
    <w:rsid w:val="00D540AC"/>
    <w:rsid w:val="00D550C0"/>
    <w:rsid w:val="00D57179"/>
    <w:rsid w:val="00D6036D"/>
    <w:rsid w:val="00D6042B"/>
    <w:rsid w:val="00D61554"/>
    <w:rsid w:val="00D6530A"/>
    <w:rsid w:val="00D658BF"/>
    <w:rsid w:val="00D7003C"/>
    <w:rsid w:val="00D7117E"/>
    <w:rsid w:val="00D71E3A"/>
    <w:rsid w:val="00D72E04"/>
    <w:rsid w:val="00D734E8"/>
    <w:rsid w:val="00D7566D"/>
    <w:rsid w:val="00D75ABD"/>
    <w:rsid w:val="00D779B6"/>
    <w:rsid w:val="00D81951"/>
    <w:rsid w:val="00D84668"/>
    <w:rsid w:val="00D860E3"/>
    <w:rsid w:val="00D93B95"/>
    <w:rsid w:val="00D97AE2"/>
    <w:rsid w:val="00DA068B"/>
    <w:rsid w:val="00DB03CA"/>
    <w:rsid w:val="00DB1F5F"/>
    <w:rsid w:val="00DB2A79"/>
    <w:rsid w:val="00DB4BF8"/>
    <w:rsid w:val="00DB551C"/>
    <w:rsid w:val="00DB6090"/>
    <w:rsid w:val="00DB7D81"/>
    <w:rsid w:val="00DC093B"/>
    <w:rsid w:val="00DC1D73"/>
    <w:rsid w:val="00DC3AD7"/>
    <w:rsid w:val="00DC41F6"/>
    <w:rsid w:val="00DD03AA"/>
    <w:rsid w:val="00DD185B"/>
    <w:rsid w:val="00DD3CC4"/>
    <w:rsid w:val="00DD40FA"/>
    <w:rsid w:val="00DD6C90"/>
    <w:rsid w:val="00DE0DE4"/>
    <w:rsid w:val="00DE1C8A"/>
    <w:rsid w:val="00DE411B"/>
    <w:rsid w:val="00DE43F8"/>
    <w:rsid w:val="00DE52AB"/>
    <w:rsid w:val="00DE624C"/>
    <w:rsid w:val="00DE71B2"/>
    <w:rsid w:val="00DE77D0"/>
    <w:rsid w:val="00DE7DEF"/>
    <w:rsid w:val="00DF0828"/>
    <w:rsid w:val="00DF3046"/>
    <w:rsid w:val="00DF32BC"/>
    <w:rsid w:val="00DF686B"/>
    <w:rsid w:val="00E1188C"/>
    <w:rsid w:val="00E16FB1"/>
    <w:rsid w:val="00E200BD"/>
    <w:rsid w:val="00E203AB"/>
    <w:rsid w:val="00E21F7F"/>
    <w:rsid w:val="00E236D5"/>
    <w:rsid w:val="00E261E2"/>
    <w:rsid w:val="00E27A7E"/>
    <w:rsid w:val="00E30DB8"/>
    <w:rsid w:val="00E314E2"/>
    <w:rsid w:val="00E32618"/>
    <w:rsid w:val="00E34197"/>
    <w:rsid w:val="00E43717"/>
    <w:rsid w:val="00E545EB"/>
    <w:rsid w:val="00E55405"/>
    <w:rsid w:val="00E55DE9"/>
    <w:rsid w:val="00E5775F"/>
    <w:rsid w:val="00E63E4F"/>
    <w:rsid w:val="00E65FDA"/>
    <w:rsid w:val="00E66079"/>
    <w:rsid w:val="00E70E07"/>
    <w:rsid w:val="00E73796"/>
    <w:rsid w:val="00E73CA0"/>
    <w:rsid w:val="00E80C24"/>
    <w:rsid w:val="00E81E92"/>
    <w:rsid w:val="00E821BD"/>
    <w:rsid w:val="00E83752"/>
    <w:rsid w:val="00E87C38"/>
    <w:rsid w:val="00E9006A"/>
    <w:rsid w:val="00E93812"/>
    <w:rsid w:val="00EA2917"/>
    <w:rsid w:val="00EA3C2A"/>
    <w:rsid w:val="00EB32A1"/>
    <w:rsid w:val="00EB34F2"/>
    <w:rsid w:val="00EB3A74"/>
    <w:rsid w:val="00EB62B5"/>
    <w:rsid w:val="00EB65C0"/>
    <w:rsid w:val="00EC3108"/>
    <w:rsid w:val="00EC56F5"/>
    <w:rsid w:val="00ED229A"/>
    <w:rsid w:val="00ED744F"/>
    <w:rsid w:val="00ED7FD2"/>
    <w:rsid w:val="00EE0D6B"/>
    <w:rsid w:val="00EE11B8"/>
    <w:rsid w:val="00EE69D3"/>
    <w:rsid w:val="00EF13E5"/>
    <w:rsid w:val="00EF28BE"/>
    <w:rsid w:val="00EF2A2F"/>
    <w:rsid w:val="00EF44FB"/>
    <w:rsid w:val="00EF4EA4"/>
    <w:rsid w:val="00F0200C"/>
    <w:rsid w:val="00F03672"/>
    <w:rsid w:val="00F039B6"/>
    <w:rsid w:val="00F1081E"/>
    <w:rsid w:val="00F1370D"/>
    <w:rsid w:val="00F14581"/>
    <w:rsid w:val="00F22C5D"/>
    <w:rsid w:val="00F274FB"/>
    <w:rsid w:val="00F3116F"/>
    <w:rsid w:val="00F345F6"/>
    <w:rsid w:val="00F357CB"/>
    <w:rsid w:val="00F362CA"/>
    <w:rsid w:val="00F36692"/>
    <w:rsid w:val="00F374F8"/>
    <w:rsid w:val="00F40793"/>
    <w:rsid w:val="00F47090"/>
    <w:rsid w:val="00F47D84"/>
    <w:rsid w:val="00F514A0"/>
    <w:rsid w:val="00F55D77"/>
    <w:rsid w:val="00F64852"/>
    <w:rsid w:val="00F6604B"/>
    <w:rsid w:val="00F6663B"/>
    <w:rsid w:val="00F72306"/>
    <w:rsid w:val="00F74DA5"/>
    <w:rsid w:val="00F74E72"/>
    <w:rsid w:val="00F76298"/>
    <w:rsid w:val="00F77F41"/>
    <w:rsid w:val="00F8035D"/>
    <w:rsid w:val="00F83418"/>
    <w:rsid w:val="00F835BD"/>
    <w:rsid w:val="00F84D00"/>
    <w:rsid w:val="00F86185"/>
    <w:rsid w:val="00F8634B"/>
    <w:rsid w:val="00F866DB"/>
    <w:rsid w:val="00F86E7F"/>
    <w:rsid w:val="00FA04E2"/>
    <w:rsid w:val="00FA09C3"/>
    <w:rsid w:val="00FA31AE"/>
    <w:rsid w:val="00FA3E94"/>
    <w:rsid w:val="00FB19F6"/>
    <w:rsid w:val="00FB7426"/>
    <w:rsid w:val="00FB7A51"/>
    <w:rsid w:val="00FB7F04"/>
    <w:rsid w:val="00FC0338"/>
    <w:rsid w:val="00FC0B0C"/>
    <w:rsid w:val="00FC1A70"/>
    <w:rsid w:val="00FC5986"/>
    <w:rsid w:val="00FC5C12"/>
    <w:rsid w:val="00FD3135"/>
    <w:rsid w:val="00FD50C0"/>
    <w:rsid w:val="00FD5609"/>
    <w:rsid w:val="00FE157D"/>
    <w:rsid w:val="00FE18B6"/>
    <w:rsid w:val="00FE39EF"/>
    <w:rsid w:val="00FE6061"/>
    <w:rsid w:val="00FF4ADC"/>
    <w:rsid w:val="00FF6720"/>
    <w:rsid w:val="00FF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DA9E29"/>
  <w15:docId w15:val="{73D78B77-893C-4F0C-B8DD-ED79B908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D14"/>
  </w:style>
  <w:style w:type="paragraph" w:styleId="Heading1">
    <w:name w:val="heading 1"/>
    <w:basedOn w:val="Normal"/>
    <w:next w:val="Normal"/>
    <w:link w:val="Heading1Char"/>
    <w:uiPriority w:val="9"/>
    <w:qFormat/>
    <w:rsid w:val="004A32B8"/>
    <w:pPr>
      <w:keepNext/>
      <w:keepLines/>
      <w:numPr>
        <w:numId w:val="37"/>
      </w:numPr>
      <w:tabs>
        <w:tab w:val="left" w:pos="360"/>
      </w:tabs>
      <w:spacing w:before="120" w:after="120" w:line="240" w:lineRule="auto"/>
      <w:outlineLvl w:val="0"/>
    </w:pPr>
    <w:rPr>
      <w:rFonts w:ascii="Times New Roman" w:eastAsiaTheme="majorEastAsia" w:hAnsi="Times New Roman" w:cstheme="majorBidi"/>
      <w:b/>
      <w:caps/>
      <w:sz w:val="20"/>
      <w:szCs w:val="32"/>
    </w:rPr>
  </w:style>
  <w:style w:type="paragraph" w:styleId="Heading2">
    <w:name w:val="heading 2"/>
    <w:basedOn w:val="Normal"/>
    <w:next w:val="Normal"/>
    <w:link w:val="Heading2Char"/>
    <w:uiPriority w:val="9"/>
    <w:unhideWhenUsed/>
    <w:qFormat/>
    <w:rsid w:val="00266410"/>
    <w:pPr>
      <w:keepNext/>
      <w:keepLines/>
      <w:numPr>
        <w:ilvl w:val="1"/>
        <w:numId w:val="37"/>
      </w:numPr>
      <w:tabs>
        <w:tab w:val="left" w:pos="360"/>
      </w:tabs>
      <w:spacing w:before="120" w:after="120" w:line="240" w:lineRule="auto"/>
      <w:outlineLvl w:val="1"/>
    </w:pPr>
    <w:rPr>
      <w:rFonts w:ascii="Times New Roman" w:eastAsiaTheme="majorEastAsia" w:hAnsi="Times New Roman" w:cstheme="majorBidi"/>
      <w:sz w:val="20"/>
      <w:szCs w:val="26"/>
      <w:u w:val="single"/>
    </w:rPr>
  </w:style>
  <w:style w:type="paragraph" w:styleId="Heading3">
    <w:name w:val="heading 3"/>
    <w:basedOn w:val="Normal"/>
    <w:next w:val="Normal"/>
    <w:link w:val="Heading3Char"/>
    <w:uiPriority w:val="9"/>
    <w:unhideWhenUsed/>
    <w:qFormat/>
    <w:rsid w:val="00266410"/>
    <w:pPr>
      <w:keepNext/>
      <w:keepLines/>
      <w:numPr>
        <w:ilvl w:val="2"/>
        <w:numId w:val="37"/>
      </w:numPr>
      <w:tabs>
        <w:tab w:val="left" w:pos="360"/>
      </w:tabs>
      <w:spacing w:before="120" w:after="120" w:line="240" w:lineRule="auto"/>
      <w:outlineLvl w:val="2"/>
    </w:pPr>
    <w:rPr>
      <w:rFonts w:ascii="Times New Roman" w:eastAsiaTheme="majorEastAsia" w:hAnsi="Times New Roman" w:cstheme="majorBidi"/>
      <w:i/>
      <w:sz w:val="20"/>
      <w:szCs w:val="24"/>
      <w:lang w:val="en"/>
    </w:rPr>
  </w:style>
  <w:style w:type="paragraph" w:styleId="Heading4">
    <w:name w:val="heading 4"/>
    <w:basedOn w:val="Normal"/>
    <w:next w:val="Normal"/>
    <w:link w:val="Heading4Char"/>
    <w:uiPriority w:val="9"/>
    <w:unhideWhenUsed/>
    <w:qFormat/>
    <w:rsid w:val="001632F0"/>
    <w:pPr>
      <w:keepNext/>
      <w:keepLines/>
      <w:numPr>
        <w:ilvl w:val="3"/>
        <w:numId w:val="37"/>
      </w:numPr>
      <w:tabs>
        <w:tab w:val="left" w:pos="360"/>
      </w:tabs>
      <w:spacing w:before="120" w:after="120" w:line="240" w:lineRule="auto"/>
      <w:outlineLvl w:val="3"/>
    </w:pPr>
    <w:rPr>
      <w:rFonts w:ascii="Times New Roman" w:eastAsiaTheme="majorEastAsia" w:hAnsi="Times New Roman" w:cstheme="majorBidi"/>
      <w:iCs/>
      <w:sz w:val="20"/>
    </w:rPr>
  </w:style>
  <w:style w:type="paragraph" w:styleId="Heading5">
    <w:name w:val="heading 5"/>
    <w:basedOn w:val="Normal"/>
    <w:next w:val="Normal"/>
    <w:link w:val="Heading5Char"/>
    <w:uiPriority w:val="9"/>
    <w:semiHidden/>
    <w:unhideWhenUsed/>
    <w:qFormat/>
    <w:rsid w:val="004D6283"/>
    <w:pPr>
      <w:keepNext/>
      <w:keepLines/>
      <w:numPr>
        <w:ilvl w:val="4"/>
        <w:numId w:val="3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D6283"/>
    <w:pPr>
      <w:keepNext/>
      <w:keepLines/>
      <w:numPr>
        <w:ilvl w:val="5"/>
        <w:numId w:val="3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D6283"/>
    <w:pPr>
      <w:keepNext/>
      <w:keepLines/>
      <w:numPr>
        <w:ilvl w:val="6"/>
        <w:numId w:val="3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D6283"/>
    <w:pPr>
      <w:keepNext/>
      <w:keepLines/>
      <w:numPr>
        <w:ilvl w:val="7"/>
        <w:numId w:val="3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6283"/>
    <w:pPr>
      <w:keepNext/>
      <w:keepLines/>
      <w:numPr>
        <w:ilvl w:val="8"/>
        <w:numId w:val="3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1B7"/>
    <w:rPr>
      <w:color w:val="0563C1" w:themeColor="hyperlink"/>
      <w:u w:val="single"/>
    </w:rPr>
  </w:style>
  <w:style w:type="character" w:styleId="FollowedHyperlink">
    <w:name w:val="FollowedHyperlink"/>
    <w:basedOn w:val="DefaultParagraphFont"/>
    <w:uiPriority w:val="99"/>
    <w:semiHidden/>
    <w:unhideWhenUsed/>
    <w:rsid w:val="008911B7"/>
    <w:rPr>
      <w:color w:val="954F72" w:themeColor="followedHyperlink"/>
      <w:u w:val="single"/>
    </w:rPr>
  </w:style>
  <w:style w:type="paragraph" w:styleId="EndnoteText">
    <w:name w:val="endnote text"/>
    <w:basedOn w:val="Normal"/>
    <w:link w:val="EndnoteTextChar"/>
    <w:uiPriority w:val="99"/>
    <w:semiHidden/>
    <w:unhideWhenUsed/>
    <w:rsid w:val="002618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1807"/>
    <w:rPr>
      <w:sz w:val="20"/>
      <w:szCs w:val="20"/>
    </w:rPr>
  </w:style>
  <w:style w:type="character" w:styleId="EndnoteReference">
    <w:name w:val="endnote reference"/>
    <w:basedOn w:val="DefaultParagraphFont"/>
    <w:uiPriority w:val="99"/>
    <w:semiHidden/>
    <w:unhideWhenUsed/>
    <w:rsid w:val="00261807"/>
    <w:rPr>
      <w:vertAlign w:val="superscript"/>
    </w:rPr>
  </w:style>
  <w:style w:type="paragraph" w:styleId="FootnoteText">
    <w:name w:val="footnote text"/>
    <w:basedOn w:val="Normal"/>
    <w:link w:val="FootnoteTextChar"/>
    <w:uiPriority w:val="99"/>
    <w:semiHidden/>
    <w:unhideWhenUsed/>
    <w:rsid w:val="002618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807"/>
    <w:rPr>
      <w:sz w:val="20"/>
      <w:szCs w:val="20"/>
    </w:rPr>
  </w:style>
  <w:style w:type="character" w:styleId="FootnoteReference">
    <w:name w:val="footnote reference"/>
    <w:basedOn w:val="DefaultParagraphFont"/>
    <w:uiPriority w:val="99"/>
    <w:semiHidden/>
    <w:unhideWhenUsed/>
    <w:rsid w:val="00261807"/>
    <w:rPr>
      <w:vertAlign w:val="superscript"/>
    </w:rPr>
  </w:style>
  <w:style w:type="paragraph" w:styleId="ListParagraph">
    <w:name w:val="List Paragraph"/>
    <w:basedOn w:val="Normal"/>
    <w:uiPriority w:val="34"/>
    <w:qFormat/>
    <w:rsid w:val="0064695D"/>
    <w:pPr>
      <w:ind w:left="720"/>
      <w:contextualSpacing/>
    </w:pPr>
  </w:style>
  <w:style w:type="paragraph" w:styleId="BalloonText">
    <w:name w:val="Balloon Text"/>
    <w:basedOn w:val="Normal"/>
    <w:link w:val="BalloonTextChar"/>
    <w:uiPriority w:val="99"/>
    <w:semiHidden/>
    <w:unhideWhenUsed/>
    <w:rsid w:val="000A4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023"/>
    <w:rPr>
      <w:rFonts w:ascii="Segoe UI" w:hAnsi="Segoe UI" w:cs="Segoe UI"/>
      <w:sz w:val="18"/>
      <w:szCs w:val="18"/>
    </w:rPr>
  </w:style>
  <w:style w:type="character" w:customStyle="1" w:styleId="Heading1Char">
    <w:name w:val="Heading 1 Char"/>
    <w:basedOn w:val="DefaultParagraphFont"/>
    <w:link w:val="Heading1"/>
    <w:uiPriority w:val="9"/>
    <w:rsid w:val="004A32B8"/>
    <w:rPr>
      <w:rFonts w:ascii="Times New Roman" w:eastAsiaTheme="majorEastAsia" w:hAnsi="Times New Roman" w:cstheme="majorBidi"/>
      <w:b/>
      <w:caps/>
      <w:sz w:val="20"/>
      <w:szCs w:val="32"/>
    </w:rPr>
  </w:style>
  <w:style w:type="paragraph" w:styleId="TOCHeading">
    <w:name w:val="TOC Heading"/>
    <w:basedOn w:val="Heading1"/>
    <w:next w:val="Normal"/>
    <w:uiPriority w:val="39"/>
    <w:unhideWhenUsed/>
    <w:qFormat/>
    <w:rsid w:val="00693900"/>
    <w:pPr>
      <w:outlineLvl w:val="9"/>
    </w:pPr>
  </w:style>
  <w:style w:type="paragraph" w:styleId="Title">
    <w:name w:val="Title"/>
    <w:basedOn w:val="Normal"/>
    <w:next w:val="Normal"/>
    <w:link w:val="TitleChar"/>
    <w:uiPriority w:val="10"/>
    <w:qFormat/>
    <w:rsid w:val="006939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9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390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3900"/>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266410"/>
    <w:rPr>
      <w:rFonts w:ascii="Times New Roman" w:eastAsiaTheme="majorEastAsia" w:hAnsi="Times New Roman" w:cstheme="majorBidi"/>
      <w:sz w:val="20"/>
      <w:szCs w:val="26"/>
      <w:u w:val="single"/>
    </w:rPr>
  </w:style>
  <w:style w:type="character" w:customStyle="1" w:styleId="Heading3Char">
    <w:name w:val="Heading 3 Char"/>
    <w:basedOn w:val="DefaultParagraphFont"/>
    <w:link w:val="Heading3"/>
    <w:uiPriority w:val="9"/>
    <w:rsid w:val="00266410"/>
    <w:rPr>
      <w:rFonts w:ascii="Times New Roman" w:eastAsiaTheme="majorEastAsia" w:hAnsi="Times New Roman" w:cstheme="majorBidi"/>
      <w:i/>
      <w:sz w:val="20"/>
      <w:szCs w:val="24"/>
      <w:lang w:val="en"/>
    </w:rPr>
  </w:style>
  <w:style w:type="paragraph" w:styleId="Header">
    <w:name w:val="header"/>
    <w:basedOn w:val="Normal"/>
    <w:link w:val="HeaderChar"/>
    <w:uiPriority w:val="99"/>
    <w:unhideWhenUsed/>
    <w:rsid w:val="00002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18B"/>
  </w:style>
  <w:style w:type="paragraph" w:styleId="Footer">
    <w:name w:val="footer"/>
    <w:basedOn w:val="Normal"/>
    <w:link w:val="FooterChar"/>
    <w:uiPriority w:val="99"/>
    <w:unhideWhenUsed/>
    <w:rsid w:val="00002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18B"/>
  </w:style>
  <w:style w:type="character" w:styleId="CommentReference">
    <w:name w:val="annotation reference"/>
    <w:basedOn w:val="DefaultParagraphFont"/>
    <w:uiPriority w:val="99"/>
    <w:semiHidden/>
    <w:unhideWhenUsed/>
    <w:rsid w:val="00776F45"/>
    <w:rPr>
      <w:sz w:val="16"/>
      <w:szCs w:val="16"/>
    </w:rPr>
  </w:style>
  <w:style w:type="paragraph" w:styleId="CommentText">
    <w:name w:val="annotation text"/>
    <w:basedOn w:val="Normal"/>
    <w:link w:val="CommentTextChar"/>
    <w:uiPriority w:val="99"/>
    <w:unhideWhenUsed/>
    <w:rsid w:val="00776F45"/>
    <w:pPr>
      <w:spacing w:line="240" w:lineRule="auto"/>
    </w:pPr>
    <w:rPr>
      <w:sz w:val="20"/>
      <w:szCs w:val="20"/>
    </w:rPr>
  </w:style>
  <w:style w:type="character" w:customStyle="1" w:styleId="CommentTextChar">
    <w:name w:val="Comment Text Char"/>
    <w:basedOn w:val="DefaultParagraphFont"/>
    <w:link w:val="CommentText"/>
    <w:uiPriority w:val="99"/>
    <w:rsid w:val="00776F45"/>
    <w:rPr>
      <w:sz w:val="20"/>
      <w:szCs w:val="20"/>
    </w:rPr>
  </w:style>
  <w:style w:type="paragraph" w:styleId="CommentSubject">
    <w:name w:val="annotation subject"/>
    <w:basedOn w:val="CommentText"/>
    <w:next w:val="CommentText"/>
    <w:link w:val="CommentSubjectChar"/>
    <w:uiPriority w:val="99"/>
    <w:semiHidden/>
    <w:unhideWhenUsed/>
    <w:rsid w:val="00776F45"/>
    <w:rPr>
      <w:b/>
      <w:bCs/>
    </w:rPr>
  </w:style>
  <w:style w:type="character" w:customStyle="1" w:styleId="CommentSubjectChar">
    <w:name w:val="Comment Subject Char"/>
    <w:basedOn w:val="CommentTextChar"/>
    <w:link w:val="CommentSubject"/>
    <w:uiPriority w:val="99"/>
    <w:semiHidden/>
    <w:rsid w:val="00776F45"/>
    <w:rPr>
      <w:b/>
      <w:bCs/>
      <w:sz w:val="20"/>
      <w:szCs w:val="20"/>
    </w:rPr>
  </w:style>
  <w:style w:type="character" w:customStyle="1" w:styleId="UnresolvedMention1">
    <w:name w:val="Unresolved Mention1"/>
    <w:basedOn w:val="DefaultParagraphFont"/>
    <w:uiPriority w:val="99"/>
    <w:semiHidden/>
    <w:unhideWhenUsed/>
    <w:rsid w:val="00BB0E35"/>
    <w:rPr>
      <w:color w:val="605E5C"/>
      <w:shd w:val="clear" w:color="auto" w:fill="E1DFDD"/>
    </w:rPr>
  </w:style>
  <w:style w:type="table" w:styleId="TableGrid">
    <w:name w:val="Table Grid"/>
    <w:basedOn w:val="TableNormal"/>
    <w:uiPriority w:val="39"/>
    <w:rsid w:val="009C7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537BD"/>
  </w:style>
  <w:style w:type="paragraph" w:customStyle="1" w:styleId="msonormal0">
    <w:name w:val="msonormal"/>
    <w:basedOn w:val="Normal"/>
    <w:rsid w:val="008537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8537B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8537B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537B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8537BD"/>
    <w:pPr>
      <w:spacing w:before="100" w:beforeAutospacing="1" w:after="100" w:afterAutospacing="1" w:line="240" w:lineRule="auto"/>
      <w:jc w:val="center"/>
    </w:pPr>
    <w:rPr>
      <w:rFonts w:ascii="Times New Roman" w:eastAsia="Times New Roman" w:hAnsi="Times New Roman" w:cs="Times New Roman"/>
      <w:b/>
      <w:bCs/>
      <w:i/>
      <w:iCs/>
      <w:sz w:val="24"/>
      <w:szCs w:val="24"/>
      <w:u w:val="single"/>
    </w:rPr>
  </w:style>
  <w:style w:type="paragraph" w:styleId="TOC2">
    <w:name w:val="toc 2"/>
    <w:basedOn w:val="Normal"/>
    <w:next w:val="Normal"/>
    <w:autoRedefine/>
    <w:uiPriority w:val="39"/>
    <w:unhideWhenUsed/>
    <w:rsid w:val="0086622F"/>
    <w:pPr>
      <w:tabs>
        <w:tab w:val="left" w:pos="630"/>
        <w:tab w:val="right" w:leader="dot" w:pos="10790"/>
      </w:tabs>
      <w:spacing w:after="100"/>
      <w:ind w:left="220"/>
    </w:pPr>
    <w:rPr>
      <w:rFonts w:eastAsiaTheme="minorEastAsia" w:cs="Times New Roman"/>
    </w:rPr>
  </w:style>
  <w:style w:type="paragraph" w:styleId="TOC1">
    <w:name w:val="toc 1"/>
    <w:basedOn w:val="Normal"/>
    <w:next w:val="Normal"/>
    <w:autoRedefine/>
    <w:uiPriority w:val="39"/>
    <w:unhideWhenUsed/>
    <w:rsid w:val="005F5CBF"/>
    <w:pPr>
      <w:tabs>
        <w:tab w:val="left" w:pos="540"/>
        <w:tab w:val="right" w:leader="dot" w:pos="10070"/>
      </w:tabs>
      <w:spacing w:after="100"/>
      <w:jc w:val="both"/>
    </w:pPr>
    <w:rPr>
      <w:rFonts w:ascii="Times New Roman" w:eastAsiaTheme="minorEastAsia" w:hAnsi="Times New Roman" w:cs="Times New Roman"/>
      <w:sz w:val="20"/>
    </w:rPr>
  </w:style>
  <w:style w:type="paragraph" w:styleId="TOC3">
    <w:name w:val="toc 3"/>
    <w:basedOn w:val="Normal"/>
    <w:next w:val="Normal"/>
    <w:autoRedefine/>
    <w:uiPriority w:val="39"/>
    <w:unhideWhenUsed/>
    <w:rsid w:val="00374067"/>
    <w:pPr>
      <w:spacing w:after="100"/>
      <w:ind w:left="440"/>
    </w:pPr>
    <w:rPr>
      <w:rFonts w:eastAsiaTheme="minorEastAsia" w:cs="Times New Roman"/>
    </w:rPr>
  </w:style>
  <w:style w:type="character" w:styleId="Emphasis">
    <w:name w:val="Emphasis"/>
    <w:basedOn w:val="DefaultParagraphFont"/>
    <w:uiPriority w:val="20"/>
    <w:qFormat/>
    <w:rsid w:val="00160651"/>
    <w:rPr>
      <w:i/>
      <w:iCs/>
    </w:rPr>
  </w:style>
  <w:style w:type="paragraph" w:styleId="NoSpacing">
    <w:name w:val="No Spacing"/>
    <w:uiPriority w:val="1"/>
    <w:qFormat/>
    <w:rsid w:val="00EB65C0"/>
    <w:pPr>
      <w:spacing w:after="0" w:line="240" w:lineRule="auto"/>
    </w:pPr>
    <w:rPr>
      <w:sz w:val="24"/>
    </w:rPr>
  </w:style>
  <w:style w:type="paragraph" w:styleId="Revision">
    <w:name w:val="Revision"/>
    <w:hidden/>
    <w:uiPriority w:val="99"/>
    <w:semiHidden/>
    <w:rsid w:val="00D860E3"/>
    <w:pPr>
      <w:spacing w:after="0" w:line="240" w:lineRule="auto"/>
    </w:pPr>
  </w:style>
  <w:style w:type="character" w:customStyle="1" w:styleId="Heading4Char">
    <w:name w:val="Heading 4 Char"/>
    <w:basedOn w:val="DefaultParagraphFont"/>
    <w:link w:val="Heading4"/>
    <w:uiPriority w:val="9"/>
    <w:rsid w:val="001632F0"/>
    <w:rPr>
      <w:rFonts w:ascii="Times New Roman" w:eastAsiaTheme="majorEastAsia" w:hAnsi="Times New Roman" w:cstheme="majorBidi"/>
      <w:iCs/>
      <w:sz w:val="20"/>
    </w:rPr>
  </w:style>
  <w:style w:type="character" w:customStyle="1" w:styleId="Heading5Char">
    <w:name w:val="Heading 5 Char"/>
    <w:basedOn w:val="DefaultParagraphFont"/>
    <w:link w:val="Heading5"/>
    <w:uiPriority w:val="9"/>
    <w:semiHidden/>
    <w:rsid w:val="004D62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D62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D62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D62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628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124">
      <w:bodyDiv w:val="1"/>
      <w:marLeft w:val="0"/>
      <w:marRight w:val="0"/>
      <w:marTop w:val="0"/>
      <w:marBottom w:val="0"/>
      <w:divBdr>
        <w:top w:val="none" w:sz="0" w:space="0" w:color="auto"/>
        <w:left w:val="none" w:sz="0" w:space="0" w:color="auto"/>
        <w:bottom w:val="none" w:sz="0" w:space="0" w:color="auto"/>
        <w:right w:val="none" w:sz="0" w:space="0" w:color="auto"/>
      </w:divBdr>
    </w:div>
    <w:div w:id="49159018">
      <w:bodyDiv w:val="1"/>
      <w:marLeft w:val="0"/>
      <w:marRight w:val="0"/>
      <w:marTop w:val="0"/>
      <w:marBottom w:val="0"/>
      <w:divBdr>
        <w:top w:val="none" w:sz="0" w:space="0" w:color="auto"/>
        <w:left w:val="none" w:sz="0" w:space="0" w:color="auto"/>
        <w:bottom w:val="none" w:sz="0" w:space="0" w:color="auto"/>
        <w:right w:val="none" w:sz="0" w:space="0" w:color="auto"/>
      </w:divBdr>
    </w:div>
    <w:div w:id="173956554">
      <w:bodyDiv w:val="1"/>
      <w:marLeft w:val="0"/>
      <w:marRight w:val="0"/>
      <w:marTop w:val="0"/>
      <w:marBottom w:val="0"/>
      <w:divBdr>
        <w:top w:val="none" w:sz="0" w:space="0" w:color="auto"/>
        <w:left w:val="none" w:sz="0" w:space="0" w:color="auto"/>
        <w:bottom w:val="none" w:sz="0" w:space="0" w:color="auto"/>
        <w:right w:val="none" w:sz="0" w:space="0" w:color="auto"/>
      </w:divBdr>
      <w:divsChild>
        <w:div w:id="323357093">
          <w:marLeft w:val="0"/>
          <w:marRight w:val="0"/>
          <w:marTop w:val="0"/>
          <w:marBottom w:val="0"/>
          <w:divBdr>
            <w:top w:val="none" w:sz="0" w:space="0" w:color="auto"/>
            <w:left w:val="none" w:sz="0" w:space="0" w:color="auto"/>
            <w:bottom w:val="none" w:sz="0" w:space="0" w:color="auto"/>
            <w:right w:val="none" w:sz="0" w:space="0" w:color="auto"/>
          </w:divBdr>
          <w:divsChild>
            <w:div w:id="1007173860">
              <w:marLeft w:val="0"/>
              <w:marRight w:val="0"/>
              <w:marTop w:val="0"/>
              <w:marBottom w:val="0"/>
              <w:divBdr>
                <w:top w:val="none" w:sz="0" w:space="0" w:color="auto"/>
                <w:left w:val="none" w:sz="0" w:space="0" w:color="auto"/>
                <w:bottom w:val="none" w:sz="0" w:space="0" w:color="auto"/>
                <w:right w:val="none" w:sz="0" w:space="0" w:color="auto"/>
              </w:divBdr>
              <w:divsChild>
                <w:div w:id="564340897">
                  <w:marLeft w:val="0"/>
                  <w:marRight w:val="0"/>
                  <w:marTop w:val="0"/>
                  <w:marBottom w:val="0"/>
                  <w:divBdr>
                    <w:top w:val="none" w:sz="0" w:space="0" w:color="auto"/>
                    <w:left w:val="none" w:sz="0" w:space="0" w:color="auto"/>
                    <w:bottom w:val="none" w:sz="0" w:space="0" w:color="auto"/>
                    <w:right w:val="none" w:sz="0" w:space="0" w:color="auto"/>
                  </w:divBdr>
                  <w:divsChild>
                    <w:div w:id="548764171">
                      <w:marLeft w:val="0"/>
                      <w:marRight w:val="0"/>
                      <w:marTop w:val="0"/>
                      <w:marBottom w:val="0"/>
                      <w:divBdr>
                        <w:top w:val="none" w:sz="0" w:space="0" w:color="auto"/>
                        <w:left w:val="none" w:sz="0" w:space="0" w:color="auto"/>
                        <w:bottom w:val="none" w:sz="0" w:space="0" w:color="auto"/>
                        <w:right w:val="none" w:sz="0" w:space="0" w:color="auto"/>
                      </w:divBdr>
                      <w:divsChild>
                        <w:div w:id="1976250875">
                          <w:marLeft w:val="0"/>
                          <w:marRight w:val="0"/>
                          <w:marTop w:val="0"/>
                          <w:marBottom w:val="0"/>
                          <w:divBdr>
                            <w:top w:val="none" w:sz="0" w:space="0" w:color="auto"/>
                            <w:left w:val="none" w:sz="0" w:space="0" w:color="auto"/>
                            <w:bottom w:val="none" w:sz="0" w:space="0" w:color="auto"/>
                            <w:right w:val="none" w:sz="0" w:space="0" w:color="auto"/>
                          </w:divBdr>
                        </w:div>
                        <w:div w:id="432286484">
                          <w:marLeft w:val="0"/>
                          <w:marRight w:val="0"/>
                          <w:marTop w:val="0"/>
                          <w:marBottom w:val="0"/>
                          <w:divBdr>
                            <w:top w:val="none" w:sz="0" w:space="0" w:color="auto"/>
                            <w:left w:val="none" w:sz="0" w:space="0" w:color="auto"/>
                            <w:bottom w:val="none" w:sz="0" w:space="0" w:color="auto"/>
                            <w:right w:val="none" w:sz="0" w:space="0" w:color="auto"/>
                          </w:divBdr>
                        </w:div>
                        <w:div w:id="1966155931">
                          <w:marLeft w:val="0"/>
                          <w:marRight w:val="0"/>
                          <w:marTop w:val="0"/>
                          <w:marBottom w:val="0"/>
                          <w:divBdr>
                            <w:top w:val="none" w:sz="0" w:space="0" w:color="auto"/>
                            <w:left w:val="none" w:sz="0" w:space="0" w:color="auto"/>
                            <w:bottom w:val="none" w:sz="0" w:space="0" w:color="auto"/>
                            <w:right w:val="none" w:sz="0" w:space="0" w:color="auto"/>
                          </w:divBdr>
                        </w:div>
                        <w:div w:id="10517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69958">
      <w:bodyDiv w:val="1"/>
      <w:marLeft w:val="0"/>
      <w:marRight w:val="0"/>
      <w:marTop w:val="0"/>
      <w:marBottom w:val="0"/>
      <w:divBdr>
        <w:top w:val="none" w:sz="0" w:space="0" w:color="auto"/>
        <w:left w:val="none" w:sz="0" w:space="0" w:color="auto"/>
        <w:bottom w:val="none" w:sz="0" w:space="0" w:color="auto"/>
        <w:right w:val="none" w:sz="0" w:space="0" w:color="auto"/>
      </w:divBdr>
      <w:divsChild>
        <w:div w:id="837427639">
          <w:marLeft w:val="0"/>
          <w:marRight w:val="0"/>
          <w:marTop w:val="0"/>
          <w:marBottom w:val="0"/>
          <w:divBdr>
            <w:top w:val="none" w:sz="0" w:space="0" w:color="auto"/>
            <w:left w:val="none" w:sz="0" w:space="0" w:color="auto"/>
            <w:bottom w:val="none" w:sz="0" w:space="0" w:color="auto"/>
            <w:right w:val="none" w:sz="0" w:space="0" w:color="auto"/>
          </w:divBdr>
          <w:divsChild>
            <w:div w:id="339935834">
              <w:marLeft w:val="0"/>
              <w:marRight w:val="0"/>
              <w:marTop w:val="0"/>
              <w:marBottom w:val="0"/>
              <w:divBdr>
                <w:top w:val="none" w:sz="0" w:space="0" w:color="auto"/>
                <w:left w:val="none" w:sz="0" w:space="0" w:color="auto"/>
                <w:bottom w:val="none" w:sz="0" w:space="0" w:color="auto"/>
                <w:right w:val="none" w:sz="0" w:space="0" w:color="auto"/>
              </w:divBdr>
              <w:divsChild>
                <w:div w:id="1479687066">
                  <w:marLeft w:val="0"/>
                  <w:marRight w:val="0"/>
                  <w:marTop w:val="0"/>
                  <w:marBottom w:val="0"/>
                  <w:divBdr>
                    <w:top w:val="none" w:sz="0" w:space="0" w:color="auto"/>
                    <w:left w:val="none" w:sz="0" w:space="0" w:color="auto"/>
                    <w:bottom w:val="none" w:sz="0" w:space="0" w:color="auto"/>
                    <w:right w:val="none" w:sz="0" w:space="0" w:color="auto"/>
                  </w:divBdr>
                  <w:divsChild>
                    <w:div w:id="6165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89517">
      <w:bodyDiv w:val="1"/>
      <w:marLeft w:val="0"/>
      <w:marRight w:val="0"/>
      <w:marTop w:val="0"/>
      <w:marBottom w:val="0"/>
      <w:divBdr>
        <w:top w:val="none" w:sz="0" w:space="0" w:color="auto"/>
        <w:left w:val="none" w:sz="0" w:space="0" w:color="auto"/>
        <w:bottom w:val="none" w:sz="0" w:space="0" w:color="auto"/>
        <w:right w:val="none" w:sz="0" w:space="0" w:color="auto"/>
      </w:divBdr>
    </w:div>
    <w:div w:id="628243069">
      <w:bodyDiv w:val="1"/>
      <w:marLeft w:val="0"/>
      <w:marRight w:val="0"/>
      <w:marTop w:val="0"/>
      <w:marBottom w:val="0"/>
      <w:divBdr>
        <w:top w:val="none" w:sz="0" w:space="0" w:color="auto"/>
        <w:left w:val="none" w:sz="0" w:space="0" w:color="auto"/>
        <w:bottom w:val="none" w:sz="0" w:space="0" w:color="auto"/>
        <w:right w:val="none" w:sz="0" w:space="0" w:color="auto"/>
      </w:divBdr>
    </w:div>
    <w:div w:id="671570293">
      <w:bodyDiv w:val="1"/>
      <w:marLeft w:val="0"/>
      <w:marRight w:val="0"/>
      <w:marTop w:val="0"/>
      <w:marBottom w:val="0"/>
      <w:divBdr>
        <w:top w:val="none" w:sz="0" w:space="0" w:color="auto"/>
        <w:left w:val="none" w:sz="0" w:space="0" w:color="auto"/>
        <w:bottom w:val="none" w:sz="0" w:space="0" w:color="auto"/>
        <w:right w:val="none" w:sz="0" w:space="0" w:color="auto"/>
      </w:divBdr>
    </w:div>
    <w:div w:id="810635259">
      <w:bodyDiv w:val="1"/>
      <w:marLeft w:val="0"/>
      <w:marRight w:val="0"/>
      <w:marTop w:val="0"/>
      <w:marBottom w:val="0"/>
      <w:divBdr>
        <w:top w:val="none" w:sz="0" w:space="0" w:color="auto"/>
        <w:left w:val="none" w:sz="0" w:space="0" w:color="auto"/>
        <w:bottom w:val="none" w:sz="0" w:space="0" w:color="auto"/>
        <w:right w:val="none" w:sz="0" w:space="0" w:color="auto"/>
      </w:divBdr>
    </w:div>
    <w:div w:id="813301981">
      <w:bodyDiv w:val="1"/>
      <w:marLeft w:val="0"/>
      <w:marRight w:val="0"/>
      <w:marTop w:val="0"/>
      <w:marBottom w:val="0"/>
      <w:divBdr>
        <w:top w:val="none" w:sz="0" w:space="0" w:color="auto"/>
        <w:left w:val="none" w:sz="0" w:space="0" w:color="auto"/>
        <w:bottom w:val="none" w:sz="0" w:space="0" w:color="auto"/>
        <w:right w:val="none" w:sz="0" w:space="0" w:color="auto"/>
      </w:divBdr>
    </w:div>
    <w:div w:id="867065972">
      <w:bodyDiv w:val="1"/>
      <w:marLeft w:val="0"/>
      <w:marRight w:val="0"/>
      <w:marTop w:val="0"/>
      <w:marBottom w:val="0"/>
      <w:divBdr>
        <w:top w:val="none" w:sz="0" w:space="0" w:color="auto"/>
        <w:left w:val="none" w:sz="0" w:space="0" w:color="auto"/>
        <w:bottom w:val="none" w:sz="0" w:space="0" w:color="auto"/>
        <w:right w:val="none" w:sz="0" w:space="0" w:color="auto"/>
      </w:divBdr>
    </w:div>
    <w:div w:id="942879031">
      <w:bodyDiv w:val="1"/>
      <w:marLeft w:val="0"/>
      <w:marRight w:val="0"/>
      <w:marTop w:val="0"/>
      <w:marBottom w:val="0"/>
      <w:divBdr>
        <w:top w:val="none" w:sz="0" w:space="0" w:color="auto"/>
        <w:left w:val="none" w:sz="0" w:space="0" w:color="auto"/>
        <w:bottom w:val="none" w:sz="0" w:space="0" w:color="auto"/>
        <w:right w:val="none" w:sz="0" w:space="0" w:color="auto"/>
      </w:divBdr>
    </w:div>
    <w:div w:id="951405053">
      <w:bodyDiv w:val="1"/>
      <w:marLeft w:val="0"/>
      <w:marRight w:val="0"/>
      <w:marTop w:val="0"/>
      <w:marBottom w:val="0"/>
      <w:divBdr>
        <w:top w:val="none" w:sz="0" w:space="0" w:color="auto"/>
        <w:left w:val="none" w:sz="0" w:space="0" w:color="auto"/>
        <w:bottom w:val="none" w:sz="0" w:space="0" w:color="auto"/>
        <w:right w:val="none" w:sz="0" w:space="0" w:color="auto"/>
      </w:divBdr>
    </w:div>
    <w:div w:id="1341663920">
      <w:bodyDiv w:val="1"/>
      <w:marLeft w:val="0"/>
      <w:marRight w:val="0"/>
      <w:marTop w:val="0"/>
      <w:marBottom w:val="0"/>
      <w:divBdr>
        <w:top w:val="none" w:sz="0" w:space="0" w:color="auto"/>
        <w:left w:val="none" w:sz="0" w:space="0" w:color="auto"/>
        <w:bottom w:val="none" w:sz="0" w:space="0" w:color="auto"/>
        <w:right w:val="none" w:sz="0" w:space="0" w:color="auto"/>
      </w:divBdr>
    </w:div>
    <w:div w:id="1476680144">
      <w:bodyDiv w:val="1"/>
      <w:marLeft w:val="0"/>
      <w:marRight w:val="0"/>
      <w:marTop w:val="0"/>
      <w:marBottom w:val="0"/>
      <w:divBdr>
        <w:top w:val="none" w:sz="0" w:space="0" w:color="auto"/>
        <w:left w:val="none" w:sz="0" w:space="0" w:color="auto"/>
        <w:bottom w:val="none" w:sz="0" w:space="0" w:color="auto"/>
        <w:right w:val="none" w:sz="0" w:space="0" w:color="auto"/>
      </w:divBdr>
    </w:div>
    <w:div w:id="1562474792">
      <w:bodyDiv w:val="1"/>
      <w:marLeft w:val="0"/>
      <w:marRight w:val="0"/>
      <w:marTop w:val="0"/>
      <w:marBottom w:val="0"/>
      <w:divBdr>
        <w:top w:val="none" w:sz="0" w:space="0" w:color="auto"/>
        <w:left w:val="none" w:sz="0" w:space="0" w:color="auto"/>
        <w:bottom w:val="none" w:sz="0" w:space="0" w:color="auto"/>
        <w:right w:val="none" w:sz="0" w:space="0" w:color="auto"/>
      </w:divBdr>
    </w:div>
    <w:div w:id="1637877052">
      <w:bodyDiv w:val="1"/>
      <w:marLeft w:val="0"/>
      <w:marRight w:val="0"/>
      <w:marTop w:val="0"/>
      <w:marBottom w:val="0"/>
      <w:divBdr>
        <w:top w:val="none" w:sz="0" w:space="0" w:color="auto"/>
        <w:left w:val="none" w:sz="0" w:space="0" w:color="auto"/>
        <w:bottom w:val="none" w:sz="0" w:space="0" w:color="auto"/>
        <w:right w:val="none" w:sz="0" w:space="0" w:color="auto"/>
      </w:divBdr>
    </w:div>
    <w:div w:id="1651786932">
      <w:bodyDiv w:val="1"/>
      <w:marLeft w:val="0"/>
      <w:marRight w:val="0"/>
      <w:marTop w:val="0"/>
      <w:marBottom w:val="0"/>
      <w:divBdr>
        <w:top w:val="none" w:sz="0" w:space="0" w:color="auto"/>
        <w:left w:val="none" w:sz="0" w:space="0" w:color="auto"/>
        <w:bottom w:val="none" w:sz="0" w:space="0" w:color="auto"/>
        <w:right w:val="none" w:sz="0" w:space="0" w:color="auto"/>
      </w:divBdr>
    </w:div>
    <w:div w:id="1705786744">
      <w:bodyDiv w:val="1"/>
      <w:marLeft w:val="0"/>
      <w:marRight w:val="0"/>
      <w:marTop w:val="0"/>
      <w:marBottom w:val="0"/>
      <w:divBdr>
        <w:top w:val="none" w:sz="0" w:space="0" w:color="auto"/>
        <w:left w:val="none" w:sz="0" w:space="0" w:color="auto"/>
        <w:bottom w:val="none" w:sz="0" w:space="0" w:color="auto"/>
        <w:right w:val="none" w:sz="0" w:space="0" w:color="auto"/>
      </w:divBdr>
    </w:div>
    <w:div w:id="1775126481">
      <w:bodyDiv w:val="1"/>
      <w:marLeft w:val="0"/>
      <w:marRight w:val="0"/>
      <w:marTop w:val="0"/>
      <w:marBottom w:val="0"/>
      <w:divBdr>
        <w:top w:val="none" w:sz="0" w:space="0" w:color="auto"/>
        <w:left w:val="none" w:sz="0" w:space="0" w:color="auto"/>
        <w:bottom w:val="none" w:sz="0" w:space="0" w:color="auto"/>
        <w:right w:val="none" w:sz="0" w:space="0" w:color="auto"/>
      </w:divBdr>
    </w:div>
    <w:div w:id="1782188537">
      <w:bodyDiv w:val="1"/>
      <w:marLeft w:val="0"/>
      <w:marRight w:val="0"/>
      <w:marTop w:val="0"/>
      <w:marBottom w:val="0"/>
      <w:divBdr>
        <w:top w:val="none" w:sz="0" w:space="0" w:color="auto"/>
        <w:left w:val="none" w:sz="0" w:space="0" w:color="auto"/>
        <w:bottom w:val="none" w:sz="0" w:space="0" w:color="auto"/>
        <w:right w:val="none" w:sz="0" w:space="0" w:color="auto"/>
      </w:divBdr>
      <w:divsChild>
        <w:div w:id="754597244">
          <w:marLeft w:val="0"/>
          <w:marRight w:val="0"/>
          <w:marTop w:val="0"/>
          <w:marBottom w:val="0"/>
          <w:divBdr>
            <w:top w:val="none" w:sz="0" w:space="0" w:color="auto"/>
            <w:left w:val="none" w:sz="0" w:space="0" w:color="auto"/>
            <w:bottom w:val="none" w:sz="0" w:space="0" w:color="auto"/>
            <w:right w:val="none" w:sz="0" w:space="0" w:color="auto"/>
          </w:divBdr>
          <w:divsChild>
            <w:div w:id="1822044024">
              <w:marLeft w:val="0"/>
              <w:marRight w:val="0"/>
              <w:marTop w:val="0"/>
              <w:marBottom w:val="0"/>
              <w:divBdr>
                <w:top w:val="none" w:sz="0" w:space="0" w:color="auto"/>
                <w:left w:val="none" w:sz="0" w:space="0" w:color="auto"/>
                <w:bottom w:val="none" w:sz="0" w:space="0" w:color="auto"/>
                <w:right w:val="none" w:sz="0" w:space="0" w:color="auto"/>
              </w:divBdr>
              <w:divsChild>
                <w:div w:id="344096239">
                  <w:marLeft w:val="0"/>
                  <w:marRight w:val="0"/>
                  <w:marTop w:val="0"/>
                  <w:marBottom w:val="0"/>
                  <w:divBdr>
                    <w:top w:val="none" w:sz="0" w:space="0" w:color="auto"/>
                    <w:left w:val="none" w:sz="0" w:space="0" w:color="auto"/>
                    <w:bottom w:val="none" w:sz="0" w:space="0" w:color="auto"/>
                    <w:right w:val="none" w:sz="0" w:space="0" w:color="auto"/>
                  </w:divBdr>
                  <w:divsChild>
                    <w:div w:id="20719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048175">
      <w:bodyDiv w:val="1"/>
      <w:marLeft w:val="0"/>
      <w:marRight w:val="0"/>
      <w:marTop w:val="0"/>
      <w:marBottom w:val="0"/>
      <w:divBdr>
        <w:top w:val="none" w:sz="0" w:space="0" w:color="auto"/>
        <w:left w:val="none" w:sz="0" w:space="0" w:color="auto"/>
        <w:bottom w:val="none" w:sz="0" w:space="0" w:color="auto"/>
        <w:right w:val="none" w:sz="0" w:space="0" w:color="auto"/>
      </w:divBdr>
    </w:div>
    <w:div w:id="1865249753">
      <w:bodyDiv w:val="1"/>
      <w:marLeft w:val="0"/>
      <w:marRight w:val="0"/>
      <w:marTop w:val="0"/>
      <w:marBottom w:val="0"/>
      <w:divBdr>
        <w:top w:val="none" w:sz="0" w:space="0" w:color="auto"/>
        <w:left w:val="none" w:sz="0" w:space="0" w:color="auto"/>
        <w:bottom w:val="none" w:sz="0" w:space="0" w:color="auto"/>
        <w:right w:val="none" w:sz="0" w:space="0" w:color="auto"/>
      </w:divBdr>
    </w:div>
    <w:div w:id="1917858716">
      <w:bodyDiv w:val="1"/>
      <w:marLeft w:val="0"/>
      <w:marRight w:val="0"/>
      <w:marTop w:val="0"/>
      <w:marBottom w:val="0"/>
      <w:divBdr>
        <w:top w:val="none" w:sz="0" w:space="0" w:color="auto"/>
        <w:left w:val="none" w:sz="0" w:space="0" w:color="auto"/>
        <w:bottom w:val="none" w:sz="0" w:space="0" w:color="auto"/>
        <w:right w:val="none" w:sz="0" w:space="0" w:color="auto"/>
      </w:divBdr>
    </w:div>
    <w:div w:id="1955362192">
      <w:bodyDiv w:val="1"/>
      <w:marLeft w:val="0"/>
      <w:marRight w:val="0"/>
      <w:marTop w:val="0"/>
      <w:marBottom w:val="0"/>
      <w:divBdr>
        <w:top w:val="none" w:sz="0" w:space="0" w:color="auto"/>
        <w:left w:val="none" w:sz="0" w:space="0" w:color="auto"/>
        <w:bottom w:val="none" w:sz="0" w:space="0" w:color="auto"/>
        <w:right w:val="none" w:sz="0" w:space="0" w:color="auto"/>
      </w:divBdr>
      <w:divsChild>
        <w:div w:id="1421488558">
          <w:marLeft w:val="0"/>
          <w:marRight w:val="0"/>
          <w:marTop w:val="0"/>
          <w:marBottom w:val="0"/>
          <w:divBdr>
            <w:top w:val="none" w:sz="0" w:space="0" w:color="auto"/>
            <w:left w:val="none" w:sz="0" w:space="0" w:color="auto"/>
            <w:bottom w:val="none" w:sz="0" w:space="0" w:color="auto"/>
            <w:right w:val="none" w:sz="0" w:space="0" w:color="auto"/>
          </w:divBdr>
          <w:divsChild>
            <w:div w:id="2086487114">
              <w:marLeft w:val="0"/>
              <w:marRight w:val="0"/>
              <w:marTop w:val="0"/>
              <w:marBottom w:val="0"/>
              <w:divBdr>
                <w:top w:val="none" w:sz="0" w:space="0" w:color="auto"/>
                <w:left w:val="none" w:sz="0" w:space="0" w:color="auto"/>
                <w:bottom w:val="none" w:sz="0" w:space="0" w:color="auto"/>
                <w:right w:val="none" w:sz="0" w:space="0" w:color="auto"/>
              </w:divBdr>
              <w:divsChild>
                <w:div w:id="325600044">
                  <w:marLeft w:val="0"/>
                  <w:marRight w:val="0"/>
                  <w:marTop w:val="0"/>
                  <w:marBottom w:val="0"/>
                  <w:divBdr>
                    <w:top w:val="none" w:sz="0" w:space="0" w:color="auto"/>
                    <w:left w:val="none" w:sz="0" w:space="0" w:color="auto"/>
                    <w:bottom w:val="none" w:sz="0" w:space="0" w:color="auto"/>
                    <w:right w:val="none" w:sz="0" w:space="0" w:color="auto"/>
                  </w:divBdr>
                  <w:divsChild>
                    <w:div w:id="20392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rpiazza\AppData\Local\Microsoft\Windows\INetCache\Content.Outlook\CIKSNDI7\Nevada%20Rate%20Disruption%20-%20SERFF%20Filled-Out%20Exampl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rpiazza\AppData\Local\Microsoft\Windows\INetCache\Content.Outlook\CIKSNDI7\Nevada%20Rate%20Disruption%20-%20SERFF%20Filled-Out%20Example.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EXAMPLE Uncapped Rate Disruption</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'[Nevada Rate Disruption - SERFF Filled-Out Example.xlsx]EXAMPLE for Rate Disruption'!$B$12</c:f>
              <c:strCache>
                <c:ptCount val="1"/>
                <c:pt idx="0">
                  <c:v>Number of Insureds in Range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'[Nevada Rate Disruption - SERFF Filled-Out Example.xlsx]EXAMPLE for Rate Disruption'!$A$13:$A$26</c:f>
              <c:strCache>
                <c:ptCount val="14"/>
                <c:pt idx="0">
                  <c:v>-30% to &lt;-25%</c:v>
                </c:pt>
                <c:pt idx="1">
                  <c:v>-25% to &lt;-20%</c:v>
                </c:pt>
                <c:pt idx="2">
                  <c:v>-20% to &lt;-15%</c:v>
                </c:pt>
                <c:pt idx="3">
                  <c:v>-15% to &lt;-10%</c:v>
                </c:pt>
                <c:pt idx="4">
                  <c:v>-10% to &lt;-5%</c:v>
                </c:pt>
                <c:pt idx="5">
                  <c:v>-5% to &lt;0%</c:v>
                </c:pt>
                <c:pt idx="6">
                  <c:v>Exactly 0%</c:v>
                </c:pt>
                <c:pt idx="7">
                  <c:v>&gt;0% to &lt;5%</c:v>
                </c:pt>
                <c:pt idx="8">
                  <c:v>5% to &lt;10%</c:v>
                </c:pt>
                <c:pt idx="9">
                  <c:v>10% to &lt;15%</c:v>
                </c:pt>
                <c:pt idx="10">
                  <c:v>15% to &lt;20%</c:v>
                </c:pt>
                <c:pt idx="11">
                  <c:v>20% to &lt;25%</c:v>
                </c:pt>
                <c:pt idx="12">
                  <c:v>25% to &lt;30%</c:v>
                </c:pt>
                <c:pt idx="13">
                  <c:v>30% to &lt;35%</c:v>
                </c:pt>
              </c:strCache>
            </c:strRef>
          </c:cat>
          <c:val>
            <c:numRef>
              <c:f>'[Nevada Rate Disruption - SERFF Filled-Out Example.xlsx]EXAMPLE for Rate Disruption'!$B$13:$B$26</c:f>
              <c:numCache>
                <c:formatCode>General</c:formatCode>
                <c:ptCount val="14"/>
                <c:pt idx="0">
                  <c:v>2</c:v>
                </c:pt>
                <c:pt idx="1">
                  <c:v>90</c:v>
                </c:pt>
                <c:pt idx="2">
                  <c:v>130</c:v>
                </c:pt>
                <c:pt idx="3">
                  <c:v>230</c:v>
                </c:pt>
                <c:pt idx="4">
                  <c:v>340</c:v>
                </c:pt>
                <c:pt idx="5">
                  <c:v>245</c:v>
                </c:pt>
                <c:pt idx="6">
                  <c:v>12</c:v>
                </c:pt>
                <c:pt idx="7">
                  <c:v>150</c:v>
                </c:pt>
                <c:pt idx="8">
                  <c:v>160</c:v>
                </c:pt>
                <c:pt idx="9">
                  <c:v>401</c:v>
                </c:pt>
                <c:pt idx="10">
                  <c:v>201</c:v>
                </c:pt>
                <c:pt idx="11">
                  <c:v>19</c:v>
                </c:pt>
                <c:pt idx="12">
                  <c:v>12</c:v>
                </c:pt>
                <c:pt idx="13">
                  <c:v>2</c:v>
                </c:pt>
              </c:numCache>
            </c:numRef>
          </c:val>
          <c:extLst>
            <c:ext xmlns:c16="http://schemas.microsoft.com/office/drawing/2014/chart" uri="{C3380CC4-5D6E-409C-BE32-E72D297353CC}">
              <c16:uniqueId val="{00000000-0E0C-4219-9139-39D8C9B83942}"/>
            </c:ext>
          </c:extLst>
        </c:ser>
        <c:dLbls>
          <c:showLegendKey val="0"/>
          <c:showVal val="0"/>
          <c:showCatName val="0"/>
          <c:showSerName val="0"/>
          <c:showPercent val="0"/>
          <c:showBubbleSize val="0"/>
        </c:dLbls>
        <c:gapWidth val="150"/>
        <c:shape val="box"/>
        <c:axId val="41544704"/>
        <c:axId val="40227328"/>
        <c:axId val="0"/>
      </c:bar3DChart>
      <c:catAx>
        <c:axId val="41544704"/>
        <c:scaling>
          <c:orientation val="minMax"/>
        </c:scaling>
        <c:delete val="0"/>
        <c:axPos val="b"/>
        <c:numFmt formatCode="General" sourceLinked="0"/>
        <c:majorTickMark val="out"/>
        <c:minorTickMark val="none"/>
        <c:tickLblPos val="nextTo"/>
        <c:crossAx val="40227328"/>
        <c:crosses val="autoZero"/>
        <c:auto val="1"/>
        <c:lblAlgn val="ctr"/>
        <c:lblOffset val="100"/>
        <c:noMultiLvlLbl val="0"/>
      </c:catAx>
      <c:valAx>
        <c:axId val="40227328"/>
        <c:scaling>
          <c:orientation val="minMax"/>
        </c:scaling>
        <c:delete val="0"/>
        <c:axPos val="l"/>
        <c:majorGridlines/>
        <c:numFmt formatCode="General" sourceLinked="1"/>
        <c:majorTickMark val="out"/>
        <c:minorTickMark val="none"/>
        <c:tickLblPos val="nextTo"/>
        <c:crossAx val="4154470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EXAMPLE Capped Rate Disruption</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'[Nevada Rate Disruption - SERFF Filled-Out Example.xlsx]EXAMPLE for Rate Disruption'!$E$12</c:f>
              <c:strCache>
                <c:ptCount val="1"/>
                <c:pt idx="0">
                  <c:v>Number of Insureds in Range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'[Nevada Rate Disruption - SERFF Filled-Out Example.xlsx]EXAMPLE for Rate Disruption'!$D$13:$D$20</c:f>
              <c:strCache>
                <c:ptCount val="8"/>
                <c:pt idx="0">
                  <c:v>-15% to &lt;-10%</c:v>
                </c:pt>
                <c:pt idx="1">
                  <c:v>-10% to &lt;-5%</c:v>
                </c:pt>
                <c:pt idx="2">
                  <c:v>-5% to &lt;0%</c:v>
                </c:pt>
                <c:pt idx="3">
                  <c:v>Exactly 0%</c:v>
                </c:pt>
                <c:pt idx="4">
                  <c:v>&gt;0% to &lt;5%</c:v>
                </c:pt>
                <c:pt idx="5">
                  <c:v>5% to &lt;10%</c:v>
                </c:pt>
                <c:pt idx="6">
                  <c:v>10% to &lt;15%</c:v>
                </c:pt>
                <c:pt idx="7">
                  <c:v>15% to &lt;20%</c:v>
                </c:pt>
              </c:strCache>
            </c:strRef>
          </c:cat>
          <c:val>
            <c:numRef>
              <c:f>'[Nevada Rate Disruption - SERFF Filled-Out Example.xlsx]EXAMPLE for Rate Disruption'!$E$13:$E$20</c:f>
              <c:numCache>
                <c:formatCode>General</c:formatCode>
                <c:ptCount val="8"/>
                <c:pt idx="0">
                  <c:v>452</c:v>
                </c:pt>
                <c:pt idx="1">
                  <c:v>340</c:v>
                </c:pt>
                <c:pt idx="2">
                  <c:v>245</c:v>
                </c:pt>
                <c:pt idx="3">
                  <c:v>12</c:v>
                </c:pt>
                <c:pt idx="4">
                  <c:v>150</c:v>
                </c:pt>
                <c:pt idx="5">
                  <c:v>160</c:v>
                </c:pt>
                <c:pt idx="6">
                  <c:v>401</c:v>
                </c:pt>
                <c:pt idx="7">
                  <c:v>234</c:v>
                </c:pt>
              </c:numCache>
            </c:numRef>
          </c:val>
          <c:extLst>
            <c:ext xmlns:c16="http://schemas.microsoft.com/office/drawing/2014/chart" uri="{C3380CC4-5D6E-409C-BE32-E72D297353CC}">
              <c16:uniqueId val="{00000000-2E07-48A5-BB26-5B04DF039173}"/>
            </c:ext>
          </c:extLst>
        </c:ser>
        <c:dLbls>
          <c:showLegendKey val="0"/>
          <c:showVal val="0"/>
          <c:showCatName val="0"/>
          <c:showSerName val="0"/>
          <c:showPercent val="0"/>
          <c:showBubbleSize val="0"/>
        </c:dLbls>
        <c:gapWidth val="150"/>
        <c:shape val="box"/>
        <c:axId val="96437248"/>
        <c:axId val="40229056"/>
        <c:axId val="0"/>
      </c:bar3DChart>
      <c:catAx>
        <c:axId val="96437248"/>
        <c:scaling>
          <c:orientation val="minMax"/>
        </c:scaling>
        <c:delete val="0"/>
        <c:axPos val="b"/>
        <c:numFmt formatCode="General" sourceLinked="0"/>
        <c:majorTickMark val="out"/>
        <c:minorTickMark val="none"/>
        <c:tickLblPos val="nextTo"/>
        <c:crossAx val="40229056"/>
        <c:crosses val="autoZero"/>
        <c:auto val="1"/>
        <c:lblAlgn val="ctr"/>
        <c:lblOffset val="100"/>
        <c:noMultiLvlLbl val="0"/>
      </c:catAx>
      <c:valAx>
        <c:axId val="40229056"/>
        <c:scaling>
          <c:orientation val="minMax"/>
        </c:scaling>
        <c:delete val="0"/>
        <c:axPos val="l"/>
        <c:majorGridlines/>
        <c:numFmt formatCode="General" sourceLinked="1"/>
        <c:majorTickMark val="out"/>
        <c:minorTickMark val="none"/>
        <c:tickLblPos val="nextTo"/>
        <c:crossAx val="96437248"/>
        <c:crosses val="autoZero"/>
        <c:crossBetween val="between"/>
      </c:valAx>
    </c:plotArea>
    <c:legend>
      <c:legendPos val="r"/>
      <c:layout>
        <c:manualLayout>
          <c:xMode val="edge"/>
          <c:yMode val="edge"/>
          <c:x val="0.73345097191719011"/>
          <c:y val="0.5381659110792969"/>
          <c:w val="0.24479512072990353"/>
          <c:h val="7.3062276306370799E-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95C76-16CD-4522-9EAB-87B8BC45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30</Pages>
  <Words>10528</Words>
  <Characters>60010</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LDI</Company>
  <LinksUpToDate>false</LinksUpToDate>
  <CharactersWithSpaces>70398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Piazza, Rich</dc:creator>
  <cp:lastModifiedBy>Piazza, Rich</cp:lastModifiedBy>
  <cp:revision>28</cp:revision>
  <cp:lastPrinted>2018-10-31T13:56:00Z</cp:lastPrinted>
  <dcterms:created xsi:type="dcterms:W3CDTF">2019-05-09T22:52:00Z</dcterms:created>
  <dcterms:modified xsi:type="dcterms:W3CDTF">2019-05-10T19:11:00Z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